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680" w:right="3680" w:hanging="3654"/>
        <w:spacing w:after="0" w:line="414" w:lineRule="auto"/>
        <w:tabs>
          <w:tab w:leader="none" w:pos="6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7500" w:type="dxa"/>
            <w:vAlign w:val="bottom"/>
            <w:gridSpan w:val="6"/>
          </w:tcPr>
          <w:p>
            <w:pPr>
              <w:jc w:val="center"/>
              <w:ind w:right="22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6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28, 2025, there were 10,393,009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1"/>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6"/>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38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8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3"/>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479"/>
        </w:trPr>
        <w:tc>
          <w:tcPr>
            <w:tcW w:w="32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9"/>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80"/>
        </w:trPr>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80"/>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8"/>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80"/>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5"/>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r>
      <w:tr>
        <w:trPr>
          <w:trHeight w:val="194"/>
        </w:trPr>
        <w:tc>
          <w:tcPr>
            <w:tcW w:w="8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64,978</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70,506</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161,605</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(Note 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88,296</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8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September 30, 2025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8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31, 2024, 11,115,779; shares outstanding at September 30, 2025 and December 31, 2024, 10,247,806 and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10,573,432,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167,579</w:t>
            </w: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 at cost, 867,973 and 542,347 common stock shares at September 30, 2025 and December 31, 2024,</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178,316</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21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41"/>
        </w:trPr>
        <w:tc>
          <w:tcPr>
            <w:tcW w:w="6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56,380</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264,543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48,592</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297,519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313,135</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89,447</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6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35,905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5,129</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43,188</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 share data attributable to L.B. Foster shareholders: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21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60" w:type="dxa"/>
            <w:vAlign w:val="bottom"/>
            <w:tcBorders>
              <w:bottom w:val="single" w:sz="8" w:color="auto"/>
            </w:tcBorders>
          </w:tcPr>
          <w:p>
            <w:pPr>
              <w:spacing w:after="0"/>
              <w:rPr>
                <w:sz w:val="16"/>
                <w:szCs w:val="16"/>
                <w:color w:val="auto"/>
              </w:rPr>
            </w:pPr>
          </w:p>
        </w:tc>
      </w:tr>
      <w:tr>
        <w:trPr>
          <w:trHeight w:val="194"/>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r>
      <w:tr>
        <w:trPr>
          <w:trHeight w:val="41"/>
        </w:trPr>
        <w:tc>
          <w:tcPr>
            <w:tcW w:w="6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cash flow hedges, net of tax expense of $0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175"/>
        </w:trPr>
        <w:tc>
          <w:tcPr>
            <w:tcW w:w="6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$0, $5, $0, and $12, respectively*</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41,827</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L.B. Foster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8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0"/>
        </w:trPr>
        <w:tc>
          <w:tcPr>
            <w:tcW w:w="8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and fixed asset exit costs (Note 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settlement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(166,005)</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payment for Skratch acquisition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2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14,988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520"/>
        <w:spacing w:after="0" w:line="293" w:lineRule="auto"/>
        <w:rPr>
          <w:sz w:val="20"/>
          <w:szCs w:val="20"/>
          <w:color w:val="auto"/>
        </w:rPr>
      </w:pPr>
      <w:r>
        <w:rPr>
          <w:rFonts w:ascii="Times New Roman" w:cs="Times New Roman" w:eastAsia="Times New Roman" w:hAnsi="Times New Roman"/>
          <w:sz w:val="17"/>
          <w:szCs w:val="17"/>
          <w:color w:val="auto"/>
        </w:rPr>
        <w:t>Balance, June 30, 2025 Net income (loss)</w:t>
      </w:r>
    </w:p>
    <w:p>
      <w:pPr>
        <w:ind w:left="60"/>
        <w:spacing w:after="0" w:line="234" w:lineRule="auto"/>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10" w:lineRule="exact"/>
        <w:rPr>
          <w:sz w:val="20"/>
          <w:szCs w:val="20"/>
          <w:color w:val="auto"/>
        </w:rPr>
      </w:pPr>
    </w:p>
    <w:p>
      <w:pPr>
        <w:ind w:left="60" w:right="140"/>
        <w:spacing w:after="0" w:line="237"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10" w:lineRule="exact"/>
        <w:rPr>
          <w:sz w:val="20"/>
          <w:szCs w:val="20"/>
          <w:color w:val="auto"/>
        </w:rPr>
      </w:pPr>
    </w:p>
    <w:p>
      <w:pPr>
        <w:ind w:left="60" w:right="80"/>
        <w:spacing w:after="0" w:line="237" w:lineRule="auto"/>
        <w:rPr>
          <w:sz w:val="20"/>
          <w:szCs w:val="20"/>
          <w:color w:val="auto"/>
        </w:rPr>
      </w:pPr>
      <w:r>
        <w:rPr>
          <w:rFonts w:ascii="Times New Roman" w:cs="Times New Roman" w:eastAsia="Times New Roman" w:hAnsi="Times New Roman"/>
          <w:sz w:val="18"/>
          <w:szCs w:val="18"/>
          <w:color w:val="auto"/>
        </w:rPr>
        <w:t>Unrealized derivative loss on cash flow hedges</w:t>
      </w:r>
    </w:p>
    <w:p>
      <w:pPr>
        <w:spacing w:after="0" w:line="10" w:lineRule="exact"/>
        <w:rPr>
          <w:sz w:val="20"/>
          <w:szCs w:val="20"/>
          <w:color w:val="auto"/>
        </w:rPr>
      </w:pPr>
    </w:p>
    <w:p>
      <w:pPr>
        <w:ind w:left="60" w:right="40"/>
        <w:spacing w:after="0" w:line="237" w:lineRule="auto"/>
        <w:rPr>
          <w:sz w:val="20"/>
          <w:szCs w:val="20"/>
          <w:color w:val="auto"/>
        </w:rPr>
      </w:pPr>
      <w:r>
        <w:rPr>
          <w:rFonts w:ascii="Times New Roman" w:cs="Times New Roman" w:eastAsia="Times New Roman" w:hAnsi="Times New Roman"/>
          <w:sz w:val="18"/>
          <w:szCs w:val="18"/>
          <w:color w:val="auto"/>
        </w:rPr>
        <w:t>Purchase of 184,143 common shares for treasury</w:t>
      </w:r>
    </w:p>
    <w:p>
      <w:pPr>
        <w:spacing w:after="0" w:line="10" w:lineRule="exact"/>
        <w:rPr>
          <w:sz w:val="20"/>
          <w:szCs w:val="20"/>
          <w:color w:val="auto"/>
        </w:rPr>
      </w:pPr>
    </w:p>
    <w:p>
      <w:pPr>
        <w:ind w:left="60" w:right="60"/>
        <w:spacing w:after="0" w:line="236" w:lineRule="auto"/>
        <w:rPr>
          <w:sz w:val="20"/>
          <w:szCs w:val="20"/>
          <w:color w:val="auto"/>
        </w:rPr>
      </w:pPr>
      <w:r>
        <w:rPr>
          <w:rFonts w:ascii="Times New Roman" w:cs="Times New Roman" w:eastAsia="Times New Roman" w:hAnsi="Times New Roman"/>
          <w:sz w:val="17"/>
          <w:szCs w:val="17"/>
          <w:color w:val="auto"/>
        </w:rPr>
        <w:t>Issuance of 1,315 common shares, net of shares withheld</w:t>
      </w:r>
    </w:p>
    <w:p>
      <w:pPr>
        <w:ind w:left="60"/>
        <w:spacing w:after="0"/>
        <w:rPr>
          <w:sz w:val="20"/>
          <w:szCs w:val="20"/>
          <w:color w:val="auto"/>
        </w:rPr>
      </w:pPr>
      <w:r>
        <w:rPr>
          <w:rFonts w:ascii="Times New Roman" w:cs="Times New Roman" w:eastAsia="Times New Roman" w:hAnsi="Times New Roman"/>
          <w:sz w:val="18"/>
          <w:szCs w:val="18"/>
          <w:color w:val="auto"/>
        </w:rPr>
        <w:t>for taxes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Three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Common</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Paid-in</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tcBorders>
              <w:top w:val="single" w:sz="8" w:color="auto"/>
            </w:tcBorders>
            <w:gridSpan w:val="3"/>
          </w:tcPr>
          <w:p>
            <w:pPr>
              <w:jc w:val="center"/>
              <w:ind w:right="60"/>
              <w:spacing w:after="0" w:line="153" w:lineRule="exact"/>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Noncontrolling</w:t>
            </w:r>
          </w:p>
        </w:tc>
        <w:tc>
          <w:tcPr>
            <w:tcW w:w="12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24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Loss</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Interest</w:t>
            </w:r>
          </w:p>
        </w:tc>
        <w:tc>
          <w:tcPr>
            <w:tcW w:w="2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8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23"/>
        </w:trPr>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175,594</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gridSpan w:val="8"/>
          </w:tcPr>
          <w:p>
            <w:pPr>
              <w:ind w:left="460"/>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Common</w:t>
            </w:r>
          </w:p>
        </w:tc>
        <w:tc>
          <w:tcPr>
            <w:tcW w:w="24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Paid-in</w:t>
            </w:r>
          </w:p>
        </w:tc>
        <w:tc>
          <w:tcPr>
            <w:tcW w:w="24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Noncontrolling</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2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6"/>
                <w:szCs w:val="16"/>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-2596515</wp:posOffset>
            </wp:positionV>
            <wp:extent cx="709803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-2287905</wp:posOffset>
            </wp:positionV>
            <wp:extent cx="709803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-1756410</wp:posOffset>
            </wp:positionV>
            <wp:extent cx="709803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-1224915</wp:posOffset>
            </wp:positionV>
            <wp:extent cx="709803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37719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-701675</wp:posOffset>
            </wp:positionV>
            <wp:extent cx="70980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240" w:space="160"/>
            <w:col w:w="884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(6,405)</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147,652</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2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liability adjustment</w:t>
            </w:r>
          </w:p>
        </w:tc>
        <w:tc>
          <w:tcPr>
            <w:tcW w:w="4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2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 w:type="dxa"/>
            <w:vAlign w:val="bottom"/>
          </w:tcPr>
          <w:p>
            <w:pPr>
              <w:spacing w:after="0"/>
              <w:rPr>
                <w:sz w:val="21"/>
                <w:szCs w:val="21"/>
                <w:color w:val="auto"/>
              </w:rPr>
            </w:pPr>
          </w:p>
        </w:tc>
      </w:tr>
      <w:tr>
        <w:trPr>
          <w:trHeight w:val="175"/>
        </w:trPr>
        <w:tc>
          <w:tcPr>
            <w:tcW w:w="40" w:type="dxa"/>
            <w:vAlign w:val="bottom"/>
          </w:tcPr>
          <w:p>
            <w:pPr>
              <w:spacing w:after="0"/>
              <w:rPr>
                <w:sz w:val="15"/>
                <w:szCs w:val="15"/>
                <w:color w:val="auto"/>
              </w:rPr>
            </w:pPr>
          </w:p>
        </w:tc>
        <w:tc>
          <w:tcPr>
            <w:tcW w:w="2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Unrealized derivative loss on</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4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21"/>
                <w:szCs w:val="21"/>
                <w:color w:val="auto"/>
              </w:rPr>
            </w:pPr>
          </w:p>
        </w:tc>
      </w:tr>
      <w:tr>
        <w:trPr>
          <w:trHeight w:val="175"/>
        </w:trPr>
        <w:tc>
          <w:tcPr>
            <w:tcW w:w="40" w:type="dxa"/>
            <w:vAlign w:val="bottom"/>
          </w:tcPr>
          <w:p>
            <w:pPr>
              <w:spacing w:after="0"/>
              <w:rPr>
                <w:sz w:val="15"/>
                <w:szCs w:val="15"/>
                <w:color w:val="auto"/>
              </w:rPr>
            </w:pPr>
          </w:p>
        </w:tc>
        <w:tc>
          <w:tcPr>
            <w:tcW w:w="2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Purchase of 126,688 common</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treasury</w:t>
            </w: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0" w:type="dxa"/>
            <w:vAlign w:val="bottom"/>
          </w:tcPr>
          <w:p>
            <w:pPr>
              <w:spacing w:after="0"/>
              <w:rPr>
                <w:sz w:val="21"/>
                <w:szCs w:val="21"/>
                <w:color w:val="auto"/>
              </w:rPr>
            </w:pPr>
          </w:p>
        </w:tc>
      </w:tr>
      <w:tr>
        <w:trPr>
          <w:trHeight w:val="175"/>
        </w:trPr>
        <w:tc>
          <w:tcPr>
            <w:tcW w:w="40" w:type="dxa"/>
            <w:vAlign w:val="bottom"/>
          </w:tcPr>
          <w:p>
            <w:pPr>
              <w:spacing w:after="0"/>
              <w:rPr>
                <w:sz w:val="15"/>
                <w:szCs w:val="15"/>
                <w:color w:val="auto"/>
              </w:rPr>
            </w:pPr>
          </w:p>
        </w:tc>
        <w:tc>
          <w:tcPr>
            <w:tcW w:w="2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1,206 common</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net of shares withheld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for taxes</w:t>
            </w:r>
          </w:p>
        </w:tc>
        <w:tc>
          <w:tcPr>
            <w:tcW w:w="4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167,821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(8,994)</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182,436</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9380" w:type="dxa"/>
            <w:vAlign w:val="bottom"/>
            <w:gridSpan w:val="17"/>
          </w:tcPr>
          <w:p>
            <w:pPr>
              <w:ind w:left="1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48"/>
        </w:trPr>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80"/>
        <w:spacing w:after="0" w:line="276" w:lineRule="auto"/>
        <w:rPr>
          <w:sz w:val="20"/>
          <w:szCs w:val="20"/>
          <w:color w:val="auto"/>
        </w:rPr>
      </w:pPr>
      <w:r>
        <w:rPr>
          <w:rFonts w:ascii="Times New Roman" w:cs="Times New Roman" w:eastAsia="Times New Roman" w:hAnsi="Times New Roman"/>
          <w:sz w:val="18"/>
          <w:szCs w:val="18"/>
          <w:color w:val="auto"/>
        </w:rPr>
        <w:t>Balance, December 31, 2024 Net income (loss)</w:t>
      </w:r>
    </w:p>
    <w:p>
      <w:pPr>
        <w:spacing w:after="0" w:line="1" w:lineRule="exact"/>
        <w:rPr>
          <w:sz w:val="20"/>
          <w:szCs w:val="20"/>
          <w:color w:val="auto"/>
        </w:rPr>
      </w:pPr>
    </w:p>
    <w:p>
      <w:pPr>
        <w:ind w:left="60"/>
        <w:spacing w:after="0" w:line="234" w:lineRule="auto"/>
        <w:rPr>
          <w:sz w:val="20"/>
          <w:szCs w:val="20"/>
          <w:color w:val="auto"/>
        </w:rPr>
      </w:pPr>
      <w:r>
        <w:rPr>
          <w:rFonts w:ascii="Times New Roman" w:cs="Times New Roman" w:eastAsia="Times New Roman" w:hAnsi="Times New Roman"/>
          <w:sz w:val="18"/>
          <w:szCs w:val="18"/>
          <w:color w:val="auto"/>
        </w:rPr>
        <w:t>Other comprehensive income, net of tax:</w:t>
      </w:r>
    </w:p>
    <w:p>
      <w:pPr>
        <w:spacing w:after="0" w:line="10" w:lineRule="exact"/>
        <w:rPr>
          <w:sz w:val="20"/>
          <w:szCs w:val="20"/>
          <w:color w:val="auto"/>
        </w:rPr>
      </w:pPr>
    </w:p>
    <w:p>
      <w:pPr>
        <w:ind w:left="60" w:right="120"/>
        <w:spacing w:after="0" w:line="237"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10" w:lineRule="exact"/>
        <w:rPr>
          <w:sz w:val="20"/>
          <w:szCs w:val="20"/>
          <w:color w:val="auto"/>
        </w:rPr>
      </w:pPr>
    </w:p>
    <w:p>
      <w:pPr>
        <w:ind w:left="60" w:right="60"/>
        <w:spacing w:after="0" w:line="237" w:lineRule="auto"/>
        <w:rPr>
          <w:sz w:val="20"/>
          <w:szCs w:val="20"/>
          <w:color w:val="auto"/>
        </w:rPr>
      </w:pPr>
      <w:r>
        <w:rPr>
          <w:rFonts w:ascii="Times New Roman" w:cs="Times New Roman" w:eastAsia="Times New Roman" w:hAnsi="Times New Roman"/>
          <w:sz w:val="18"/>
          <w:szCs w:val="18"/>
          <w:color w:val="auto"/>
        </w:rPr>
        <w:t>Unrealized derivative loss on cash flow hedges</w:t>
      </w:r>
    </w:p>
    <w:p>
      <w:pPr>
        <w:spacing w:after="0" w:line="10" w:lineRule="exact"/>
        <w:rPr>
          <w:sz w:val="20"/>
          <w:szCs w:val="20"/>
          <w:color w:val="auto"/>
        </w:rPr>
      </w:pPr>
    </w:p>
    <w:p>
      <w:pPr>
        <w:ind w:left="60" w:right="20"/>
        <w:spacing w:after="0" w:line="237" w:lineRule="auto"/>
        <w:rPr>
          <w:sz w:val="20"/>
          <w:szCs w:val="20"/>
          <w:color w:val="auto"/>
        </w:rPr>
      </w:pPr>
      <w:r>
        <w:rPr>
          <w:rFonts w:ascii="Times New Roman" w:cs="Times New Roman" w:eastAsia="Times New Roman" w:hAnsi="Times New Roman"/>
          <w:sz w:val="18"/>
          <w:szCs w:val="18"/>
          <w:color w:val="auto"/>
        </w:rPr>
        <w:t>Purchase of 461,704 common shares for treasury</w:t>
      </w:r>
    </w:p>
    <w:p>
      <w:pPr>
        <w:spacing w:after="0" w:line="10" w:lineRule="exact"/>
        <w:rPr>
          <w:sz w:val="20"/>
          <w:szCs w:val="20"/>
          <w:color w:val="auto"/>
        </w:rPr>
      </w:pPr>
    </w:p>
    <w:p>
      <w:pPr>
        <w:ind w:left="60" w:right="40"/>
        <w:spacing w:after="0" w:line="236" w:lineRule="auto"/>
        <w:rPr>
          <w:sz w:val="20"/>
          <w:szCs w:val="20"/>
          <w:color w:val="auto"/>
        </w:rPr>
      </w:pPr>
      <w:r>
        <w:rPr>
          <w:rFonts w:ascii="Times New Roman" w:cs="Times New Roman" w:eastAsia="Times New Roman" w:hAnsi="Times New Roman"/>
          <w:sz w:val="17"/>
          <w:szCs w:val="17"/>
          <w:color w:val="auto"/>
        </w:rPr>
        <w:t>Issuance of 130,198 common shares, net of shares withheld</w:t>
      </w:r>
    </w:p>
    <w:p>
      <w:pPr>
        <w:ind w:left="60"/>
        <w:spacing w:after="0"/>
        <w:rPr>
          <w:sz w:val="20"/>
          <w:szCs w:val="20"/>
          <w:color w:val="auto"/>
        </w:rPr>
      </w:pPr>
      <w:r>
        <w:rPr>
          <w:rFonts w:ascii="Times New Roman" w:cs="Times New Roman" w:eastAsia="Times New Roman" w:hAnsi="Times New Roman"/>
          <w:sz w:val="18"/>
          <w:szCs w:val="18"/>
          <w:color w:val="auto"/>
        </w:rPr>
        <w:t>for taxes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Nine Months Ended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Common</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Paid-in</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tcBorders>
              <w:top w:val="single" w:sz="8" w:color="auto"/>
            </w:tcBorders>
            <w:gridSpan w:val="3"/>
          </w:tcPr>
          <w:p>
            <w:pPr>
              <w:jc w:val="center"/>
              <w:ind w:right="60"/>
              <w:spacing w:after="0" w:line="153" w:lineRule="exact"/>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Noncontrolling</w:t>
            </w:r>
          </w:p>
        </w:tc>
        <w:tc>
          <w:tcPr>
            <w:tcW w:w="12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24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Loss</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Interest</w:t>
            </w:r>
          </w:p>
        </w:tc>
        <w:tc>
          <w:tcPr>
            <w:tcW w:w="2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0" w:type="dxa"/>
            <w:vAlign w:val="bottom"/>
          </w:tcPr>
          <w:p>
            <w:pPr>
              <w:spacing w:after="0"/>
              <w:rPr>
                <w:sz w:val="1"/>
                <w:szCs w:val="1"/>
                <w:color w:val="auto"/>
              </w:rPr>
            </w:pPr>
          </w:p>
        </w:tc>
      </w:tr>
      <w:tr>
        <w:trPr>
          <w:trHeight w:val="8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23"/>
        </w:trPr>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175,594</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gridSpan w:val="8"/>
          </w:tcPr>
          <w:p>
            <w:pPr>
              <w:ind w:left="500"/>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Common</w:t>
            </w:r>
          </w:p>
        </w:tc>
        <w:tc>
          <w:tcPr>
            <w:tcW w:w="24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Paid-in</w:t>
            </w:r>
          </w:p>
        </w:tc>
        <w:tc>
          <w:tcPr>
            <w:tcW w:w="24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Noncontrolling</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2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6"/>
                <w:szCs w:val="16"/>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-2596515</wp:posOffset>
            </wp:positionV>
            <wp:extent cx="70980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-2287905</wp:posOffset>
            </wp:positionV>
            <wp:extent cx="709803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-1756410</wp:posOffset>
            </wp:positionV>
            <wp:extent cx="709803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-1224915</wp:posOffset>
            </wp:positionV>
            <wp:extent cx="709803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37719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-701675</wp:posOffset>
            </wp:positionV>
            <wp:extent cx="70980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220" w:space="180"/>
            <w:col w:w="8820"/>
          </w:cols>
          <w:pgMar w:left="320" w:top="117" w:right="359" w:bottom="1440" w:gutter="0" w:footer="0" w:header="0"/>
        </w:sectPr>
      </w:pPr>
    </w:p>
    <w:tbl>
      <w:tblPr>
        <w:tblLayout w:type="fixed"/>
        <w:tblInd w:w="40" w:type="dxa"/>
        <w:tblCellMar>
          <w:top w:w="0" w:type="dxa"/>
          <w:left w:w="0" w:type="dxa"/>
          <w:bottom w:w="0" w:type="dxa"/>
          <w:right w:w="0" w:type="dxa"/>
        </w:tblCellMar>
      </w:tblPr>
      <w:tr>
        <w:trPr>
          <w:trHeight w:val="237"/>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43,120</w:t>
            </w:r>
          </w:p>
        </w:tc>
      </w:tr>
      <w:tr>
        <w:trPr>
          <w:trHeight w:val="175"/>
        </w:trPr>
        <w:tc>
          <w:tcPr>
            <w:tcW w:w="2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liability adjustment</w:t>
            </w:r>
          </w:p>
        </w:tc>
        <w:tc>
          <w:tcPr>
            <w:tcW w:w="4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75"/>
        </w:trPr>
        <w:tc>
          <w:tcPr>
            <w:tcW w:w="2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175"/>
        </w:trPr>
        <w:tc>
          <w:tcPr>
            <w:tcW w:w="2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Unrealized derivative loss on</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4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175"/>
        </w:trPr>
        <w:tc>
          <w:tcPr>
            <w:tcW w:w="2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Purchase of 196,768 common</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treasury</w:t>
            </w: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r>
      <w:tr>
        <w:trPr>
          <w:trHeight w:val="175"/>
        </w:trPr>
        <w:tc>
          <w:tcPr>
            <w:tcW w:w="2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120,387 common</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net of shares withheld</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for taxes</w:t>
            </w:r>
          </w:p>
        </w:tc>
        <w:tc>
          <w:tcPr>
            <w:tcW w:w="4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176"/>
        </w:trPr>
        <w:tc>
          <w:tcPr>
            <w:tcW w:w="2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Investment of noncontrolling</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8"/>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182,436</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nine months ended September 30, 2025 are not necessarily indicative of the results that may be expected for the year ending December 31, 2025. This Quarterly Report on Form 10-Q should be read in conjunction with the consolidated financial statements and footnotes thereto included in L.B. Foster Company’s Annual Report on Form 10-K for the year ended December 31, 2024. In this Quarterly Report on Form 10-Q, references to “we,” “us,” “our,” and the “Company” refer collectively to L.B. Foster Company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Standards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does not expect the adoption of ASU 2023-09 to have an impact to its consolidated financial condition, results of operations, and cash flows other than its disclosures.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(“ASU 2025-06”), which provides targeted improvements related to the accounting for costs incurred in the development of internal-use software. The amendment replaces the previous stage-based model with clearer guidance on capitalization thresholds and implementation costs. The amendments are effective for annual periods beginning after December 15, 2027, and interim reporting periods within those annual reporting periods. Early adoption is permitted as of the beginning of an annual reporting period. The Company is currently evaluating the impact of adopting this guidance on the consolidated financial statements and related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 determines its operating segments based on how the Company's Chief Operating Decision Maker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Rail, Technologies, and Services (“Rail”), and Infrastructure Solutions (“Infrastructure”). The Company’s segments represent components of the Company (a) that engage in activities from which revenue is generated and expenses are incurred, (b) whose operating results are regularly reviewed by the CODM, who uses such information to make decisions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about resources to be allocated to the segments, and (c) 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income - net”, which are managed on a consolidated basis, are not allocated to the operating segments.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200" w:lineRule="exact"/>
        <w:rPr>
          <w:sz w:val="20"/>
          <w:szCs w:val="20"/>
          <w:color w:val="auto"/>
        </w:rPr>
      </w:pPr>
    </w:p>
    <w:p>
      <w:pPr>
        <w:spacing w:after="0" w:line="33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138,286</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Purchased services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administrative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0" w:type="dxa"/>
            <w:vAlign w:val="bottom"/>
          </w:tcPr>
          <w:p>
            <w:pPr>
              <w:spacing w:after="0"/>
              <w:rPr>
                <w:sz w:val="1"/>
                <w:szCs w:val="1"/>
                <w:color w:val="auto"/>
              </w:rPr>
            </w:pPr>
          </w:p>
        </w:tc>
      </w:tr>
      <w:tr>
        <w:trPr>
          <w:trHeight w:val="48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corporate expenses -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generally include contractor services, insurance expenditures, rental expense, and legal services.</w:t>
      </w: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General administrative costs generally include office supplies, utilities, advertising, bad debt expense, and restructuring expenditures.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Nine Months Ended</w:t>
      </w:r>
    </w:p>
    <w:p>
      <w:pPr>
        <w:spacing w:after="0" w:line="4"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379,636</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Purchased services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administrative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48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corporate expenses - net</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generally include contractor services, insurance expenditures, rental expense, and legal services.</w:t>
      </w:r>
    </w:p>
    <w:p>
      <w:pPr>
        <w:spacing w:after="0" w:line="1" w:lineRule="exact"/>
        <w:rPr>
          <w:rFonts w:ascii="Times New Roman" w:cs="Times New Roman" w:eastAsia="Times New Roman" w:hAnsi="Times New Roman"/>
          <w:sz w:val="22"/>
          <w:szCs w:val="22"/>
          <w:i w:val="1"/>
          <w:iCs w:val="1"/>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General administrative costs generally include office supplies, utilities, advertising, bad debt expense, and restructuring expenditures.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Company sold a former joint venture facility located in Magnolia, Texas, generating a $3,477 gain on sale recorded in “Gain on sale of former joint venture facility” which is included as a component of corporate operating income.</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reportable depreciation and amortization and expenditures for long-lived assets to the Company’s consolidated totals are as follows for the periods presented:</w:t>
      </w:r>
    </w:p>
    <w:p>
      <w:pPr>
        <w:spacing w:after="0" w:line="21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4980"/>
        <w:spacing w:after="0"/>
        <w:rPr>
          <w:sz w:val="20"/>
          <w:szCs w:val="20"/>
          <w:color w:val="auto"/>
        </w:rPr>
      </w:pPr>
      <w:r>
        <w:rPr>
          <w:rFonts w:ascii="Times New Roman" w:cs="Times New Roman" w:eastAsia="Times New Roman" w:hAnsi="Times New Roman"/>
          <w:sz w:val="14"/>
          <w:szCs w:val="14"/>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Expenditures for Long-</w:t>
            </w:r>
          </w:p>
        </w:tc>
        <w:tc>
          <w:tcPr>
            <w:tcW w:w="80" w:type="dxa"/>
            <w:vAlign w:val="bottom"/>
          </w:tcPr>
          <w:p>
            <w:pPr>
              <w:spacing w:after="0"/>
              <w:rPr>
                <w:sz w:val="11"/>
                <w:szCs w:val="11"/>
                <w:color w:val="auto"/>
              </w:rPr>
            </w:pP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Expenditures for Long-</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Lived Assets</w:t>
            </w:r>
          </w:p>
        </w:tc>
        <w:tc>
          <w:tcPr>
            <w:tcW w:w="16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Lived Assets</w:t>
            </w:r>
          </w:p>
        </w:tc>
        <w:tc>
          <w:tcPr>
            <w:tcW w:w="0" w:type="dxa"/>
            <w:vAlign w:val="bottom"/>
          </w:tcPr>
          <w:p>
            <w:pPr>
              <w:spacing w:after="0"/>
              <w:rPr>
                <w:sz w:val="1"/>
                <w:szCs w:val="1"/>
                <w:color w:val="auto"/>
              </w:rPr>
            </w:pPr>
          </w:p>
        </w:tc>
      </w:tr>
      <w:tr>
        <w:trPr>
          <w:trHeight w:val="23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Nine Months Ended</w:t>
      </w:r>
    </w:p>
    <w:p>
      <w:pPr>
        <w:spacing w:after="0" w:line="4"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3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Expenditures for Long-</w:t>
            </w:r>
          </w:p>
        </w:tc>
        <w:tc>
          <w:tcPr>
            <w:tcW w:w="80" w:type="dxa"/>
            <w:vAlign w:val="bottom"/>
          </w:tcPr>
          <w:p>
            <w:pPr>
              <w:spacing w:after="0"/>
              <w:rPr>
                <w:sz w:val="12"/>
                <w:szCs w:val="12"/>
                <w:color w:val="auto"/>
              </w:rPr>
            </w:pPr>
          </w:p>
        </w:tc>
        <w:tc>
          <w:tcPr>
            <w:tcW w:w="1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4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4"/>
                <w:szCs w:val="14"/>
                <w:color w:val="auto"/>
              </w:rPr>
              <w:t>Expenditures for Long-</w:t>
            </w: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Lived Assets</w:t>
            </w:r>
          </w:p>
        </w:tc>
        <w:tc>
          <w:tcPr>
            <w:tcW w:w="16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Lived Assets</w:t>
            </w:r>
          </w:p>
        </w:tc>
        <w:tc>
          <w:tcPr>
            <w:tcW w:w="0" w:type="dxa"/>
            <w:vAlign w:val="bottom"/>
          </w:tcPr>
          <w:p>
            <w:pPr>
              <w:spacing w:after="0"/>
              <w:rPr>
                <w:sz w:val="1"/>
                <w:szCs w:val="1"/>
                <w:color w:val="auto"/>
              </w:rPr>
            </w:pPr>
          </w:p>
        </w:tc>
      </w:tr>
      <w:tr>
        <w:trPr>
          <w:trHeight w:val="22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assets by reportable segment for the following periods: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158,859</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123,755</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279,710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282,614</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54,179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51,936</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333,889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21, 2022, the Company acquired the stock of Skratch Enterprises Ltd. for $7,402, which was inclusive of deferred payments withheld by the Company of $1,228, to be paid over the next five years or utilized to satisfy post-closing working capital adjustments or indemnity claims under the purchase agreement. During the nine months ended September 30, 2025, the Company made a deferred acquisition payment of $782.</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announced the discontinuation of its Automation and Materials Handling product line (“AMH Exit”) which was reported in the Technology Services and Solutions business unit within the Rail segment. The decision to exit was due to the Company's initiatives to scale back businesses in the United Kingdom. The Company expects to complete any remaining customer obligations by the end of 2025. This product line had net sales of $530 and $907 for the three months ended September 30, 2025 and 2024, respectively, and $1,750 and $4,230 for the nine months ended September 30, 2025 and 2024, respectively. During the nine months ended September 30, 2025, the Company incurred a total of $1,351 in exit costs associated with the AMH Exit, which included $655 in inventory and fixed asset write-downs, $507 in personnel expenses, and $189 in other exit costs. Exit costs of $1,085 were recorded in “Cost of goods sold” and $266 were recorded in “Selling and administrative expenses” within our Rail segment. The Company does not expect to incur additional material AMH Exit costs in the remainder of 2025.</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its growth platforms. The restructuring action was completed as of December 31, 2024 and no additional costs are expected to be incurred under this program. As of December 31, 2024, the Company's restructuring liability for this program was $687, all of which has been paid out as of September 30, 2025.</w:t>
      </w:r>
    </w:p>
    <w:p>
      <w:pPr>
        <w:spacing w:after="0" w:line="2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restructuring liability balance and utilization for restructuring actions, which are primarily related to severance costs through September 30, 2025:</w:t>
      </w:r>
    </w:p>
    <w:p>
      <w:pPr>
        <w:sectPr>
          <w:pgSz w:w="11900" w:h="16838" w:orient="portrait"/>
          <w:cols w:equalWidth="0" w:num="1">
            <w:col w:w="11240"/>
          </w:cols>
          <w:pgMar w:left="320" w:top="117" w:right="339" w:bottom="1440" w:gutter="0" w:footer="0" w:header="0"/>
        </w:sect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Personnel and other exit costs associated with AMH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auto"/>
        </w:rPr>
        <w:t>Restructuring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Liability</w:t>
      </w:r>
    </w:p>
    <w:p>
      <w:pPr>
        <w:spacing w:after="0" w:line="30" w:lineRule="exact"/>
        <w:rPr>
          <w:sz w:val="20"/>
          <w:szCs w:val="20"/>
          <w:color w:val="auto"/>
        </w:rPr>
      </w:pPr>
    </w:p>
    <w:p>
      <w:pPr>
        <w:ind w:left="900" w:hanging="89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97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0"/>
          <w:szCs w:val="20"/>
          <w:color w:val="auto"/>
        </w:rPr>
      </w:pPr>
    </w:p>
    <w:p>
      <w:pPr>
        <w:ind w:left="900" w:hanging="89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797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75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7975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80" w:space="720"/>
            <w:col w:w="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Infrastructure. The Bedford, PA based operations supporting the product line expect to complete any remaining customer obligations in 2025. For the three months ended September 30, 2025 and 2024, net sales associated with the product line were $94 and $921, respectively, and for the nine months ended September 30, 2025 and 2024 were $1,093 and $2,888, respectively. The Company does not expect to incur additional material exit costs in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94"/>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156,803</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51,008</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w:t>
            </w:r>
          </w:p>
        </w:tc>
      </w:tr>
      <w:tr>
        <w:trPr>
          <w:trHeight w:val="22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247,715</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97,730</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57,137</w:t>
            </w:r>
          </w:p>
        </w:tc>
      </w:tr>
      <w:tr>
        <w:trPr>
          <w:trHeight w:val="223"/>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154,867</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138,286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402,582</w:t>
            </w: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7"/>
          </w:tcPr>
          <w:p>
            <w:pPr>
              <w:jc w:val="center"/>
              <w:ind w:left="577"/>
              <w:spacing w:after="0"/>
              <w:rPr>
                <w:sz w:val="20"/>
                <w:szCs w:val="20"/>
                <w:color w:val="auto"/>
              </w:rPr>
            </w:pPr>
            <w:r>
              <w:rPr>
                <w:rFonts w:ascii="Times New Roman" w:cs="Times New Roman" w:eastAsia="Times New Roman" w:hAnsi="Times New Roman"/>
                <w:sz w:val="14"/>
                <w:szCs w:val="14"/>
                <w:color w:val="auto"/>
              </w:rPr>
              <w:t>Three Months Ended September 30,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80" w:type="dxa"/>
            <w:vAlign w:val="bottom"/>
          </w:tcPr>
          <w:p>
            <w:pPr>
              <w:spacing w:after="0"/>
              <w:rPr>
                <w:sz w:val="11"/>
                <w:szCs w:val="11"/>
                <w:color w:val="auto"/>
              </w:rPr>
            </w:pPr>
          </w:p>
        </w:tc>
        <w:tc>
          <w:tcPr>
            <w:tcW w:w="9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104,773</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3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gridSpan w:val="7"/>
          </w:tcPr>
          <w:p>
            <w:pPr>
              <w:jc w:val="center"/>
              <w:ind w:left="577"/>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80" w:type="dxa"/>
            <w:vAlign w:val="bottom"/>
          </w:tcPr>
          <w:p>
            <w:pPr>
              <w:spacing w:after="0"/>
              <w:rPr>
                <w:sz w:val="11"/>
                <w:szCs w:val="11"/>
                <w:color w:val="auto"/>
              </w:rPr>
            </w:pPr>
          </w:p>
        </w:tc>
        <w:tc>
          <w:tcPr>
            <w:tcW w:w="9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96,179</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3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gridSpan w:val="7"/>
          </w:tcPr>
          <w:p>
            <w:pPr>
              <w:jc w:val="center"/>
              <w:ind w:left="617"/>
              <w:spacing w:after="0"/>
              <w:rPr>
                <w:sz w:val="20"/>
                <w:szCs w:val="20"/>
                <w:color w:val="auto"/>
              </w:rPr>
            </w:pPr>
            <w:r>
              <w:rPr>
                <w:rFonts w:ascii="Times New Roman" w:cs="Times New Roman" w:eastAsia="Times New Roman" w:hAnsi="Times New Roman"/>
                <w:sz w:val="14"/>
                <w:szCs w:val="14"/>
                <w:color w:val="auto"/>
              </w:rPr>
              <w:t>Nine Months Ended September 30,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4"/>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80" w:type="dxa"/>
            <w:vAlign w:val="bottom"/>
          </w:tcPr>
          <w:p>
            <w:pPr>
              <w:spacing w:after="0"/>
              <w:rPr>
                <w:sz w:val="11"/>
                <w:szCs w:val="11"/>
                <w:color w:val="auto"/>
              </w:rPr>
            </w:pPr>
          </w:p>
        </w:tc>
        <w:tc>
          <w:tcPr>
            <w:tcW w:w="9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38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285,683</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93,953</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3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207,776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3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gridSpan w:val="6"/>
          </w:tcPr>
          <w:p>
            <w:pPr>
              <w:jc w:val="center"/>
              <w:ind w:left="617"/>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60" w:type="dxa"/>
            <w:vAlign w:val="bottom"/>
          </w:tcPr>
          <w:p>
            <w:pPr>
              <w:spacing w:after="0"/>
              <w:rPr>
                <w:sz w:val="11"/>
                <w:szCs w:val="11"/>
                <w:color w:val="auto"/>
              </w:rPr>
            </w:pPr>
          </w:p>
        </w:tc>
        <w:tc>
          <w:tcPr>
            <w:tcW w:w="156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40" w:type="dxa"/>
            <w:vAlign w:val="bottom"/>
          </w:tcPr>
          <w:p>
            <w:pPr>
              <w:spacing w:after="0"/>
              <w:rPr>
                <w:sz w:val="11"/>
                <w:szCs w:val="11"/>
                <w:color w:val="auto"/>
              </w:rPr>
            </w:pPr>
          </w:p>
        </w:tc>
        <w:tc>
          <w:tcPr>
            <w:tcW w:w="100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8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198,179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296,425</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106,157</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Revenue under these long-term agreements may also be recognized using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During the three months ended September 30, 2025, reductions to net sales stemming from changes in actual and expected values of certain commercial contracts and settlements of such contracts were $1,476; there were no changes in actual or expected values during the three months ended September 30, 2024. During the nine months ended September 30, 2025 and 2024, such adjustments to net sales were $3,123 and $1,477, respectively. The Company’s estimates related to these long-term agreements are further described in “Note 3. Revenue” of the Notes to the Company’s Consolidated Financial Statements contained in its Annual Report on Form 10-K for the year ended December 31,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3"/>
        </w:trPr>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Three Months Ended September 30,</w:t>
            </w:r>
          </w:p>
        </w:tc>
      </w:tr>
      <w:tr>
        <w:trPr>
          <w:trHeight w:val="194"/>
        </w:trPr>
        <w:tc>
          <w:tcPr>
            <w:tcW w:w="5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2"/>
              </w:rPr>
              <w:t>2024</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ind w:right="56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auto"/>
            </w:tcBorders>
          </w:tcPr>
          <w:p>
            <w:pPr>
              <w:spacing w:after="0"/>
              <w:rPr>
                <w:sz w:val="16"/>
                <w:szCs w:val="16"/>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27,345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Borders>
              <w:bottom w:val="single" w:sz="8" w:color="auto"/>
            </w:tcBorders>
          </w:tcPr>
          <w:p>
            <w:pPr>
              <w:spacing w:after="0"/>
              <w:rPr>
                <w:sz w:val="19"/>
                <w:szCs w:val="19"/>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33,513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30.0 %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690"/>
        </w:trPr>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Nine Months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6"/>
        </w:trPr>
        <w:tc>
          <w:tcPr>
            <w:tcW w:w="5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96"/>
        </w:trPr>
        <w:tc>
          <w:tcPr>
            <w:tcW w:w="50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2"/>
              </w:rPr>
              <w:t>2024</w:t>
            </w: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top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7"/>
                <w:szCs w:val="17"/>
                <w:color w:val="auto"/>
              </w:rPr>
            </w:pPr>
          </w:p>
        </w:tc>
      </w:tr>
      <w:tr>
        <w:trPr>
          <w:trHeight w:val="23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20,795</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7"/>
              </w:rPr>
              <w:t>10.5 %</w:t>
            </w:r>
          </w:p>
        </w:tc>
        <w:tc>
          <w:tcPr>
            <w:tcW w:w="40" w:type="dxa"/>
            <w:vAlign w:val="bottom"/>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73,158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15.9</w:t>
            </w:r>
          </w:p>
        </w:tc>
        <w:tc>
          <w:tcPr>
            <w:tcW w:w="40" w:type="dxa"/>
            <w:vAlign w:val="bottom"/>
          </w:tcPr>
          <w:p>
            <w:pPr>
              <w:spacing w:after="0"/>
              <w:rPr>
                <w:sz w:val="19"/>
                <w:szCs w:val="19"/>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93,953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7"/>
              </w:rPr>
              <w:t>26.4 %</w:t>
            </w:r>
          </w:p>
        </w:tc>
        <w:tc>
          <w:tcPr>
            <w:tcW w:w="40" w:type="dxa"/>
            <w:vAlign w:val="bottom"/>
            <w:tcBorders>
              <w:left w:val="single" w:sz="8" w:color="auto"/>
            </w:tcBorders>
          </w:tcPr>
          <w:p>
            <w:pPr>
              <w:spacing w:after="0"/>
              <w:rPr>
                <w:sz w:val="21"/>
                <w:szCs w:val="2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Contract Assets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but not yet billed</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contract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2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Contract Liabilities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1"/>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approximately $247,416 of remaining performance obligations, which is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8.0% of the September 30, 2025 backlog was related to projects that are anticipated to extend beyond September 30,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includes the impacts of current economic conditions, including but not limited to concerns related to inflation, tariffs, labor markets, supply chains, and changes in trade policy. However, these factors can be unpredictable and are subject to change. No interim goodwill impairment test was required as a result of the evaluation of qualitative factors as of September 30, 2025. However, future impairment charges could result if future projections diverge unfavorably from current expectations.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intangible assets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September 30, 2025</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Condensed Consolidated Statements of Operations and are recorded net of recoveries of previous write-offs. During the three months ended September 30, 2025 and 2024, the Company recorded a net benefit of $74 and $0, respectively, and during the nine months ended September 30, 2025 and 2024 recorded a net expense of $444 and $529,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35"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Allowance for Credit</w:t>
      </w:r>
    </w:p>
    <w:p>
      <w:pPr>
        <w:jc w:val="center"/>
        <w:ind w:left="976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as of September 30, 2025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960" w:hanging="960"/>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1,127</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(465)</w:t>
      </w:r>
    </w:p>
    <w:p>
      <w:pPr>
        <w:spacing w:after="0" w:line="31" w:lineRule="exact"/>
        <w:rPr>
          <w:sz w:val="20"/>
          <w:szCs w:val="20"/>
          <w:color w:val="auto"/>
        </w:rPr>
      </w:pPr>
    </w:p>
    <w:p>
      <w:pPr>
        <w:ind w:left="960" w:hanging="96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548" w:lineRule="exact"/>
        <w:rPr>
          <w:sz w:val="20"/>
          <w:szCs w:val="20"/>
          <w:color w:val="auto"/>
        </w:rPr>
      </w:pPr>
    </w:p>
    <w:p>
      <w:pPr>
        <w:sectPr>
          <w:pgSz w:w="11900" w:h="16838" w:orient="portrait"/>
          <w:cols w:equalWidth="0" w:num="2">
            <w:col w:w="9080" w:space="720"/>
            <w:col w:w="1440"/>
          </w:cols>
          <w:pgMar w:left="320" w:top="117" w:right="339" w:bottom="1440" w:gutter="0" w:footer="0" w:header="0"/>
          <w:type w:val="continuous"/>
        </w:sectPr>
      </w:pPr>
    </w:p>
    <w:p>
      <w:pPr>
        <w:spacing w:after="0" w:line="271"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are summarized in the following table for the periods presented:</w:t>
      </w: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4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70,506</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520" w:type="dxa"/>
            <w:vAlign w:val="bottom"/>
            <w:vMerge w:val="continue"/>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4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5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4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4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4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45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the grant of a security interest by the Borrowers in substantially all of the assets owned by such entities. Additionally, the equity interests in each of the loan parties, other than the Company, and the equity interests held by each loan party in their subsidiaries, have been pledged to the lenders as collateral for the lending obligations.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rates based upon either the base rate or Term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0.50%, (b) the Prime Rate, or (c) the Daily Simple SOFR rate plus 1.00% so long as the Daily Simple SOFR rate is offered, ascertainable and not unlawful (each as defined in the Credit Agreement). The base rate and Term SOFR rate spreads range from 0.25% to 1.50% and 1.25% to 2.50%, respectively.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includes two financial covenants: (a) Maximum Gross Leverage Ratio, defined as the Company’s Consolidated Indebtedness divided by the Company’s Consolidated EBITDA, which must not exceed (i) 3.50 to 1.00 for all testing periods other than during an Acquisition Period, and (ii) 4.00 to 1.00 for all testing periods occurring during an Acquisition Period, and (b) Minimum Consolidated Fixed Charge Coverage Ratio, defined as the Company’s Consolidated EBITDA divided by the Company’s Fixed Charges, which must be more than 1.10 to 1.00.</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was in compliance with the covenants in the Credit Agreement, as amended, and had outstanding letters of credit of approximately $770.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23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common share: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35,905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43,188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155"/>
        </w:trPr>
        <w:tc>
          <w:tcPr>
            <w:tcW w:w="59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earnings per common share - adjusted weighted</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recorded an income tax expense of $2,812 and an income tax benefit of $29,745, respectively, on pre-tax income of $7,137 and $6,153, respectively, for an effective income tax rate of 39.4% and (483.4%), respectively. For the nine months ended September 30, 2025 and 2024, the Company recorded an income tax expense of $5,625 and an income tax benefit of $29,110, respectively, on pre-tax income of $10,672 and $14,010, respectively, for an effective income tax rate of 52.7% and (207.8)%, respectively. The Company's effective income tax rate for the three and nine months ended September 30, 2025 differed from the federal statutory rate of 21% primarily due to the impact of pre-tax losses in the United Kingdom, for which no income tax benefit was recognized due to a valuation allowance. The Company's effective income tax rate for the three and nine months ended September 30, 2024 differed from the federal statutory rate of 21% primarily due to a $30,045 income tax benefit resulting from the change in valuation allowance previously recorded against certain U.S. federal and state deferred taxes. Changes in pre-tax income projections, combined with the seasonal nature of our businesses, also impact the effective income tax rate each quarter.</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various tax provisions such as the permanent extension of certain expiring provisions of the Tax Cuts and Jobs Act, modifications to the international tax framework and the restoration of favorable tax treatment for certain business provisions. The impacts of the tax provisions included in the OBBBA are reflected in our results for the quarter ended September 30, 2025, and did not have a material impact on the Company's Condensed Consolidated Financial Statements. The Company will continue to monitor any developments and guidance related to the OBBBA.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$1,306 and $788 for the three months ended September 30, 2025 and 2024, respectively, and $3,417 and $3,135 for the nine months ended September 30, 2025 and 2024, respectively, related to restricted stock awards and performance unit awards. As of September 30, 2025, unrecognized compensation expense for awards that the Company expects to vest approximated $6,186. The Company will recognize this unrecognized compensation expense over a weighted average 1.7 years through February 20, 2028.</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2025, the shareholders approved the new 2025 Equity and Incentive Compensation Plan (the “Equity and Incentive Compensation Plan”). As of September 30, 2025, the Company had stock awards issued pursuant to the Equity and Incentive Compensation Plan and its predecessor, the 2006 Omnibus Incentive Compensation Plan (the “Omnibus Plan”). No stock options are outstanding under the Omnibus Plan or the Equity and Incentive Compensation Plan and, as such, there was no stock-based compensation expense related to stock options recorded for the three and nine months ended September 30, 2025 and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Restricted Stock Awards and Fully-Vested Stock</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which permits non-employee directors of the Company to defer receipt of earned cash and/or stock compensation for service on the Board into deferred stock units. Under the terms of the 2025 Equity and Incentive Compensation Plan, a non-employee Board member may elect to receive fully vested stock in lieu of quarterly cash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Performance-Based Stock and Share Units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deferred stock units, and performance-based stock and share unit activity for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Restricted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7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72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534,521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vMerge w:val="continue"/>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118,473</w:t>
            </w:r>
          </w:p>
        </w:tc>
        <w:tc>
          <w:tcPr>
            <w:tcW w:w="100" w:type="dxa"/>
            <w:vAlign w:val="bottom"/>
          </w:tcPr>
          <w:p>
            <w:pPr>
              <w:spacing w:after="0"/>
              <w:rPr>
                <w:sz w:val="17"/>
                <w:szCs w:val="17"/>
                <w:color w:val="auto"/>
              </w:rPr>
            </w:pPr>
          </w:p>
        </w:tc>
        <w:tc>
          <w:tcPr>
            <w:tcW w:w="1260" w:type="dxa"/>
            <w:vAlign w:val="bottom"/>
          </w:tcPr>
          <w:p>
            <w:pPr>
              <w:ind w:left="600"/>
              <w:spacing w:after="0" w:line="203" w:lineRule="exact"/>
              <w:rPr>
                <w:sz w:val="20"/>
                <w:szCs w:val="20"/>
                <w:color w:val="auto"/>
              </w:rPr>
            </w:pPr>
            <w:r>
              <w:rPr>
                <w:rFonts w:ascii="Times New Roman" w:cs="Times New Roman" w:eastAsia="Times New Roman" w:hAnsi="Times New Roman"/>
                <w:sz w:val="18"/>
                <w:szCs w:val="18"/>
                <w:color w:val="auto"/>
              </w:rPr>
              <w:t>127,033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(88,641)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(45,524)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527,389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SOFR-based interest rate swaps </w:t>
      </w:r>
      <w:r>
        <w:rPr>
          <w:rFonts w:ascii="Times New Roman" w:cs="Times New Roman" w:eastAsia="Times New Roman" w:hAnsi="Times New Roman"/>
          <w:sz w:val="18"/>
          <w:szCs w:val="18"/>
          <w:color w:val="auto"/>
        </w:rPr>
        <w:t>- To reduce the impact of interest rate changes on outstanding variable-rate debt, the Company amended and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forward-starting SOFR-based interest rate swaps with notional values totaling $20,000 and $20,000 effective August 12, 2022 and August 31, 2022, respectively. The August 12, 2022 interest rate swap expired on March 1, 2025. The August 31, 2022 interest rate swap expires on August 13, 2026. The fair value of the interest rate swaps are based on market-observable forward interest rates and represents the estimated amount that the Company would pay to terminate the agreements. As such, the swap agreements are classified as Level 2 within the fair value hierarchy. As of September 30, 2025 and December 31, 2024,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1200" w:type="dxa"/>
            <w:vAlign w:val="bottom"/>
            <w:gridSpan w:val="3"/>
          </w:tcPr>
          <w:p>
            <w:pPr>
              <w:ind w:left="120"/>
              <w:spacing w:after="0" w:line="129"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6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recognized interest income of $56 and $340, respectively, from interest rate swaps. For the nine months ended September 30, 2025 and 2024, the Company recognized interest income of $331 and $1,017 respectively, from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the frozen L.B. Foster Company Merged Retirement Plan (the “US DB Plan”) and the Portec Rail Products (UK) Limited Pension Scheme (the “UK DB Plan”). At such time, the Company notified all plan participants of the Company's intentions to terminate and fully settle the obligations. During the fourth quarter of 2024, the Company completed the termination of the US DB Plan. In January 2025, the Company entered into an insurance buy-in contract with a third party insurer which resulted in an exchange of plan assets of the UK DB Plan for an annuity that covers our future projected benefit obligations. The Company expects the buy out of the plan and transfer of future benefit obligations of plan participants to be completed in early 2026. The Company does not expect to make any further contributions to the UK DB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2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tbl>
      <w:tblPr>
        <w:tblLayout w:type="fixed"/>
        <w:tblInd w:w="0" w:type="dxa"/>
        <w:tblCellMar>
          <w:top w:w="0" w:type="dxa"/>
          <w:left w:w="0" w:type="dxa"/>
          <w:bottom w:w="0" w:type="dxa"/>
          <w:right w:w="0" w:type="dxa"/>
        </w:tblCellMar>
      </w:tblPr>
      <w:tr>
        <w:trPr>
          <w:trHeight w:val="145"/>
        </w:trPr>
        <w:tc>
          <w:tcPr>
            <w:tcW w:w="5960" w:type="dxa"/>
            <w:vAlign w:val="bottom"/>
          </w:tcPr>
          <w:p>
            <w:pPr>
              <w:spacing w:after="0"/>
              <w:rPr>
                <w:sz w:val="12"/>
                <w:szCs w:val="12"/>
                <w:color w:val="auto"/>
              </w:rPr>
            </w:pPr>
          </w:p>
        </w:tc>
        <w:tc>
          <w:tcPr>
            <w:tcW w:w="2120" w:type="dxa"/>
            <w:vAlign w:val="bottom"/>
            <w:gridSpan w:val="4"/>
          </w:tcPr>
          <w:p>
            <w:pPr>
              <w:jc w:val="right"/>
              <w:ind w:right="136"/>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4"/>
          </w:tcPr>
          <w:p>
            <w:pPr>
              <w:jc w:val="right"/>
              <w:ind w:right="634"/>
              <w:spacing w:after="0" w:line="145" w:lineRule="exact"/>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59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color w:val="auto"/>
              </w:rPr>
              <w:t>September 30,</w:t>
            </w: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596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1,121</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1,041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as a percentage of cost of sales. In addition, the product warranty accrual is adjusted periodically based on the identification or resolution of known individual product warranty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Union Pacific Railroad (“UPRR”) Concrete Tie Matter</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UPRR to resolve the then-pending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 Under the Settlement Agreement, the Company and CXT agreed to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As of December 31, 2024 the UPRR Settlement Agreement has been fully paid and UPRR's purchase obligations under this Agreement have been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was extended to May 30, 2025, and the Company responded, along with other similarly-situated parties, in a timely manner. The Company cannot predict the ultimate impact of these proceedings and the SNLs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September 30, 2025 and December 31, 2024, the Company maintained reserves of $1,590 and $1,796, respectively, for all of its environmental liabilities.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Legal Matters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September 30,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September 30, 2025, no such disclosures were considered necessary.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tariffs or trade wars, inflation, project delays, and budget shortfalls, or otherwise; the impact of the continued U.S. government shutdown;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of tariffs; our ability to effectuate our strategy, including cost reduction initiatives, and our ability to effectively integrate acquired businesses or to divest businesses, and to realize anticipated synergies and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2024 parliamentary election and the U.S. 2024 Presidential election that could affect UK or U.S. business conditions; other geopolitical conditions, including the ongoing conflicts between Russia and Ukraine, conflicts in the Middle East, and increasing tensions between China and Taiwan; a lack of or delay in state or federal funding for infrastructure projects; an increase in manufacturing or material costs, including volatility in steel prices;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2024, or as updated and/or amended by our other current or periodic filings with the Securities and Exchange Commission.</w:t>
      </w:r>
    </w:p>
    <w:p>
      <w:pPr>
        <w:spacing w:after="0" w:line="8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 Exits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announced the discontinuation of its Automation and Materials Handling product line (“AMH Exit”) which was reported in the Technology Services and Solutions business unit within the Rail segment. AMH had net sales of $530 and $907 for the three months ended September 30, 2025 and 2024, respectively, and $1,750 and $4,230 for the nine months ended September 30, 2025 and 2024, respectively. The Company expects to complete any remaining customer obligations by the end of 2025. During the nine months ended September 30, 2025, the Company incurred a total of $1,351 in exit costs associated with the AMH Exit, which included $655 in inventory and fixed asset write-downs, $507 in personnel expenses, and $189 in other exit costs. Exit costs of $1,085 were recorded in “Cost of goods sold” and $266 were recorded in “Selling and administrative expenses” within our Rail segment.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Infrastructure. The Bedford, PA based operations supporting the product line expects to complete any remaining customer obligations in 2025. The product line had net sales of $94 and $921 for the three months ended September 30, 2025 and 2024, respectively, and $1,093 and $2,888 for the nine months ended September 30,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2025 Compared to Third Quarter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138,286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137,466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31,066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32,758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bps</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22,077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24,289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bps</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8,295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7,137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4,325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35,898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35,905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September 30, 2025 increased $820, or 0.6%, over the prior year quarter. The increase was driven by sales growth in the Infrastructure segment, which improved $2,530, or 4.4%, over the prior year quarter. Partially offsetting these improvements were sales volume declines in the Rail segment which declined $1,710, or 2.2%, from the prior year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September 30, 2025 decreased $1,692, or 5.2%, from the prior year quarter. The decline in gross profit was due to the Rail segment which declined $725, or 3.9%, due to lower sales volumes and a decline in gross profit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$967, or 6.8%, in the Infrastructure segment due to higher manufacturing costs and unfavorable sales mix. Gross profit margins declined 130 basis points to 22.5%.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September 30, 2025 decreased $2,212, or 9.1%, from the prior year quarter, due primarily to lower personnel costs as a result of the restructuring programs and general administrative spending which decreased $424 and $526, respectively. Selling and administrative expenses for the prior year quarter includes $422 in legal costs associated with a resolved legal matter and $840 in employee-related restructuring costs. Selling and administrative expenses as a percentage of net sales decreased to 16.0% in the current quarter.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expense for the three months ended September 30, 2025 decreased $104 from the prior year quarter. The Company's outstanding debt balance was $58,722 as of September 30, 2025, compared to $68,544 as of September 30,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September 30, 2025 was 39.4%, compared to (483.4)% in the prior year quarter. The Company's effective income tax rate for the three months ended September 30, 2025 differed from the statutory rate of 21% primarily due to the impact of pre-tax losses in the United Kingdom, for which no income tax benefit was recognized due to a valuation allowance.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three months ended September 30, 2025 was $4,354, or $0.40 per diluted share, compared to net income in the prior year quarter of $35,905, or $3.27 per diluted share. The decrease is due primarily to a $30,045 favorable tax valuation allowance adjustment recorded in the prior year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77,788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79,498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17,746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18,471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(40)bps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5,895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140 bps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 segment net sales for the three months ended September 30, 2025 decreased $1,710, or 2.2%, from the prior year quarter. The decline was primarily driven by a $2,814, or 5.9%, decline in Rail Products sales volumes, coupled with a decline in Technology Services and Solutions volumes, which declined $661 or 5.3%, due to continued right-sizing of the UK business partially offset by strength in Total Track Monitoring. Also offsetting these declines was an increase of $1,765, or 9.0%, in Global Friction Management.</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Rail segment gross profit for the three months ended September 30, 2025 decreased $725, or 3.9%, from the prior year quarter, and gross profit margins declined by 40 basis points to 22.8%. The primary driver of this decline was the Technology Services and Solutions business unit which decreased $860 due to lower volumes in the UK business and unfavorable business mix including commercial weakness in the UK. Partially offsetting these declines was an increase in Rail Products gross profit of $167 due to favorable business mix. Global Friction Management margins were down slightly from the prior year quarter.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Rail segment operating income for the three months ended September 30, 2025 increased $962, or 19.5%, from the prior year quarter due primarily to declines in selling and administrative expenses and lower amortization expense.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 Rail segment had new orders, net of $86,360, an increase of $33,685 over the prior year quarter, driven by improvement across all business units within the segment. Rail Products and Global Friction Management improved 35.9% and 4.3% over the prior year quarter, respectively. Technology Services and Solutions new orders, net improved $25,048 due to a large, multi-year order received in the UK business. Backlog as of September 30, 2025, was $140,233, a $51,570, or 58.2%, increase over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60,498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(260) 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(190) 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Infrastructure segment net sales for the three months ended September 30, 2025, increased $2,530 or 4.4%, over the prior year quarter. The increase was primarily due to the Steel Products business unit which increased $1,946, or 12.7%, due to sales volume growth in the Protective Coatings business. Additionally, Precast Concrete Products net sales increased $584, or 1.4%, over the prior year quarter.</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Infrastructure segment gross profit for the three months ended September 30, 2025 decreased $967, or 6.8%, from the prior year quarter. The decline in gross profit was due to the Precast Concrete business unit which declined $2,198 due to unfavorable sales mix and higher manufacturing costs. Gross profit for the three months ended September 30, 2025 includes $557 in costs associated with the startup of the Florida precast facility consistent with the Company's growth strategy. Steel Products gross profit improved $1,231 over the prior year quarter due to higher volumes and favorable business mix. Gross profit margins declined 260 basis points to 22.0% due to the Precast Concrete business.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Infrastructure segment operating income for the three months ended September 30, 2025 was unfavorable by $963, or 18.8%, compared to the prior year quarter due to lower gross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Infrastructure had new orders, net of $28,416, a decrease of $14,882, from the prior year quarter due to order cancellations primarily in the Steel Products business unit. Steel Products new orders, net decreased by 148.1% which was partially offset by a 10.8% increase in the Precast Concrete business unit. Backlog as of September 30, 2025, was $107,183, a decrease of $13,159, or 10.9%, from the prior year quarter due to order cancellations in Steel Products offset in part by a $3,988 increase, or 4.9%, in backlog for Precast Concrete.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7"/>
              </w:rPr>
              <w:t>(165)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7"/>
              </w:rPr>
              <w:t>(664)</w:t>
            </w:r>
          </w:p>
        </w:tc>
        <w:tc>
          <w:tcPr>
            <w:tcW w:w="100" w:type="dxa"/>
            <w:vAlign w:val="bottom"/>
          </w:tcPr>
          <w:p>
            <w:pPr>
              <w:spacing w:after="0"/>
              <w:rPr>
                <w:sz w:val="19"/>
                <w:szCs w:val="19"/>
                <w:color w:val="auto"/>
              </w:rPr>
            </w:pPr>
          </w:p>
        </w:tc>
        <w:tc>
          <w:tcPr>
            <w:tcW w:w="15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6"/>
              </w:rPr>
              <w:t>333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8"/>
                <w:szCs w:val="18"/>
                <w:color w:val="auto"/>
                <w:w w:val="97"/>
              </w:rPr>
              <w:t>(477)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7"/>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corporate expense - net for the three months ended September 30, 2025 was $1,747 compared to $2,720 for the three months ended September 30, 2024. Corporate executive management costs decreased from the prior year quarter primarily due to a decrease of $422 in corporate legal costs associated with a resolved legal matter and lower professional service expenditures.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Nine Months 2025 Compared to First Nine Months 2024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w w:val="92"/>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379,636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402,582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82,117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89,447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65,411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71,977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2,656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14,050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10,672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(29,110)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5,047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43,120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(38,073)</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5,129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43,188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sales for the nine months ended September 30, 2025 decreased $22,946, or 5.7%, from the prior year period. Rail segment net sales decreased $39,939, or 16.1%, from the prior year period and was offset in part by higher sales in the Infrastructure segment which improved $16,993, or 11.0%, over the prior year period.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nine months ended September 30, 2025 decreased $7,330, or 8.2%, from the prior year period and gross profit margins declined 60 basis points to 21.6%. The decline in gross profit was primarily due to lower sales volumes in the Rail segment which declined $10,010 from the prior year period and includes $1,085 of AMH Exit costs. Partially offsetting this decline was gross profit improvement in the Infrastructure segment of $2,680 due to improved volumes offset in part by unfavorable business mix and increased manufacturing costs including $1,633 of costs associated with the start up of our Florida precast facility. Gross profit for the nine months ended September 30, 2024 includes a $815 gain on the sale of ancillary property.</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Selling and administrative expenses for the nine months ended September 30, 2025 decreased $6,566, or 9.1%, from the prior year period. The decline was primarily attributed to decreases of $2,202 in personnel costs as a result of our restructuring programs, $1,173 in legal costs, $783 in professional services expenditures, $574 in lower restructuring costs, and reduced travel and insurance costs. Selling and administrative expenses as a percentage of net sales decreased from the prior year period to 17.2%.</w:t>
      </w:r>
    </w:p>
    <w:p>
      <w:pPr>
        <w:spacing w:after="0" w:line="225"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Net interest expense decreased $89 for the nine months ended September 30, 2025 compared to the prior year period. The Company's outstanding debt balance was $58,722 as of September 30, 2025, compared to $68,544 as of September 30,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nine months ended September 30, 2025 was 52.7%, compared to (207.8)% in the prior year period. The Company's effective income tax rate for the nine months ended September 30, 2025 differed from the statutory rate of 21% primarily due to the impact of pre-tax losses in the United Kingdom for which no income tax benefit was recognized due to a valuation allowance.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nine months ended September 30, 2025 was $5,129, or $0.47 per diluted share, compared to net income in the prior year period of $43,188, or $3.91 per diluted share. Net income for the nine months ended September 30, 2024 included an income tax benefit of $29,110 associated with a favorable tax valuation adjustment and a $3,477 gain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sale of a former joint venture facility in Magnolia, Texas. The decrease in net income was also impacted by lower gross profit for the nine months ended September 30, 2025 partially offset by reductions in selling and administrative expenses and amortization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207,776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247,715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(39,939)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44,907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54,917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(60)bps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(220)bps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Rail segment net sales for the nine months ended September 30, 2025 decreased $39,939, or 16.1 %, from the prior year period. The decrease was primarily due to the decline in the Rail Products business unit which declined $35,286, or 22.5%, due to the timing of large orders in the Rail Distribution product line. Technology Services and Solutions net sales decreased $10,952, or 27.4%, due to the Company scaling back initiatives in the United Kingdom. Global Friction Management net sales improved $6,299, or 12.3%, due to improved demand in domestic markets served.</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Rail segment gross profit for the nine months ended September 30, 2025 decreased $10,010, or 18.2%, from the prior year period, and gross profit margins declined 60 basis points to 21.6%. The Rail Products and Technology Services and Solutions business units gross profit declined $5,862 and $6,901, respectively, due to lower volumes and unfavorable business mix. The Technology Services and Solutions business unit gross profit decline was due in part to $1,085 of restructuring costs associated with the AMH Exit. Partially offsetting these declines was an improvement in the Global Friction Management gross profit of $2,753 due to higher volumes.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Rail segment operating income for the nine months ended September 30, 2025 decreased $7,426, or 43.1%, from the prior year period. The decrease was driven by a decline in gross profit associated with lower sales volumes partially offset by decreases in selling and administrative expenses and amortization expense of $1,834 and $750, respectively.</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new orders, net were $283,956, an increase of $30,544 from the prior year period. The increase was due to a 68.2% improvement in the Technology Services and Solutions business unit due to a large, multi-year order received in the UK business, a 6.2% improvement in the Global Friction Management business unit, and a 5.6% improvement in Rail Products business unit.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171,860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154,867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16,993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37,210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34,530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Infrastructure segment net sales for the nine months ended September 30, 2025 increased $16,993, or 11.0%, over the prior year period. The increase in net sales was attributable to the Precast Concrete Products business unit which increased $19,920, or 20.4%, over the prior year period which was partially offset by the Steel Products business unit which decreased $2,927, or 5.1%, from the prior year period due to declines in the bridge forms product line and the Bridge Exit.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Infrastructure segment gross profit for the nine months ended September 30, 2025 increased $2,680, or 7.8%, due to gross profit increases in both business units. Gross profit increased by $1,836, in the Precast Concrete business unit due primarily to higher sales volumes offset in part by higher manufacturing costs including $1,633 of costs associated with the start up of our Florida precast facility in line with the Company's strategic growth plan. Steel Products gross profit improved $844, over the prior year quarter due to favorable business mix and benefits associated with the Bridge Exit. Gross profit margins of 21.7% decreased 60 basis points from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year period due to unfavorable sales mix and higher manufacturing costs in the Precast Concrete business. Gross profit for the nine months ended September 30, 2024 includes the $815 gain on sale of ancillary property.</w:t>
      </w:r>
    </w:p>
    <w:p>
      <w:pPr>
        <w:jc w:val="both"/>
        <w:spacing w:after="0" w:line="260" w:lineRule="auto"/>
        <w:rPr>
          <w:sz w:val="20"/>
          <w:szCs w:val="20"/>
          <w:color w:val="auto"/>
        </w:rPr>
      </w:pPr>
      <w:r>
        <w:rPr>
          <w:rFonts w:ascii="Times New Roman" w:cs="Times New Roman" w:eastAsia="Times New Roman" w:hAnsi="Times New Roman"/>
          <w:sz w:val="18"/>
          <w:szCs w:val="18"/>
          <w:color w:val="auto"/>
        </w:rPr>
        <w:t>Infrastructure segment operating income for the nine months ended September 30, 2025 was favorable $3,124, or 42.5%, compared to the prior year period due to improvements in gross profit and a decrease in selling and administrative expenses.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Infrastructure segment had new orders, net of $155,639, an increase of $9,700, over the prior year period. The increase is due to the Precast Concrete Products business unit which increased 19.7% over the prior year period. Partially offsetting this increase was a decrease in the Steel Products business unit of 24.8% from the prior year period due to order cancellations.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color w:val="auto"/>
              </w:rPr>
              <w:t>Nine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color w:val="auto"/>
              </w:rPr>
              <w:t>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Unallocated corporate expense - net for the nine months ended September 30, 2025 was $6,205 compared to the nine months ended September 30, 2024 which was $7,096. The decrease was primarily due to a decline in corporate executive management costs of $3,008 due to a decrease in legal fees, professional service expenditures, and travel and insurance costs. This decline was offset in part by the $3,477 gain on the sale of the former joint venture facility in Magnolia, Texas in the nine months ended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The revolving credit facility provides for a total commitment of up to $150,000, of which $91,108 was available for borrowing as of September 30, 2025, subject to covenant restrictions. The Company’s primary needs for liquidity relate to working capital requirements for operations, capital expenditures, debt service obligations, tax obligations, outstanding purchase obligations, acquisitions, restructuring payments, and to support the share repurchase program. The Company’s total debt, including finance leases, was $58,722 and $46,940 as of September 30, 2025 and December 31, 2024, respectively, and was primarily comprised of borrowings under its revolving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September 30, 2025:</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 2025</w:t>
            </w:r>
          </w:p>
        </w:tc>
        <w:tc>
          <w:tcPr>
            <w:tcW w:w="64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09"/>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91,108</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we were in compliance with all covenants of the Credit Agreement and have $94,536 available funding capacity, subject to covenant restrictions.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needs, as well as its overall profitability. While the Company places an emphasis on working capital management in its operations, factors such as its business mix, commercial terms,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September 30, 2025, but adverse changes in the economic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environment and adverse financial conditions of its customers may impact certain of its customers’ ability to access capital and compensate the Company for its products and services, as well as impact demand for its products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nine months ended September 30, 2025 and 2024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23"/>
        </w:trPr>
        <w:tc>
          <w:tcPr>
            <w:tcW w:w="8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operating activities was $13,447, compared to cash used in operating activities of $1,653 during the prior year period. For the nine months ended September 30, 2025, net income and adjustments to reconcile net income from operating activities provided $23,380, compared to $22,264 in the prior year period. Working capital and other assets and liabilities were a use of $9,933 in the current period, compared to a use of $23,917 in the prior year period. The increase in operating cash flow for the nine months ended September 30, 2025 compared to the prior year period was largely driven by lower working capital needs associated with the lower Rail volumes. Changes in payment timing can impact accounts receivable in any given quarter due to the seasonality of our businesses.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Investing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2025 and 2024 were $8,057 and $7,834, respectively. Capital expenditures in both periods primarily relate to general plant and operational improvements throughout the Company, as well as organic growth initiatives including investments in our new Precast Concrete facility in Lake County, Florida. During the nine months ended September 30, 2024, the Company divested the facility and land of its former joint venture in Magnolia, Texas and the fixed assets associated with the Bridge Exit generating a cash inflow of $3,881.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Financing Activities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had an increase in outstanding debt of $9,963 compared to a $12,162 increase during the nine months ended September 30, 2024. Additionally, debt issuance costs of $706 were incurred during the nine months ended September 30, 2025 related to the June 27, 2025 Fifth Amended and Restated Credit Agreement. During the nine months ended September 30, 2025, the Company also made a $782 deferred payment related to the June 2022 acquisition of Skratch Enterprises Ltd. This payment was deferred at the date of the acquisition in accordance with the purchase agreement and was made during the second quarter of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During the first quarter of 2025, the Company repurchased 113,169 shares for $3,123 under this program through February 2025. Since the program's inception and continuing through February 2025, the Company repurchased a total of 547,679 shares of its stock for $12,241 under the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2025, the Company's Board of Directors approved a new authorization to repurchase up to $40,000 of the Company's common stock in open market transactions and/or 10b5-1 trading plans through February 29, 2028. As of September 30, 2025, the Company repurchased 347,905 shares of its stock for $8,035 under this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both programs, the Company repurchased a total of 461,074 shares for $11,158 during the nine months ended September 30, 2025. From February 2023 through September 30, 2025, the Company repurchased a total of 895,584 shares of its stock for $20,276 under both programs.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$3,428 in cash and cash equivalents and $91,108 of availability under its revolving credit facility, subject to covenant restrictions. As of September 30, 2025, approximately $3,018 of the Company’s cash and cash equivalents were held in non-domestic bank accounts.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funding the now complete UPRR Settlement Agreement, and service indebtedness. The Company views its short and long-term liquidity as being dependent on its results of operations, changes in working capital needs, and its borrowing capacity.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 For a discussion of the terms and availability of the credit facilities, please refer to Note 7 of the Notes to Condensed Consolidated Financial Statements contained in this Quarterly Report on Form 10-Q.</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 The August 12, 2022 interest rate swap expired on March 1, 2025. The August 31, 2022 interest rate swap expires on August 13,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Backlog</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3"/>
        </w:trPr>
        <w:tc>
          <w:tcPr>
            <w:tcW w:w="7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7"/>
              <w:spacing w:after="0" w:line="133" w:lineRule="exact"/>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7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88,663</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120,342</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lower levels of backlog throughout the year. Backlog increased by $38,411 over the prior year period due primarily to increases throughout the Rail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Company’s performance obligations have not been met, including with respect to new orders and contracts for which the Company has not begun any performance. Management utilizes new orders, net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performance.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September 30, 2025, the end of the period covered by this report.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w:t>
      </w:r>
    </w:p>
    <w:p>
      <w:pPr>
        <w:spacing w:after="0" w:line="5" w:lineRule="exact"/>
        <w:rPr>
          <w:sz w:val="20"/>
          <w:szCs w:val="20"/>
          <w:color w:val="auto"/>
        </w:rPr>
      </w:pPr>
    </w:p>
    <w:p>
      <w:pPr>
        <w:ind w:firstLine="8"/>
        <w:spacing w:after="0" w:line="260"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management, including the Chief Executive Officer, Chief Financial Officer, or person performing such functions, as appropriate to allow timely decisions regarding disclosure.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such term is defined in Rules 13a-15(f) and 15d-15(f) under the Exchange Act) that occurred during the quarter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this Quarterly Report on Form 10-Q,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purchases of equity securities for the three months ended September 30, 2025 were as follows:</w:t>
      </w:r>
    </w:p>
    <w:p>
      <w:pPr>
        <w:spacing w:after="0" w:line="354" w:lineRule="exact"/>
        <w:rPr>
          <w:sz w:val="20"/>
          <w:szCs w:val="20"/>
          <w:color w:val="auto"/>
        </w:rPr>
      </w:pPr>
    </w:p>
    <w:p>
      <w:pPr>
        <w:ind w:left="4880"/>
        <w:spacing w:after="0"/>
        <w:tabs>
          <w:tab w:leader="none" w:pos="650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(a)</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8000" w:space="8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35,708</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34,312</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85,666</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184,143</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184,143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31,965</w:t>
            </w: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During the current period, 0 shares were withheld by the Company to pay taxes upon vesting of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September 30,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8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080" w:type="dxa"/>
            <w:vAlign w:val="bottom"/>
            <w:gridSpan w:val="4"/>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60" w:type="dxa"/>
            <w:vAlign w:val="bottom"/>
            <w:gridSpan w:val="2"/>
          </w:tcPr>
          <w:p>
            <w:pPr>
              <w:spacing w:after="0"/>
              <w:rPr>
                <w:sz w:val="19"/>
                <w:szCs w:val="19"/>
                <w:color w:val="auto"/>
              </w:rPr>
            </w:pPr>
          </w:p>
        </w:tc>
      </w:tr>
      <w:tr>
        <w:trPr>
          <w:trHeight w:val="47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80" w:type="dxa"/>
            <w:vAlign w:val="bottom"/>
            <w:gridSpan w:val="4"/>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7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60" w:type="dxa"/>
            <w:vAlign w:val="bottom"/>
            <w:gridSpan w:val="6"/>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99"/>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35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r>
        <w:trPr>
          <w:trHeight w:val="74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33</w:t>
            </w: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3, 2025</w:t>
            </w: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3, 2025</w:t>
            </w:r>
          </w:p>
        </w:tc>
        <w:tc>
          <w:tcPr>
            <w:tcW w:w="262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0" w:type="dxa"/>
            <w:vAlign w:val="bottom"/>
            <w:gridSpan w:val="3"/>
          </w:tcPr>
          <w:p>
            <w:pPr>
              <w:ind w:left="262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November 3, 2025</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September 30, 2025,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3, 2025</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3, 2025</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29"/>
        </w:trPr>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2025-11-03T14:48:30Z</dcterms:created>
  <dcterms:modified xsi:type="dcterms:W3CDTF">2025-11-03T14:48:30Z</dcterms:modified>
</cp:coreProperties>
</file>