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21, 2023 (December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L.B. Foster Company</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74" w:lineRule="exact"/>
        <w:rPr>
          <w:sz w:val="24"/>
          <w:szCs w:val="24"/>
          <w:color w:val="auto"/>
        </w:rPr>
      </w:pPr>
    </w:p>
    <w:tbl>
      <w:tblPr>
        <w:tblLayout w:type="fixed"/>
        <w:tblInd w:w="40" w:type="dxa"/>
        <w:tblCellMar>
          <w:top w:w="0" w:type="dxa"/>
          <w:left w:w="0" w:type="dxa"/>
          <w:bottom w:w="0" w:type="dxa"/>
          <w:right w:w="0" w:type="dxa"/>
        </w:tblCellMar>
      </w:tblPr>
      <w:tr>
        <w:trPr>
          <w:trHeight w:val="221"/>
        </w:trPr>
        <w:tc>
          <w:tcPr>
            <w:tcW w:w="3640" w:type="dxa"/>
            <w:vAlign w:val="bottom"/>
          </w:tcPr>
          <w:p>
            <w:pPr>
              <w:jc w:val="center"/>
              <w:ind w:left="700"/>
              <w:spacing w:after="0"/>
              <w:rPr>
                <w:sz w:val="20"/>
                <w:szCs w:val="20"/>
                <w:color w:val="auto"/>
              </w:rPr>
            </w:pPr>
            <w:r>
              <w:rPr>
                <w:rFonts w:ascii="Times New Roman" w:cs="Times New Roman" w:eastAsia="Times New Roman" w:hAnsi="Times New Roman"/>
                <w:sz w:val="17"/>
                <w:szCs w:val="17"/>
                <w:b w:val="1"/>
                <w:bCs w:val="1"/>
                <w:color w:val="auto"/>
              </w:rPr>
              <w:t>Pennsylvania</w:t>
            </w:r>
          </w:p>
        </w:tc>
        <w:tc>
          <w:tcPr>
            <w:tcW w:w="3980" w:type="dxa"/>
            <w:vAlign w:val="bottom"/>
          </w:tcPr>
          <w:p>
            <w:pPr>
              <w:jc w:val="center"/>
              <w:ind w:right="41"/>
              <w:spacing w:after="0"/>
              <w:rPr>
                <w:sz w:val="20"/>
                <w:szCs w:val="20"/>
                <w:color w:val="auto"/>
              </w:rPr>
            </w:pPr>
            <w:r>
              <w:rPr>
                <w:rFonts w:ascii="Times New Roman" w:cs="Times New Roman" w:eastAsia="Times New Roman" w:hAnsi="Times New Roman"/>
                <w:sz w:val="17"/>
                <w:szCs w:val="17"/>
                <w:b w:val="1"/>
                <w:bCs w:val="1"/>
                <w:color w:val="auto"/>
              </w:rPr>
              <w:t>000-10436</w:t>
            </w:r>
          </w:p>
        </w:tc>
        <w:tc>
          <w:tcPr>
            <w:tcW w:w="3560" w:type="dxa"/>
            <w:vAlign w:val="bottom"/>
          </w:tcPr>
          <w:p>
            <w:pPr>
              <w:jc w:val="right"/>
              <w:ind w:right="1721"/>
              <w:spacing w:after="0"/>
              <w:rPr>
                <w:sz w:val="20"/>
                <w:szCs w:val="20"/>
                <w:color w:val="auto"/>
              </w:rPr>
            </w:pPr>
            <w:r>
              <w:rPr>
                <w:rFonts w:ascii="Times New Roman" w:cs="Times New Roman" w:eastAsia="Times New Roman" w:hAnsi="Times New Roman"/>
                <w:sz w:val="17"/>
                <w:szCs w:val="17"/>
                <w:b w:val="1"/>
                <w:bCs w:val="1"/>
                <w:color w:val="auto"/>
              </w:rPr>
              <w:t>25-1324733</w:t>
            </w:r>
          </w:p>
        </w:tc>
      </w:tr>
      <w:tr>
        <w:trPr>
          <w:trHeight w:val="182"/>
        </w:trPr>
        <w:tc>
          <w:tcPr>
            <w:tcW w:w="3640" w:type="dxa"/>
            <w:vAlign w:val="bottom"/>
          </w:tcPr>
          <w:p>
            <w:pPr>
              <w:jc w:val="center"/>
              <w:ind w:left="700"/>
              <w:spacing w:after="0"/>
              <w:rPr>
                <w:sz w:val="20"/>
                <w:szCs w:val="20"/>
                <w:color w:val="auto"/>
              </w:rPr>
            </w:pPr>
            <w:r>
              <w:rPr>
                <w:rFonts w:ascii="Times New Roman" w:cs="Times New Roman" w:eastAsia="Times New Roman" w:hAnsi="Times New Roman"/>
                <w:sz w:val="14"/>
                <w:szCs w:val="14"/>
                <w:color w:val="auto"/>
                <w:w w:val="99"/>
              </w:rPr>
              <w:t>(State or other jurisdiction of incorporation)</w:t>
            </w:r>
          </w:p>
        </w:tc>
        <w:tc>
          <w:tcPr>
            <w:tcW w:w="398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w w:val="99"/>
              </w:rPr>
              <w:t>(Commission File Number)</w:t>
            </w:r>
          </w:p>
        </w:tc>
        <w:tc>
          <w:tcPr>
            <w:tcW w:w="3560" w:type="dxa"/>
            <w:vAlign w:val="bottom"/>
          </w:tcPr>
          <w:p>
            <w:pPr>
              <w:jc w:val="center"/>
              <w:ind w:right="821"/>
              <w:spacing w:after="0"/>
              <w:rPr>
                <w:sz w:val="20"/>
                <w:szCs w:val="20"/>
                <w:color w:val="auto"/>
              </w:rPr>
            </w:pPr>
            <w:r>
              <w:rPr>
                <w:rFonts w:ascii="Times New Roman" w:cs="Times New Roman" w:eastAsia="Times New Roman" w:hAnsi="Times New Roman"/>
                <w:sz w:val="14"/>
                <w:szCs w:val="14"/>
                <w:color w:val="auto"/>
                <w:w w:val="99"/>
              </w:rPr>
              <w:t>(I.R.S. Employer Identification No.)</w:t>
            </w:r>
          </w:p>
        </w:tc>
      </w:tr>
      <w:tr>
        <w:trPr>
          <w:trHeight w:val="499"/>
        </w:trPr>
        <w:tc>
          <w:tcPr>
            <w:tcW w:w="3640" w:type="dxa"/>
            <w:vAlign w:val="bottom"/>
          </w:tcPr>
          <w:p>
            <w:pPr>
              <w:jc w:val="center"/>
              <w:ind w:left="700"/>
              <w:spacing w:after="0"/>
              <w:rPr>
                <w:sz w:val="20"/>
                <w:szCs w:val="20"/>
                <w:color w:val="auto"/>
              </w:rPr>
            </w:pPr>
            <w:r>
              <w:rPr>
                <w:rFonts w:ascii="Times New Roman" w:cs="Times New Roman" w:eastAsia="Times New Roman" w:hAnsi="Times New Roman"/>
                <w:sz w:val="17"/>
                <w:szCs w:val="17"/>
                <w:b w:val="1"/>
                <w:bCs w:val="1"/>
                <w:color w:val="auto"/>
              </w:rPr>
              <w:t>415 Holiday Drive, Suite 100,</w:t>
            </w:r>
          </w:p>
        </w:tc>
        <w:tc>
          <w:tcPr>
            <w:tcW w:w="3980" w:type="dxa"/>
            <w:vAlign w:val="bottom"/>
          </w:tcPr>
          <w:p>
            <w:pPr>
              <w:spacing w:after="0"/>
              <w:rPr>
                <w:sz w:val="24"/>
                <w:szCs w:val="24"/>
                <w:color w:val="auto"/>
              </w:rPr>
            </w:pPr>
          </w:p>
        </w:tc>
        <w:tc>
          <w:tcPr>
            <w:tcW w:w="3560" w:type="dxa"/>
            <w:vAlign w:val="bottom"/>
          </w:tcPr>
          <w:p>
            <w:pPr>
              <w:jc w:val="right"/>
              <w:ind w:right="1941"/>
              <w:spacing w:after="0"/>
              <w:rPr>
                <w:sz w:val="20"/>
                <w:szCs w:val="20"/>
                <w:color w:val="auto"/>
              </w:rPr>
            </w:pPr>
            <w:r>
              <w:rPr>
                <w:rFonts w:ascii="Times New Roman" w:cs="Times New Roman" w:eastAsia="Times New Roman" w:hAnsi="Times New Roman"/>
                <w:sz w:val="17"/>
                <w:szCs w:val="17"/>
                <w:b w:val="1"/>
                <w:bCs w:val="1"/>
                <w:color w:val="auto"/>
              </w:rPr>
              <w:t>15220</w:t>
            </w:r>
          </w:p>
        </w:tc>
      </w:tr>
      <w:tr>
        <w:trPr>
          <w:trHeight w:val="223"/>
        </w:trPr>
        <w:tc>
          <w:tcPr>
            <w:tcW w:w="3640" w:type="dxa"/>
            <w:vAlign w:val="bottom"/>
          </w:tcPr>
          <w:p>
            <w:pPr>
              <w:ind w:left="1340"/>
              <w:spacing w:after="0"/>
              <w:rPr>
                <w:sz w:val="20"/>
                <w:szCs w:val="20"/>
                <w:color w:val="auto"/>
              </w:rPr>
            </w:pPr>
            <w:r>
              <w:rPr>
                <w:rFonts w:ascii="Times New Roman" w:cs="Times New Roman" w:eastAsia="Times New Roman" w:hAnsi="Times New Roman"/>
                <w:sz w:val="17"/>
                <w:szCs w:val="17"/>
                <w:b w:val="1"/>
                <w:bCs w:val="1"/>
                <w:color w:val="auto"/>
              </w:rPr>
              <w:t>Pittsburgh, Pennsylvania</w:t>
            </w:r>
          </w:p>
        </w:tc>
        <w:tc>
          <w:tcPr>
            <w:tcW w:w="3980" w:type="dxa"/>
            <w:vAlign w:val="bottom"/>
          </w:tcPr>
          <w:p>
            <w:pPr>
              <w:spacing w:after="0"/>
              <w:rPr>
                <w:sz w:val="19"/>
                <w:szCs w:val="19"/>
                <w:color w:val="auto"/>
              </w:rPr>
            </w:pPr>
          </w:p>
        </w:tc>
        <w:tc>
          <w:tcPr>
            <w:tcW w:w="3560" w:type="dxa"/>
            <w:vAlign w:val="bottom"/>
          </w:tcPr>
          <w:p>
            <w:pPr>
              <w:jc w:val="center"/>
              <w:ind w:right="821"/>
              <w:spacing w:after="0"/>
              <w:rPr>
                <w:sz w:val="20"/>
                <w:szCs w:val="20"/>
                <w:color w:val="auto"/>
              </w:rPr>
            </w:pPr>
            <w:r>
              <w:rPr>
                <w:rFonts w:ascii="Times New Roman" w:cs="Times New Roman" w:eastAsia="Times New Roman" w:hAnsi="Times New Roman"/>
                <w:sz w:val="14"/>
                <w:szCs w:val="14"/>
                <w:color w:val="auto"/>
              </w:rPr>
              <w:t>(Zip Code)</w:t>
            </w:r>
          </w:p>
        </w:tc>
      </w:tr>
      <w:tr>
        <w:trPr>
          <w:trHeight w:val="182"/>
        </w:trPr>
        <w:tc>
          <w:tcPr>
            <w:tcW w:w="3640" w:type="dxa"/>
            <w:vAlign w:val="bottom"/>
          </w:tcPr>
          <w:p>
            <w:pPr>
              <w:jc w:val="center"/>
              <w:ind w:left="700"/>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398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525"/>
        </w:trPr>
        <w:tc>
          <w:tcPr>
            <w:tcW w:w="3640" w:type="dxa"/>
            <w:vAlign w:val="bottom"/>
          </w:tcPr>
          <w:p>
            <w:pPr>
              <w:spacing w:after="0"/>
              <w:rPr>
                <w:sz w:val="24"/>
                <w:szCs w:val="24"/>
                <w:color w:val="auto"/>
              </w:rPr>
            </w:pPr>
          </w:p>
        </w:tc>
        <w:tc>
          <w:tcPr>
            <w:tcW w:w="3980" w:type="dxa"/>
            <w:vAlign w:val="bottom"/>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rPr>
              <w:t>(412) 928-3400</w:t>
            </w:r>
          </w:p>
        </w:tc>
        <w:tc>
          <w:tcPr>
            <w:tcW w:w="3560" w:type="dxa"/>
            <w:vAlign w:val="bottom"/>
          </w:tcPr>
          <w:p>
            <w:pPr>
              <w:spacing w:after="0"/>
              <w:rPr>
                <w:sz w:val="24"/>
                <w:szCs w:val="24"/>
                <w:color w:val="auto"/>
              </w:rPr>
            </w:pPr>
          </w:p>
        </w:tc>
      </w:tr>
      <w:tr>
        <w:trPr>
          <w:trHeight w:val="182"/>
        </w:trPr>
        <w:tc>
          <w:tcPr>
            <w:tcW w:w="3640" w:type="dxa"/>
            <w:vAlign w:val="bottom"/>
          </w:tcPr>
          <w:p>
            <w:pPr>
              <w:spacing w:after="0"/>
              <w:rPr>
                <w:sz w:val="15"/>
                <w:szCs w:val="15"/>
                <w:color w:val="auto"/>
              </w:rPr>
            </w:pPr>
          </w:p>
        </w:tc>
        <w:tc>
          <w:tcPr>
            <w:tcW w:w="398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w w:val="99"/>
              </w:rPr>
              <w:t>(Registrant’s telephone number, including area code)</w:t>
            </w:r>
          </w:p>
        </w:tc>
        <w:tc>
          <w:tcPr>
            <w:tcW w:w="3560" w:type="dxa"/>
            <w:vAlign w:val="bottom"/>
          </w:tcPr>
          <w:p>
            <w:pPr>
              <w:spacing w:after="0"/>
              <w:rPr>
                <w:sz w:val="15"/>
                <w:szCs w:val="15"/>
                <w:color w:val="auto"/>
              </w:rPr>
            </w:pPr>
          </w:p>
        </w:tc>
      </w:tr>
      <w:tr>
        <w:trPr>
          <w:trHeight w:val="433"/>
        </w:trPr>
        <w:tc>
          <w:tcPr>
            <w:tcW w:w="3640" w:type="dxa"/>
            <w:vAlign w:val="bottom"/>
          </w:tcPr>
          <w:p>
            <w:pPr>
              <w:spacing w:after="0"/>
              <w:rPr>
                <w:sz w:val="24"/>
                <w:szCs w:val="24"/>
                <w:color w:val="auto"/>
              </w:rPr>
            </w:pPr>
          </w:p>
        </w:tc>
        <w:tc>
          <w:tcPr>
            <w:tcW w:w="3980" w:type="dxa"/>
            <w:vAlign w:val="bottom"/>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rPr>
              <w:t>Not Applicable</w:t>
            </w:r>
          </w:p>
        </w:tc>
        <w:tc>
          <w:tcPr>
            <w:tcW w:w="3560" w:type="dxa"/>
            <w:vAlign w:val="bottom"/>
          </w:tcPr>
          <w:p>
            <w:pPr>
              <w:spacing w:after="0"/>
              <w:rPr>
                <w:sz w:val="24"/>
                <w:szCs w:val="24"/>
                <w:color w:val="auto"/>
              </w:rPr>
            </w:pPr>
          </w:p>
        </w:tc>
      </w:tr>
      <w:tr>
        <w:trPr>
          <w:trHeight w:val="182"/>
        </w:trPr>
        <w:tc>
          <w:tcPr>
            <w:tcW w:w="3640" w:type="dxa"/>
            <w:vAlign w:val="bottom"/>
          </w:tcPr>
          <w:p>
            <w:pPr>
              <w:spacing w:after="0"/>
              <w:rPr>
                <w:sz w:val="15"/>
                <w:szCs w:val="15"/>
                <w:color w:val="auto"/>
              </w:rPr>
            </w:pPr>
          </w:p>
        </w:tc>
        <w:tc>
          <w:tcPr>
            <w:tcW w:w="398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w w:val="99"/>
              </w:rPr>
              <w:t>(Former name or former address, if changed since last report.)</w:t>
            </w:r>
          </w:p>
        </w:tc>
        <w:tc>
          <w:tcPr>
            <w:tcW w:w="3560" w:type="dxa"/>
            <w:vAlign w:val="bottom"/>
          </w:tcPr>
          <w:p>
            <w:pPr>
              <w:spacing w:after="0"/>
              <w:rPr>
                <w:sz w:val="15"/>
                <w:szCs w:val="15"/>
                <w:color w:val="auto"/>
              </w:rPr>
            </w:pPr>
          </w:p>
        </w:tc>
      </w:tr>
      <w:tr>
        <w:trPr>
          <w:trHeight w:val="37"/>
        </w:trPr>
        <w:tc>
          <w:tcPr>
            <w:tcW w:w="364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bl>
    <w:p>
      <w:pPr>
        <w:spacing w:after="0" w:line="244" w:lineRule="exact"/>
        <w:rPr>
          <w:sz w:val="24"/>
          <w:szCs w:val="24"/>
          <w:color w:val="auto"/>
        </w:rPr>
      </w:pPr>
    </w:p>
    <w:p>
      <w:pPr>
        <w:ind w:left="40" w:right="240"/>
        <w:spacing w:after="0" w:line="24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264" w:lineRule="exact"/>
        <w:rPr>
          <w:sz w:val="24"/>
          <w:szCs w:val="24"/>
          <w:color w:val="auto"/>
        </w:rPr>
      </w:pPr>
    </w:p>
    <w:p>
      <w:pPr>
        <w:ind w:left="380" w:hanging="183"/>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380" w:hanging="183"/>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380" w:hanging="183"/>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31" w:lineRule="exact"/>
        <w:rPr>
          <w:rFonts w:ascii="MS PGothic" w:cs="MS PGothic" w:eastAsia="MS PGothic" w:hAnsi="MS PGothic"/>
          <w:sz w:val="17"/>
          <w:szCs w:val="17"/>
          <w:color w:val="auto"/>
        </w:rPr>
      </w:pPr>
    </w:p>
    <w:p>
      <w:pPr>
        <w:ind w:left="380" w:hanging="183"/>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Securities registered pursuant to Section 12(b) of the Act:</w:t>
            </w:r>
          </w:p>
        </w:tc>
        <w:tc>
          <w:tcPr>
            <w:tcW w:w="3700" w:type="dxa"/>
            <w:vAlign w:val="bottom"/>
          </w:tcPr>
          <w:p>
            <w:pPr>
              <w:spacing w:after="0"/>
              <w:rPr>
                <w:sz w:val="16"/>
                <w:szCs w:val="16"/>
                <w:color w:val="auto"/>
              </w:rPr>
            </w:pPr>
          </w:p>
        </w:tc>
      </w:tr>
      <w:tr>
        <w:trPr>
          <w:trHeight w:val="196"/>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21"/>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Common Stock, Par Value $0.01</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FSTR</w:t>
            </w:r>
          </w:p>
        </w:tc>
        <w:tc>
          <w:tcPr>
            <w:tcW w:w="8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r>
    </w:tbl>
    <w:p>
      <w:pPr>
        <w:spacing w:after="0" w:line="291" w:lineRule="exact"/>
        <w:rPr>
          <w:sz w:val="24"/>
          <w:szCs w:val="24"/>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ind w:left="6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jc w:val="both"/>
        <w:ind w:firstLine="62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 w:name="page2"/>
    <w:bookmarkEnd w:id="1"/>
    <w:p>
      <w:pPr>
        <w:jc w:val="both"/>
        <w:ind w:firstLine="629"/>
        <w:spacing w:after="0" w:line="299" w:lineRule="auto"/>
        <w:rPr>
          <w:sz w:val="20"/>
          <w:szCs w:val="20"/>
          <w:color w:val="auto"/>
        </w:rPr>
      </w:pPr>
      <w:r>
        <w:rPr>
          <w:rFonts w:ascii="Times New Roman" w:cs="Times New Roman" w:eastAsia="Times New Roman" w:hAnsi="Times New Roman"/>
          <w:sz w:val="17"/>
          <w:szCs w:val="17"/>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L.B. Foster Company (the “Company”) announced that, on December 20, 2023, the Board voted to expand its membership from seven (7) directors to eight (8) directors, and the Company’s Board voted to elect Mr. David J. Meyer as an independent director, both effective January 1, 2024.</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Board has determined that Mr. Meyer qualifies as an “independent director” as defined under Rule 5605(a)(2) of the NASDAQ Marketplace Rules.</w:t>
      </w:r>
    </w:p>
    <w:p>
      <w:pPr>
        <w:spacing w:after="0" w:line="250"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Mr. Meyer’s compensation as a director will be consistent with that provided to the other Company non-management directors, which was described most recently on page 11 of the Company’s most recent Proxy Statement filed with the Securities and Exchange Commission on April 14, 2023. Mr. Meyer will receive a pro-rated annual 2023 director stock award and pro-rated applicable Board fees based upon his service prior to the 2024 Annual Meeting.</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is not aware of any transaction involving Mr. Meyer requiring disclosure under Item 404(a) of Regulation S-K.</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information included in Item 7.01 of this Current Report on Form 8-K is incorporated by reference into this Item 5.02.</w:t>
      </w:r>
    </w:p>
    <w:p>
      <w:pPr>
        <w:spacing w:after="0" w:line="248" w:lineRule="exact"/>
        <w:rPr>
          <w:sz w:val="20"/>
          <w:szCs w:val="20"/>
          <w:color w:val="auto"/>
        </w:rPr>
      </w:pPr>
    </w:p>
    <w:p>
      <w:pPr>
        <w:ind w:left="64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Item 7.01</w:t>
        <w:tab/>
        <w:t>Regulation FD Disclosure</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 copy of the press release issued by the Company on December 21, 2023 announcing the expansion of the Board and the appointment of Mr. Meyer to the Board is attached hereto as Exhibit 99.1.</w:t>
      </w:r>
    </w:p>
    <w:p>
      <w:pPr>
        <w:spacing w:after="0" w:line="17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information in this Item 7.01 of this Form 8-K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8" w:lineRule="exact"/>
        <w:rPr>
          <w:sz w:val="20"/>
          <w:szCs w:val="20"/>
          <w:color w:val="auto"/>
        </w:rPr>
      </w:pPr>
    </w:p>
    <w:p>
      <w:pPr>
        <w:ind w:left="64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5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7"/>
          <w:szCs w:val="17"/>
          <w:color w:val="auto"/>
        </w:rPr>
        <w:t>(d)</w:t>
        <w:tab/>
        <w:t>Exhibits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See Exhibit Index below.</w:t>
      </w:r>
    </w:p>
    <w:p>
      <w:pPr>
        <w:spacing w:after="0" w:line="200" w:lineRule="exact"/>
        <w:rPr>
          <w:sz w:val="20"/>
          <w:szCs w:val="20"/>
          <w:color w:val="auto"/>
        </w:rPr>
      </w:pPr>
    </w:p>
    <w:p>
      <w:pPr>
        <w:spacing w:after="0" w:line="279"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14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1440" w:type="dxa"/>
            <w:vAlign w:val="bottom"/>
          </w:tcPr>
          <w:p>
            <w:pPr>
              <w:spacing w:after="0"/>
              <w:rPr>
                <w:sz w:val="16"/>
                <w:szCs w:val="16"/>
                <w:color w:val="auto"/>
              </w:rPr>
            </w:pPr>
          </w:p>
        </w:tc>
      </w:tr>
      <w:tr>
        <w:trPr>
          <w:trHeight w:val="263"/>
        </w:trPr>
        <w:tc>
          <w:tcPr>
            <w:tcW w:w="1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 Number</w:t>
            </w:r>
          </w:p>
        </w:tc>
        <w:tc>
          <w:tcPr>
            <w:tcW w:w="63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89"/>
        </w:trPr>
        <w:tc>
          <w:tcPr>
            <w:tcW w:w="1400" w:type="dxa"/>
            <w:vAlign w:val="bottom"/>
          </w:tcPr>
          <w:p>
            <w:pPr>
              <w:jc w:val="right"/>
              <w:ind w:right="513"/>
              <w:spacing w:after="0" w:line="189" w:lineRule="exact"/>
              <w:rPr>
                <w:sz w:val="20"/>
                <w:szCs w:val="20"/>
                <w:color w:val="auto"/>
              </w:rPr>
            </w:pPr>
            <w:r>
              <w:rPr>
                <w:rFonts w:ascii="Times New Roman" w:cs="Times New Roman" w:eastAsia="Times New Roman" w:hAnsi="Times New Roman"/>
                <w:sz w:val="17"/>
                <w:szCs w:val="17"/>
                <w:color w:val="auto"/>
              </w:rPr>
              <w:t>*99.1</w:t>
            </w:r>
          </w:p>
        </w:tc>
        <w:tc>
          <w:tcPr>
            <w:tcW w:w="4620" w:type="dxa"/>
            <w:vAlign w:val="bottom"/>
            <w:tcBorders>
              <w:bottom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Press Release dated December 21, 2023, of L.B. Foster Company.</w:t>
            </w:r>
          </w:p>
        </w:tc>
        <w:tc>
          <w:tcPr>
            <w:tcW w:w="1700" w:type="dxa"/>
            <w:vAlign w:val="bottom"/>
            <w:gridSpan w:val="2"/>
          </w:tcPr>
          <w:p>
            <w:pPr>
              <w:spacing w:after="0"/>
              <w:rPr>
                <w:sz w:val="16"/>
                <w:szCs w:val="16"/>
                <w:color w:val="auto"/>
              </w:rPr>
            </w:pPr>
          </w:p>
        </w:tc>
      </w:tr>
      <w:tr>
        <w:trPr>
          <w:trHeight w:val="490"/>
        </w:trPr>
        <w:tc>
          <w:tcPr>
            <w:tcW w:w="140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*104</w:t>
            </w:r>
          </w:p>
        </w:tc>
        <w:tc>
          <w:tcPr>
            <w:tcW w:w="63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200" w:lineRule="exact"/>
        <w:rPr>
          <w:sz w:val="20"/>
          <w:szCs w:val="20"/>
          <w:color w:val="auto"/>
        </w:rPr>
      </w:pPr>
    </w:p>
    <w:p>
      <w:pPr>
        <w:spacing w:after="0" w:line="3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*Exhibits marked with an asterisk are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473710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 w:name="page3"/>
    <w:bookmarkEnd w:id="2"/>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52"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L.B. FOSTER COMPANY</w:t>
            </w:r>
          </w:p>
        </w:tc>
        <w:tc>
          <w:tcPr>
            <w:tcW w:w="940" w:type="dxa"/>
            <w:vAlign w:val="bottom"/>
          </w:tcPr>
          <w:p>
            <w:pPr>
              <w:spacing w:after="0"/>
              <w:rPr>
                <w:sz w:val="17"/>
                <w:szCs w:val="17"/>
                <w:color w:val="auto"/>
              </w:rPr>
            </w:pPr>
          </w:p>
        </w:tc>
      </w:tr>
      <w:tr>
        <w:trPr>
          <w:trHeight w:val="242"/>
        </w:trPr>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(Registrant)</w:t>
            </w:r>
          </w:p>
        </w:tc>
      </w:tr>
      <w:tr>
        <w:trPr>
          <w:trHeight w:val="433"/>
        </w:trPr>
        <w:tc>
          <w:tcPr>
            <w:tcW w:w="7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b w:val="1"/>
                <w:bCs w:val="1"/>
                <w:color w:val="auto"/>
              </w:rPr>
              <w:t>December 21, 2023</w:t>
            </w:r>
          </w:p>
        </w:tc>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 Patrick J. Guinee</w:t>
            </w:r>
          </w:p>
        </w:tc>
      </w:tr>
      <w:tr>
        <w:trPr>
          <w:trHeight w:val="237"/>
        </w:trPr>
        <w:tc>
          <w:tcPr>
            <w:tcW w:w="40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538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Patrick J. Guinee</w:t>
            </w:r>
          </w:p>
        </w:tc>
        <w:tc>
          <w:tcPr>
            <w:tcW w:w="1440" w:type="dxa"/>
            <w:vAlign w:val="bottom"/>
            <w:gridSpan w:val="2"/>
          </w:tcPr>
          <w:p>
            <w:pPr>
              <w:spacing w:after="0"/>
              <w:rPr>
                <w:sz w:val="20"/>
                <w:szCs w:val="20"/>
                <w:color w:val="auto"/>
              </w:rPr>
            </w:pPr>
          </w:p>
        </w:tc>
      </w:tr>
      <w:tr>
        <w:trPr>
          <w:trHeight w:val="223"/>
        </w:trPr>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Executive Vice President,</w:t>
            </w:r>
          </w:p>
        </w:tc>
      </w:tr>
      <w:tr>
        <w:trPr>
          <w:trHeight w:val="228"/>
        </w:trPr>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General Counsel, and Corporate Secretary</w:t>
            </w:r>
          </w:p>
        </w:tc>
      </w:tr>
    </w:tbl>
    <w:p>
      <w:pPr>
        <w:sectPr>
          <w:pgSz w:w="11900" w:h="16838" w:orient="portrait"/>
          <w:cols w:equalWidth="0" w:num="1">
            <w:col w:w="11240"/>
          </w:cols>
          <w:pgMar w:left="320" w:top="74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403225</wp:posOffset>
            </wp:positionV>
            <wp:extent cx="1996440" cy="607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6440" cy="60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0"/>
        <w:spacing w:after="0"/>
        <w:rPr>
          <w:sz w:val="20"/>
          <w:szCs w:val="20"/>
          <w:color w:val="auto"/>
        </w:rPr>
      </w:pPr>
      <w:r>
        <w:rPr>
          <w:rFonts w:ascii="Arial" w:cs="Arial" w:eastAsia="Arial" w:hAnsi="Arial"/>
          <w:sz w:val="24"/>
          <w:szCs w:val="24"/>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line="336" w:lineRule="auto"/>
        <w:rPr>
          <w:sz w:val="20"/>
          <w:szCs w:val="20"/>
          <w:color w:val="auto"/>
        </w:rPr>
      </w:pPr>
      <w:r>
        <w:rPr>
          <w:rFonts w:ascii="Arial" w:cs="Arial" w:eastAsia="Arial" w:hAnsi="Arial"/>
          <w:sz w:val="24"/>
          <w:szCs w:val="24"/>
          <w:b w:val="1"/>
          <w:bCs w:val="1"/>
          <w:color w:val="auto"/>
        </w:rPr>
        <w:t>L.B. FOSTER COMPANY ANNOUNCES THE EXPANSION OF ITS BOARD OF DIRECTORS AND ELECTION OF DAVID J. MEYER</w:t>
      </w:r>
    </w:p>
    <w:p>
      <w:pPr>
        <w:spacing w:after="0" w:line="11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PITTSBURGH, PA, December 21, 2023 – L.B. Foster Company (NASDAQ: FSTR), a global technology solutions provider of products and services for the rail and infrastructure markets, announced today that, effective January 1, 2024, its Board of Directors voted to expand its size to eight (8) members and elect Mr. David J. Meyer to the Board.</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Mr. Meyer brings a wide range of knowledge and skills to the board that includes over 28 years of manufacturing experience, including 23 years in the rail industry. His experience encompasses both private and global public companies as well as the United States Army and he holds seven</w:t>
      </w:r>
    </w:p>
    <w:p>
      <w:pPr>
        <w:jc w:val="both"/>
        <w:ind w:firstLine="5"/>
        <w:spacing w:after="0" w:line="264" w:lineRule="auto"/>
        <w:tabs>
          <w:tab w:leader="none" w:pos="313" w:val="left"/>
        </w:tabs>
        <w:numPr>
          <w:ilvl w:val="0"/>
          <w:numId w:val="2"/>
        </w:numPr>
        <w:rPr>
          <w:rFonts w:ascii="Arial" w:cs="Arial" w:eastAsia="Arial" w:hAnsi="Arial"/>
          <w:sz w:val="17"/>
          <w:szCs w:val="17"/>
          <w:color w:val="auto"/>
        </w:rPr>
      </w:pPr>
      <w:r>
        <w:rPr>
          <w:rFonts w:ascii="Arial" w:cs="Arial" w:eastAsia="Arial" w:hAnsi="Arial"/>
          <w:sz w:val="17"/>
          <w:szCs w:val="17"/>
          <w:color w:val="auto"/>
        </w:rPr>
        <w:t>patents for various rail-related products. Mr. Meyer currently serves as non-executive Chair of A. Stucki Company, a privately held manufacturer of high quality freight and rail-related parts owned by Stellex Capital, since November 2023, having served as Executive Chair from 2022 to November 2023. From 2019 to 2020, Mr. Meyer was the Chief Operating Officer of Stone Canyon Industries Rail, a private company which acquired A. Stucki in 2015 and sold it to Stellex Capital in 2022.</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1999 to 2017, Mr. Meyer served in positions of increasing responsibility at Westinghouse Airbrake Technologies Corporation (“Wabtec”), a publicly traded global provider of equipment, systems, digital solutions, and value-added services for the freight and transit rail sectors, most recently as President of its Industrial Group, and prior as Group Executive of its Transit sector. Over his tenure, he held various positions in its freight car products operations and brake systems businesses.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While at Wabtec, Mr. Meyer served as a captain in the United States Army Reserve from 1995 to 2003, bringing Lean manufacturing and management to the Army Depot system while on active duty in 2002; a factory manager at Oxford Automotive Incorporated, a full-service, global tier one supplier of integrated systems based on metal forming and related technologies from 1995-1999; and as a manufacturing manager, product line manager, and project engineer for Eaton Corporation, a global manufacturer of highly engineered products that serve automotive, heavy truck, industrial, construction, commercial and semiconductor markets from 1995 to 1998. Mr. Meyer also founded Northern Bel, LLC, a consulting and acquisition organization, in 2018, and was a Board member of American Track Services from 2019 to 2021.</w:t>
      </w:r>
    </w:p>
    <w:p>
      <w:pPr>
        <w:spacing w:after="0" w:line="198"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Mr. Meyer earned his Bachelor of Science in Industrial Engineering from Purdue University and a Master of Business Administration with concentrations in Finance and Entrepreneurship from the University of Chicago Booth School of Business.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Raymond T. Betler, L.B. Foster Chairman of the Board of Directors, commented on the appointment, “The Board is excited to have David join the Company. David has extensive experience in the rail industry, the focus of the Company’s largest business segment, and brings market-specific operations and financial expertise to the Board. His engineering, manufacturing, and global public and private company skills add depth to the Board in critical areas for the Company. We look forward to his contributions to the Board and management as we drive shareholder value.”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L.B. Foster Company</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Founded in 1902, L.B. Foster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For more information, please visit </w:t>
      </w:r>
      <w:r>
        <w:rPr>
          <w:rFonts w:ascii="Arial" w:cs="Arial" w:eastAsia="Arial" w:hAnsi="Arial"/>
          <w:sz w:val="17"/>
          <w:szCs w:val="17"/>
          <w:u w:val="single" w:color="auto"/>
          <w:color w:val="auto"/>
        </w:rPr>
        <w:t>www.lbfoster.com</w:t>
      </w:r>
      <w:r>
        <w:rPr>
          <w:rFonts w:ascii="Arial" w:cs="Arial" w:eastAsia="Arial" w:hAnsi="Arial"/>
          <w:sz w:val="17"/>
          <w:szCs w:val="17"/>
          <w:color w:val="auto"/>
        </w:rPr>
        <w:t>.</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i w:val="1"/>
          <w:iCs w:val="1"/>
          <w:color w:val="auto"/>
        </w:rPr>
        <w:t>This release may contain “forward-looking” statements within the meaning of Section 21E of the Securities Exchange Act of 1934, as amended, and Section 27A of the Securities Act of 1933, as amended.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earnings release are based on management's current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any future global health crises, and the related social, regulatory, and economic impacts and the response thereto by the Company, our employees, our customers, and national, state, or local governments; a continuation or worsening of the adverse economic conditions in the markets we serve, including recession, the continued volatility in the prices for oil and gas, governmental travel restrictions,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including any costs associated with any remediation and monitoring of such matters; the risk of doing business in international markets, including compliance with anti-corruption and bribery laws, foreign currency fluctuations and inflation, and trade restrictions or embargoes; our ability to effectuate our strategy, including cost reduction initiatives, and our ability to effectively integrate acquired businesses or to divest businesses, such as the recent dispositions of the Track Components, Chemtec, and Ties businesses, and acquisitions of the Skratch Enterprises Ltd., Intelligent Video Ltd., and VanHooseCo Precast LLC businesses and to realize anticipated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and reforms regarding the use of SOFR as a benchmark for establishing applicable interest rates; the Company’s ability to manage its working capital requirements and indebtedness; domestic and international taxes, including estimates that may impact taxes; domestic and foreign government regulations, including tariffs; economic conditions and regulatory changes caused by the United Kingdom’s exit from the European Union; geopolitical conditions, including the conflict in Ukraine and Israel; a lack of state or federal funding for new infrastructure projects; an increase in manufacturing or material costs; the loss of future revenues from current customers;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2022, or as updated and/or amended by our other current or periodic filings with the Securities and Exchange Commission.</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The forward-looking statements in this release are made as of the date of this release and we assume no obligation to update or revise any forward-looking statement, whether as a result of new information, future developments, or otherwise, except as required by the federal securities laws.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 &amp; Communications: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Caroline Toplak</w:t>
      </w:r>
    </w:p>
    <w:p>
      <w:pPr>
        <w:ind w:left="420" w:hanging="415"/>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928-3540</w:t>
      </w:r>
    </w:p>
    <w:p>
      <w:pPr>
        <w:spacing w:after="0" w:line="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ctoplak@lbfoster.com</w:t>
      </w:r>
    </w:p>
    <w:sectPr>
      <w:pgSz w:w="11900" w:h="16838" w:orient="portrait"/>
      <w:cols w:equalWidth="0" w:num="1">
        <w:col w:w="11240"/>
      </w:cols>
      <w:pgMar w:left="320" w:top="7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1)"/>
      <w:numFmt w:val="decimal"/>
      <w:start w:val="4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2023-12-21T07:06:01Z</dcterms:created>
  <dcterms:modified xsi:type="dcterms:W3CDTF">2023-12-21T07:06:01Z</dcterms:modified>
</cp:coreProperties>
</file>