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(Mark One)</w:t>
      </w:r>
    </w:p>
    <w:p>
      <w:pPr>
        <w:spacing w:after="0" w:line="75" w:lineRule="exact"/>
        <w:rPr>
          <w:sz w:val="24"/>
          <w:szCs w:val="24"/>
          <w:color w:val="auto"/>
        </w:rPr>
      </w:pPr>
    </w:p>
    <w:p>
      <w:pPr>
        <w:ind w:left="1060" w:right="4260" w:hanging="613"/>
        <w:spacing w:after="0" w:line="369" w:lineRule="auto"/>
        <w:tabs>
          <w:tab w:leader="none" w:pos="1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1060" w:hanging="613"/>
        <w:spacing w:after="0"/>
        <w:tabs>
          <w:tab w:leader="none" w:pos="1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1060"/>
        <w:spacing w:after="0"/>
        <w:tabs>
          <w:tab w:leader="none" w:pos="4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47625</wp:posOffset>
            </wp:positionV>
            <wp:extent cx="197167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364"/>
        </w:trPr>
        <w:tc>
          <w:tcPr>
            <w:tcW w:w="35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L.B. FOSTER COMPANY</w:t>
            </w: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520" w:type="dxa"/>
            <w:vAlign w:val="bottom"/>
          </w:tcPr>
          <w:p>
            <w:pPr>
              <w:jc w:val="center"/>
              <w:ind w:left="1842"/>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140" w:type="dxa"/>
            <w:vAlign w:val="bottom"/>
          </w:tcPr>
          <w:p>
            <w:pPr>
              <w:spacing w:after="0"/>
              <w:rPr>
                <w:sz w:val="21"/>
                <w:szCs w:val="21"/>
                <w:color w:val="auto"/>
              </w:rPr>
            </w:pPr>
          </w:p>
        </w:tc>
        <w:tc>
          <w:tcPr>
            <w:tcW w:w="2920" w:type="dxa"/>
            <w:vAlign w:val="bottom"/>
            <w:gridSpan w:val="2"/>
          </w:tcPr>
          <w:p>
            <w:pPr>
              <w:jc w:val="right"/>
              <w:ind w:right="1599"/>
              <w:spacing w:after="0"/>
              <w:rPr>
                <w:sz w:val="20"/>
                <w:szCs w:val="20"/>
                <w:color w:val="auto"/>
              </w:rPr>
            </w:pPr>
            <w:r>
              <w:rPr>
                <w:rFonts w:ascii="Times New Roman" w:cs="Times New Roman" w:eastAsia="Times New Roman" w:hAnsi="Times New Roman"/>
                <w:sz w:val="16"/>
                <w:szCs w:val="16"/>
                <w:b w:val="1"/>
                <w:bCs w:val="1"/>
                <w:color w:val="auto"/>
              </w:rPr>
              <w:t>25-1324733</w:t>
            </w:r>
          </w:p>
        </w:tc>
        <w:tc>
          <w:tcPr>
            <w:tcW w:w="0" w:type="dxa"/>
            <w:vAlign w:val="bottom"/>
          </w:tcPr>
          <w:p>
            <w:pPr>
              <w:spacing w:after="0"/>
              <w:rPr>
                <w:sz w:val="1"/>
                <w:szCs w:val="1"/>
                <w:color w:val="auto"/>
              </w:rPr>
            </w:pPr>
          </w:p>
        </w:tc>
      </w:tr>
      <w:tr>
        <w:trPr>
          <w:trHeight w:val="212"/>
        </w:trPr>
        <w:tc>
          <w:tcPr>
            <w:tcW w:w="3520" w:type="dxa"/>
            <w:vAlign w:val="bottom"/>
          </w:tcPr>
          <w:p>
            <w:pPr>
              <w:jc w:val="center"/>
              <w:ind w:left="1862"/>
              <w:spacing w:after="0"/>
              <w:rPr>
                <w:sz w:val="20"/>
                <w:szCs w:val="20"/>
                <w:color w:val="auto"/>
              </w:rPr>
            </w:pPr>
            <w:r>
              <w:rPr>
                <w:rFonts w:ascii="Times New Roman" w:cs="Times New Roman" w:eastAsia="Times New Roman" w:hAnsi="Times New Roman"/>
                <w:sz w:val="14"/>
                <w:szCs w:val="14"/>
                <w:i w:val="1"/>
                <w:iCs w:val="1"/>
                <w:color w:val="auto"/>
              </w:rPr>
              <w:t>(State of Incorporation)</w:t>
            </w:r>
          </w:p>
        </w:tc>
        <w:tc>
          <w:tcPr>
            <w:tcW w:w="7060" w:type="dxa"/>
            <w:vAlign w:val="bottom"/>
            <w:gridSpan w:val="3"/>
          </w:tcPr>
          <w:p>
            <w:pPr>
              <w:ind w:left="396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261"/>
        </w:trPr>
        <w:tc>
          <w:tcPr>
            <w:tcW w:w="7660" w:type="dxa"/>
            <w:vAlign w:val="bottom"/>
            <w:gridSpan w:val="2"/>
            <w:vMerge w:val="restart"/>
          </w:tcPr>
          <w:p>
            <w:pPr>
              <w:jc w:val="center"/>
              <w:ind w:right="2115"/>
              <w:spacing w:after="0"/>
              <w:rPr>
                <w:sz w:val="20"/>
                <w:szCs w:val="20"/>
                <w:color w:val="auto"/>
              </w:rPr>
            </w:pPr>
            <w:r>
              <w:rPr>
                <w:rFonts w:ascii="Times New Roman" w:cs="Times New Roman" w:eastAsia="Times New Roman" w:hAnsi="Times New Roman"/>
                <w:sz w:val="16"/>
                <w:szCs w:val="16"/>
                <w:b w:val="1"/>
                <w:bCs w:val="1"/>
                <w:color w:val="auto"/>
              </w:rPr>
              <w:t>415 Holiday Drive, Suite 100, Pittsburgh, Pennsylvania</w:t>
            </w:r>
          </w:p>
        </w:tc>
        <w:tc>
          <w:tcPr>
            <w:tcW w:w="2920" w:type="dxa"/>
            <w:vAlign w:val="bottom"/>
            <w:gridSpan w:val="2"/>
          </w:tcPr>
          <w:p>
            <w:pPr>
              <w:jc w:val="right"/>
              <w:ind w:right="1799"/>
              <w:spacing w:after="0"/>
              <w:rPr>
                <w:sz w:val="20"/>
                <w:szCs w:val="20"/>
                <w:color w:val="auto"/>
              </w:rPr>
            </w:pPr>
            <w:r>
              <w:rPr>
                <w:rFonts w:ascii="Times New Roman" w:cs="Times New Roman" w:eastAsia="Times New Roman" w:hAnsi="Times New Roman"/>
                <w:sz w:val="16"/>
                <w:szCs w:val="16"/>
                <w:b w:val="1"/>
                <w:bCs w:val="1"/>
                <w:color w:val="auto"/>
              </w:rPr>
              <w:t>15220</w:t>
            </w:r>
          </w:p>
        </w:tc>
        <w:tc>
          <w:tcPr>
            <w:tcW w:w="0" w:type="dxa"/>
            <w:vAlign w:val="bottom"/>
          </w:tcPr>
          <w:p>
            <w:pPr>
              <w:spacing w:after="0"/>
              <w:rPr>
                <w:sz w:val="1"/>
                <w:szCs w:val="1"/>
                <w:color w:val="auto"/>
              </w:rPr>
            </w:pPr>
          </w:p>
        </w:tc>
      </w:tr>
      <w:tr>
        <w:trPr>
          <w:trHeight w:val="54"/>
        </w:trPr>
        <w:tc>
          <w:tcPr>
            <w:tcW w:w="76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660" w:type="dxa"/>
            <w:vAlign w:val="bottom"/>
            <w:gridSpan w:val="2"/>
          </w:tcPr>
          <w:p>
            <w:pPr>
              <w:jc w:val="center"/>
              <w:ind w:right="211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920" w:type="dxa"/>
            <w:vAlign w:val="bottom"/>
            <w:gridSpan w:val="2"/>
          </w:tcPr>
          <w:p>
            <w:pPr>
              <w:ind w:left="520"/>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328"/>
        </w:trPr>
        <w:tc>
          <w:tcPr>
            <w:tcW w:w="35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(412) 928-3400</w:t>
            </w:r>
          </w:p>
        </w:tc>
        <w:tc>
          <w:tcPr>
            <w:tcW w:w="8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52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0"/>
        </w:trPr>
        <w:tc>
          <w:tcPr>
            <w:tcW w:w="352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rPr>
              <w:t>Common Stock, Par Value $0.01</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FSTR</w:t>
            </w:r>
          </w:p>
        </w:tc>
        <w:tc>
          <w:tcPr>
            <w:tcW w:w="29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343"/>
        </w:trPr>
        <w:tc>
          <w:tcPr>
            <w:tcW w:w="35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800" w:type="dxa"/>
            <w:vAlign w:val="bottom"/>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tc>
        <w:tc>
          <w:tcPr>
            <w:tcW w:w="2120" w:type="dxa"/>
            <w:vAlign w:val="bottom"/>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72"/>
        </w:trPr>
        <w:tc>
          <w:tcPr>
            <w:tcW w:w="846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tc>
        <w:tc>
          <w:tcPr>
            <w:tcW w:w="212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80"/>
        <w:spacing w:after="0" w:line="184" w:lineRule="exact"/>
        <w:tabs>
          <w:tab w:leader="none" w:pos="94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61"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6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79"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$221,269,221.</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27, 2025, there were 10,752,633 shares of the registrant’s common stock, par value $0.01 per share, outstanding.</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Portions of the Definitive Proxy Statement for the 2025 Annual Meeting of Shareholders (“2025 Proxy Statement”) are incorporated by reference in Items 10, 11, 12, 13 and 14 of Part III of this Form 10-K. The 2025 Proxy Statement will be filed with the US Securities and Exchange Commission within 120 days after the end of the fiscal year to which this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9C.</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9"/>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380" w:type="dxa"/>
            <w:vAlign w:val="bottom"/>
            <w:gridSpan w:val="21"/>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120" w:type="dxa"/>
            <w:vAlign w:val="bottom"/>
            <w:gridSpan w:val="18"/>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98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304"/>
        </w:trPr>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020" w:type="dxa"/>
            <w:vAlign w:val="bottom"/>
            <w:gridSpan w:val="17"/>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91"/>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3"/>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304"/>
        </w:trPr>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9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304"/>
        </w:trPr>
        <w:tc>
          <w:tcPr>
            <w:tcW w:w="6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80" w:type="dxa"/>
            <w:vAlign w:val="bottom"/>
            <w:gridSpan w:val="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304"/>
        </w:trPr>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5680" w:type="dxa"/>
            <w:vAlign w:val="bottom"/>
            <w:gridSpan w:val="7"/>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304"/>
        </w:trPr>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60" w:type="dxa"/>
            <w:vAlign w:val="bottom"/>
            <w:gridSpan w:val="3"/>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304"/>
        </w:trPr>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260" w:type="dxa"/>
            <w:vAlign w:val="bottom"/>
            <w:gridSpan w:val="1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304"/>
        </w:trPr>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20" w:type="dxa"/>
            <w:vAlign w:val="bottom"/>
            <w:tcBorders>
              <w:top w:val="single" w:sz="8" w:color="0000FF"/>
            </w:tcBorders>
            <w:gridSpan w:val="5"/>
          </w:tcPr>
          <w:p>
            <w:pPr>
              <w:spacing w:after="0"/>
              <w:rPr>
                <w:sz w:val="24"/>
                <w:szCs w:val="24"/>
                <w:color w:val="auto"/>
              </w:rPr>
            </w:pPr>
          </w:p>
        </w:tc>
        <w:tc>
          <w:tcPr>
            <w:tcW w:w="590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304"/>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304"/>
        </w:trPr>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74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r>
      <w:tr>
        <w:trPr>
          <w:trHeight w:val="304"/>
        </w:trPr>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580" w:type="dxa"/>
            <w:vAlign w:val="bottom"/>
            <w:gridSpan w:val="5"/>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r>
      <w:tr>
        <w:trPr>
          <w:trHeight w:val="291"/>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3"/>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304"/>
        </w:trPr>
        <w:tc>
          <w:tcPr>
            <w:tcW w:w="31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880" w:type="dxa"/>
            <w:vAlign w:val="bottom"/>
            <w:gridSpan w:val="10"/>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304"/>
        </w:trPr>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4"/>
          </w:tcPr>
          <w:p>
            <w:pPr>
              <w:spacing w:after="0"/>
              <w:rPr>
                <w:sz w:val="24"/>
                <w:szCs w:val="24"/>
                <w:color w:val="auto"/>
              </w:rPr>
            </w:pPr>
          </w:p>
        </w:tc>
        <w:tc>
          <w:tcPr>
            <w:tcW w:w="8480" w:type="dxa"/>
            <w:vAlign w:val="bottom"/>
            <w:gridSpan w:val="15"/>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40" w:space="360"/>
            <w:col w:w="10200"/>
          </w:cols>
          <w:pgMar w:left="340" w:top="873" w:right="359" w:bottom="1440" w:gutter="0" w:footer="0" w:header="0"/>
        </w:sectPr>
      </w:pPr>
    </w:p>
    <w:bookmarkStart w:id="2" w:name="page3"/>
    <w:bookmarkEnd w:id="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Forward-looking statements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Annual Report on Form 10-K are based on management’s current expectations and assumptions about future events that involve inherent risks and uncertainties and may concern, among other things, L.B. Foster Company’s (the “Company’s”)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tariffs or trade wars, inflation,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our ability to effectuate our strategy, including cost reduction initiatives, and our ability to effectively integrate acquired businesses or to divest businesses, such as the recent dispositions of the Chemtec and Ties businesses, and acquisition of VanHooseCo Precast LLC and Cougar Mountain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(“ICFR”) and disclosure controls and procedures, including our ability to remediate any existing material weakness in our ICFR and the timing of any such remediation, as well as our ability to reestablish effective disclosure controls and procedures; any change in policy or other change due to the results of the UK’s 2024 parliamentary election and the U.S. 2024 Presidential election that could affect UK or U.S. business conditions; other geopolitical conditions, including the ongoing conflicts between Russia and Ukraine, conflicts in the Middle East, and increasing tensions between China and Taiwan; a lack of state or federal funding for new infrastructure projects; an increase in manufacturing or material costs;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this Annual Report on Form 10-K and our other current or periodic filings with the Securities and Exchange Commission.</w:t>
      </w:r>
    </w:p>
    <w:p>
      <w:pPr>
        <w:spacing w:after="0" w:line="33"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 w:name="page4"/>
    <w:bookmarkEnd w:id="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 unless otherwise noted)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Businesses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Founded in 1902, L.B. Foster Company is a Pennsylvania corporation with its principal office in Pittsburgh, PA.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As used herein, “L.B. Foster,” the “Company,” “we,” “us,” and “our” or similar references refer collectively to L.B. Foster Company and its subsidiaries, unless the context indicates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operates under two reporting segments (1) Rail, Technologies, and Services (“Rail”) and (2) Infrastructure Solutions (“Infrastructure”), each of which has certain business units, as described below. The Company's reportable operating segments have been determined in accordance with the Company's internal management structure, which is organized based on operating activities, the manner in which we organize segments for making operating decisions and assessing performance, and the availability of separate financial results.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net sales for each reporting segment as a percentage of total net sales for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4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r>
      <w:tr>
        <w:trPr>
          <w:trHeight w:val="37"/>
        </w:trPr>
        <w:tc>
          <w:tcPr>
            <w:tcW w:w="80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800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80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information concerning these segments is set forth in Part II, Item 8, Financial Statements and Supplementary Data, Note 2 to the Consolidated Financial Statements contained in this Annual Report on Form 10-K, which is incorporated by reference into this 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Rail segment is comprised of several manufacturing, distribution, and service businesses that provide a variety of products, solutions, and services for freight and passenger railroads and other industrial companies throughout the world. The Rail segment has sales offices throughout North America, South America, Europe, and Asia, and works on rail projects where it offers products manufactured by the Company, or sourced from numerous supply chain partners. The Rail segment also offers contract project management and aftermarket services. The Rail reporting segment is comprised of the Rail Products, Global Friction Management, and Technology Services and Solutions business units. Within Rail Products and Global Friction Management, we offer a full suite of track components and friction management products and services. Within Technology Services and Solutions, we focus on innovation, creating leading edge engineering and digital communication technology solutions for rail, infrastructure, and the built environment, including control and digital display, contract services, and condition monitoring solutions. The Technology Services and Solutions business unit also offers Total Track Monitoring railroad condition monitoring systems, equipment, and services.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Rail Products</w:t>
      </w:r>
    </w:p>
    <w:p>
      <w:pPr>
        <w:spacing w:after="0" w:line="65" w:lineRule="exact"/>
        <w:rPr>
          <w:sz w:val="20"/>
          <w:szCs w:val="20"/>
          <w:color w:val="auto"/>
        </w:rPr>
      </w:pPr>
    </w:p>
    <w:p>
      <w:pPr>
        <w:jc w:val="both"/>
        <w:ind w:right="20" w:firstLine="486"/>
        <w:spacing w:after="0" w:line="280" w:lineRule="auto"/>
        <w:rPr>
          <w:sz w:val="20"/>
          <w:szCs w:val="20"/>
          <w:color w:val="auto"/>
        </w:rPr>
      </w:pPr>
      <w:r>
        <w:rPr>
          <w:rFonts w:ascii="Times New Roman" w:cs="Times New Roman" w:eastAsia="Times New Roman" w:hAnsi="Times New Roman"/>
          <w:sz w:val="18"/>
          <w:szCs w:val="18"/>
          <w:color w:val="auto"/>
        </w:rPr>
        <w:t>The Rail Products business unit is comprised of the Company’s Rail Distribution, Allegheny Rail Products, and Transit Products. The Concrete Ties business was included in Rail Products until it was sold in June of 2023. Following are summaries of those divisions: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Rail Distribution </w:t>
      </w:r>
      <w:r>
        <w:rPr>
          <w:rFonts w:ascii="Times New Roman" w:cs="Times New Roman" w:eastAsia="Times New Roman" w:hAnsi="Times New Roman"/>
          <w:sz w:val="18"/>
          <w:szCs w:val="18"/>
          <w:color w:val="auto"/>
        </w:rPr>
        <w:t>- This division sells new rail mainly to passenger and short line freight railroads, industrial companies, and rail contractors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of existing lines or expansion of new lines. Rail accessories sold by the Rail Distribution division include track spikes, bolts, angle bars, tie plates, and other products required to install or maintain rail lines. These products are manufactured by the Company or purchased from other manufacturers and distributed accordingly. Rail Distribution also sells trackwork products to Class II and III railroads, industrial, and export markets.</w:t>
      </w:r>
    </w:p>
    <w:p>
      <w:pPr>
        <w:spacing w:after="0" w:line="1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Allegheny Rail Products (“ARP”) </w:t>
      </w:r>
      <w:r>
        <w:rPr>
          <w:rFonts w:ascii="Times New Roman" w:cs="Times New Roman" w:eastAsia="Times New Roman" w:hAnsi="Times New Roman"/>
          <w:sz w:val="18"/>
          <w:szCs w:val="18"/>
          <w:color w:val="auto"/>
        </w:rPr>
        <w:t>- ARP engineers and manufactures insulated rail joints and related accessories for freight and passenger railroads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industrial customers. Insulated joints are manufactured domestically at the Company’s facilities in Pueblo, CO and Niles, OH.</w:t>
      </w:r>
    </w:p>
    <w:p>
      <w:pPr>
        <w:spacing w:after="0" w:line="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Products </w:t>
      </w:r>
      <w:r>
        <w:rPr>
          <w:rFonts w:ascii="Times New Roman" w:cs="Times New Roman" w:eastAsia="Times New Roman" w:hAnsi="Times New Roman"/>
          <w:sz w:val="18"/>
          <w:szCs w:val="18"/>
          <w:color w:val="auto"/>
        </w:rPr>
        <w:t>- This division supplies designed, engineered, and outsourced-manufactured direct fixation fasteners, coverboards, and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accessories primarily for passenger railroad systems. Transit Products also manufactures power rail, also known as third rail, at its facility in Niles, OH. These products are usually sold to contractors or by sealed bid to passenger railroads.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 w:name="page5"/>
    <w:bookmarkEnd w:id="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Concrete Ties (“Ties”) </w:t>
      </w:r>
      <w:r>
        <w:rPr>
          <w:rFonts w:ascii="Times New Roman" w:cs="Times New Roman" w:eastAsia="Times New Roman" w:hAnsi="Times New Roman"/>
          <w:sz w:val="18"/>
          <w:szCs w:val="18"/>
          <w:color w:val="auto"/>
        </w:rPr>
        <w:t>- This division manufactured engineered concrete railroad ties for freight and passenger railroads and industrial accounts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facility in Spokane, WA. The Company completed the sale of the operating assets of this division in June of 2023.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Global Friction Management</w:t>
      </w:r>
    </w:p>
    <w:p>
      <w:pPr>
        <w:spacing w:after="0" w:line="6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Global Friction Management business unit engineers, manufactures, and fabricates friction management products and application systems for its rail customers. It also provides aftermarket services managing its friction management solutions for customers. The Company’s friction management products optimize performance at the rail to wheel interface, which helps our customers reduce fuel consumption, improve operating efficiencies, extend the life of operating assets such as rail and wheels, reduce track stresses, and lower the related maintenance and operating costs of its rail customers. Friction management products include mobile and wayside systems that apply lubricants and liquid or solid friction modifiers. These products and systems are designed, engineered, manufactured, fabricated, serviced, and marketed in the United States (“US”), Canada, the United Kingdom (“UK”), and Germany.</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Services and Solutions</w:t>
      </w:r>
    </w:p>
    <w:p>
      <w:pPr>
        <w:spacing w:after="0" w:line="6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Technology Services and Solutions business unit engineers and manufactures Total Track Monitoring railroad condition monitoring systems and equipment including wheel impact load detection systems, wayside data collection and management systems, and rockfall, flood, earthworks, and bridge strike monitoring. These offerings create a smart interface between conventional rail products and intelligent digital technologies to monitor safety, increase network velocity, and enable the digital railway. In addition, the business unit provides controls, displays, digital signage, and telecommunication contract management solutions for the transit, control room, and customer information and display sectors to enhance safety, operational efficiency, and customer experience. These products, systems, and services are designed, engineered, serviced, and marketed in the US, UK, Canada, and Germany.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Infrastructure segment uses its industry expertise to design, manufacture, and deploy advanced technologies that positively impact the built environment, including precast concrete buildings and products, bridge products, and steel pipe protective coatings and threading. The Infrastructure segment is composed of nine operating facilities across the US providing engineered precast concrete solutions, fabricated bridge products, and protective pipe coating and threading offerings across North America.</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Precast Concrete Products</w:t>
      </w:r>
    </w:p>
    <w:p>
      <w:pPr>
        <w:spacing w:after="0" w:line="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Precast Concrete Products (“Precast”) business unit manufactures precast concrete products for the North American civil infrastructure market. Under its CXT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Precast manufactures restrooms, concession stands, and other protective storage buildings available in multiple designs, textures, and colors for national, state, and municipal parks. The Company is a leading, high-end supplier of precast buildings in terms of volume, product options, and capabilities. These facilities also manufacture various other precast concrete products such as sounds walls, bridge beams, box culverts, septic tanks, and other custom pre-stressed and precast concrete products at its Boise, ID, Hillsboro, TX, and Waverly, WV facilities. Also under the CXT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the Company has facilities in Loudon, TN, near Knoxville, and Lebanon, TN near Nashville, which specialize in precast concrete walls, water management products, and forms for the commercial, civil, industrial, and residential infrastructure markets. The Company leased a facility in Lake County, Florida in 2024, which will produce precast concrete wall systems when operations commence in 2025.</w:t>
      </w:r>
    </w:p>
    <w:p>
      <w:pPr>
        <w:spacing w:after="0" w:line="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The Company also possesses proprietary license agreements to implement technologies via ENVIROCAST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pre-insulated concrete wall system allowing for faster builds and design flexibility, and ENVIROKEEPER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modular in-ground water retention and management system, which can be applied at all of its manufacturing facilities.</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Steel Products</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Steel Products business unit provides custom engineered solutions and services that help to build and maintain critical civil and energy infrastructure throughout North America. Steel Products designs, manufactures, and supplies a variety of steel bridge products to contractors performing installation and repair work to North American transportation infrastructure network. It also provides solutions in corrosion protection for the safe transportation of gas and liquids in pipelines as well as threaded pipe for water well applications.</w:t>
      </w:r>
    </w:p>
    <w:p>
      <w:pPr>
        <w:spacing w:after="0" w:line="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Bridge Products - </w:t>
      </w:r>
      <w:r>
        <w:rPr>
          <w:rFonts w:ascii="Times New Roman" w:cs="Times New Roman" w:eastAsia="Times New Roman" w:hAnsi="Times New Roman"/>
          <w:sz w:val="18"/>
          <w:szCs w:val="18"/>
          <w:color w:val="auto"/>
        </w:rPr>
        <w:t>The Bridge Products facility in Bedford, PA manufactures a number of fabricated steel and aluminum products primarily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highway, bridge, and transit industries, including concrete-reinforced steel grid decking, open steel grid deck, aluminum bridge railing, and stay-in-place steel bridge forms. The Company discontinued its grid deck product line in the third quarter of 2023 and expects to complete all remaining customer obligations in 2025.</w:t>
      </w:r>
    </w:p>
    <w:p>
      <w:pPr>
        <w:spacing w:after="0" w:line="18"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Water Well Products </w:t>
      </w:r>
      <w:r>
        <w:rPr>
          <w:rFonts w:ascii="Times New Roman" w:cs="Times New Roman" w:eastAsia="Times New Roman" w:hAnsi="Times New Roman"/>
          <w:sz w:val="18"/>
          <w:szCs w:val="18"/>
          <w:color w:val="auto"/>
        </w:rPr>
        <w:t>- The Company’s Magnolia, TX facility cuts, threads, and paints pipe primarily for water well applications for the agriculture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municipal water authorities and, to a lesser extent, threading services for oil and gas production.</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Protective Pipe Coatings </w:t>
      </w:r>
      <w:r>
        <w:rPr>
          <w:rFonts w:ascii="Times New Roman" w:cs="Times New Roman" w:eastAsia="Times New Roman" w:hAnsi="Times New Roman"/>
          <w:sz w:val="18"/>
          <w:szCs w:val="18"/>
          <w:color w:val="auto"/>
        </w:rPr>
        <w:t>- There are two pipeline coating services locations that make up our Protective Coatings division. Our Birmingham, 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coats the outside and inside diameter of pipe primarily for oil and gas transmission pipelines. This location partners with its customer, a pipe manufacturer, to market fusion bonded epoxy coatings, abrasion resistant coatings, and internal linings for a wide variety of pipe diameters for use in pipeline projects throughout North America.</w:t>
      </w: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 w:name="page6"/>
    <w:bookmarkEnd w:id="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The second location, situated in Willis, TX, applies specialty outside and inside diameter coatings for a wide variety of pipe diameters for oil and gas transmission, mining, and waste-water pipelines, as well as custom coatings for specialty pipe fittings and connections.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Precision Measurement Products and Systems </w:t>
      </w:r>
      <w:r>
        <w:rPr>
          <w:rFonts w:ascii="Times New Roman" w:cs="Times New Roman" w:eastAsia="Times New Roman" w:hAnsi="Times New Roman"/>
          <w:sz w:val="18"/>
          <w:szCs w:val="18"/>
          <w:color w:val="auto"/>
        </w:rPr>
        <w:t>- The Company previously manufactured and provided turnkey solutions for metering and injection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primarily for the oil, and, to a lesser extent, gas industry via its Chemtec Energy Services LLC (“Chemtec”) business. The Willis, TX location operated a fabrication plant that built metering systems for custody transfer applications, including crude oil and other petroleum-based products. The Company completed the sale of the Chemtec business, which included all of the operating assets of this division, in March of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20"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L.B. Foster Company generally markets its Rail products and services directly in all major industrial areas of North America, South America, Europe and Asia. Infrastructure products and services are primarily marketed domestically. The Company employs a global sales force of approximately 79 people of which 16 are located outside of the US to reach current customers and cultivate potential customers in these areas. For the years ended December 31, 2024 and 2023, approximately 14% and 15%, respectively, of the Company’s total sales were outside the US. Our international sales and long-lived assets are presented in Note 2 of the Company’s Consolidated Financial Statements, set forth in Item 8 of this Annual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Competition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 markets for the Company’s products are highly competitive. Product availability, quality, service, and price are principal factors of competition within each of these markets. No other company provides the same product mix to the various markets the Company serves. However, there are one or more companies that compete with the Company in each product line. Therefore, the Company faces significant competition from different groups of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purchases a variety of raw materials from its supplier base including epoxy, electronics, and components, from both domestic and foreign suppliers. The Company also purchases steel, cement, and aggregates which are primarily sourced from domestic suppliers. Products are also purchased in the form of finished or semi-finished products with the majority of product being supplied by domestic and some foreign steel producers. Generally, the Company has a number of vendor options.</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purchases from foreign suppliers are subject to foreign currency exchange rate changes, tariffs, and the risks associated with changes in international conditions, as well as US and international laws that could impose import restrictions and tariffs on selected classes of products and for anti-dumping duties if products are sold in the US at prices that are below specified prices.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backlog represents the sales price of customer purchase orders or contracts in which the performance obligations have not been met, and therefore are precluded from revenue recognition. Although the Company believes that the orders included in backlog are firm, customers may cancel or change their orders with limited advance notice; however, these instances are rare. Backlog should not be considered a reliable indicator of the Company’s ability to achieve any particular level of revenue or financial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owns a number of domestic and international patents and trademarks, primarily related to products in its Global Friction Management and Technology Services and Solutions business units, as well as its Precast Concrete Products business unit. The Company’s business segments are not dependent upon any individual patents or related group of patents, nor any individual licenses or distribution rights. The Company believes that, in the aggregate, the rights under its patents, trademarks, and licenses are generally important to its operations, but considers neither any individual patent, nor any licensing or distribution rights related to a specific process or product, to be of material importance in relation to its total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Disclosures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environmental matters is included in Part II, Item 8, Financial Statements and Supplementary Data, Note 17 to the Consolidated Financial Statements included in this Annual Report on Form 10-K, which is incorporated by reference into this 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People are the heart of L.B. Foster’s success. The Company strives to create and promote a culture that makes L.B. Foster a great place to work. The Company seeks to attract and retain employees that embody and demonstrate its values, which are summarized in our SPIRIT model, focusing on Safety, People, Integrity, Respect, Innovation, and Teamwork. The Company uses these six principles to guide its employees every day. The expectation of all employees, at every level of the organization, is to execute our business strategy in a manner that adheres to these core values and demonstrates commitment to the L.B. Foster SPIRIT.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Diversity and Inclusion</w:t>
      </w:r>
    </w:p>
    <w:p>
      <w:pPr>
        <w:spacing w:after="0" w:line="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dedicated to the principle of equal employment opportunity and the provision of a workplace free from discrimination and harassment in accordance with all applicable federal, state, and local laws and regulations. This statement and accompanying practices, which pertain to all persons involved in Company operations, prohibit unlawful discrimination by any employee and apply to all terms, conditions, and privileges of employment. Additionally, the Company will also make reasonable accommodations for individuals with known disabilities who are otherwise qualified to perform a job. The Company continues to support the Spark initiative, which is an employee resource group available to all employees interested in furthering the mission of empowerment and professional growth of women in the workplace.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Social, and Governance Matters</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committed to good corporate citizenship and promoting the highest standards of environmental performance, corporate governance, and ethical behavior to positively impact the communities in which we operate. With a focus on continuous improvement, the Company has adopted safety and environmental policies in support of long-term environmental, health, safety, and sustainability excellence. Among our core values are safety, teamwork, and innovation which we rely on to create more advanced solutions around sustainability. We also emphasize continual improvement in preventing pollution and reducing the environmental impact of our operations while maximizing opportunities for environmental and social benefits.</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2024, the Company issued its inaugural sustainability report, reinforcing its commitment to sustainable practices with a lens towards creating value across various areas, aligning with stakeholder sustainability needs and positioning the Company as a valuable supplier, employer, community member, and investment. This report is intended to help drive the Company’s strategy by aligning sustainability with operations, and addresses employee practices and the Company's environmental footprint while providing insight into the sustainable benefit provided to our customers’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Health and Safety</w:t>
      </w:r>
    </w:p>
    <w:p>
      <w:pPr>
        <w:spacing w:after="0" w:line="6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L.B. Foster aims to promote a culture of environmental, health, safety, and sustainability (“EHSS”) excellence that strives to protect the environment as well as the safety and health of our employees, business, customers, and communities where we operate. The Company strives to meet or exceed the requirements of all applicable environmental, health, and safety (“EHS”) regulations as the Company raises its standards of excellence. Consistent with its core values of safety, teamwork, and innovation, the Company aims to create more advanced solutions around sustainability. The Company emphasizes continual improvement in its EHSS performance, particularly as it applies to preventing pollution and reducing the environmental impact of its operations while maximizing opportunities for environmental and social benefits. The Company continually strives to develop best practices in EHS management based on international standards such as ISO 14001:2015 and ISO 45001:2018. The Company has nine locations/businesses throughout North America and Europe where the Environmental Management Systems have been independently assessed and verified as compliant with the requirements of ISO 14001:2015 and ISO 45001:2018.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Leadership and Talent Management</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executive leadership team sets the Company’s strategic direction and is dedicated to sustainable, profitable growth through its commitment to providing quality products and services to customers and treating customers, suppliers, and employees as partners. L.B. Foster cultivates and empowers talent through performance management, career planning/development, and succession planning, creating an environment for people to be successful in achieving our strategic plan through the following areas: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Talent Acquisition and Onboarding</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committed to finding and hiring the best-qualified candidate (from within or outside of the organization) for a job opening, in a timely and cost-effective manner. The recruitment process includes analyzing the requirements of a job, meeting with hiring management to determine the appropriate qualifications and experience for the position, attracting qualified candidates to that job, screening and selecting applicants, hiring, and ultimately integrating the new employee to the organization.</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Development Planning</w:t>
      </w:r>
    </w:p>
    <w:p>
      <w:pPr>
        <w:spacing w:after="0" w:line="65"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The Company actively promotes proactive planning and implementation of action steps towards our employees’ career goals. Developmental experiences can consist of training, developing, mentoring, and coaching.</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Succession Planning</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process for identifying and developing employees with the potential to fill key business leadership positions within the Company is key to future success. Succession planning increases the availability of experienced and capable employees that are prepared to assume these critical roles as they become available.</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Performance Management</w:t>
      </w:r>
    </w:p>
    <w:p>
      <w:pPr>
        <w:spacing w:after="0" w:line="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strongly encourage an ongoing process of communication, including both formal and informal feedback, between a supervisor and an employee throughout the year, in support of accomplishing the strategic objectives of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Workforce</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1,057 employees of which 819 were located within the US, 42 within Canada, 189 in Europe, and 7 within other locations. There were 500 hourly production workers and 557 salaried employees. Of the hourly production workers, 8 were represented by unions.</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one collective bargaining agreement covering 8 employees which is being negotiated and is scheduled to expire in March 2025. The Company divested its Ties division on June 30, 2023. The Company has not suffered any major work stoppages in recent history and considers its relations with its employees to be satisfactory.</w:t>
      </w:r>
    </w:p>
    <w:p>
      <w:pPr>
        <w:spacing w:after="0" w:line="14" w:lineRule="exact"/>
        <w:rPr>
          <w:sz w:val="20"/>
          <w:szCs w:val="20"/>
          <w:color w:val="auto"/>
        </w:rPr>
      </w:pPr>
    </w:p>
    <w:p>
      <w:pPr>
        <w:ind w:right="1400" w:firstLine="486"/>
        <w:spacing w:after="0" w:line="344" w:lineRule="auto"/>
        <w:rPr>
          <w:sz w:val="20"/>
          <w:szCs w:val="20"/>
          <w:color w:val="auto"/>
        </w:rPr>
      </w:pPr>
      <w:r>
        <w:rPr>
          <w:rFonts w:ascii="Times New Roman" w:cs="Times New Roman" w:eastAsia="Times New Roman" w:hAnsi="Times New Roman"/>
          <w:sz w:val="18"/>
          <w:szCs w:val="18"/>
          <w:color w:val="auto"/>
        </w:rPr>
        <w:t xml:space="preserve">All of the Company’s hourly and salaried employees are covered by one of its defined benefit plans or defined contribution plans. </w:t>
      </w:r>
      <w:r>
        <w:rPr>
          <w:rFonts w:ascii="Times New Roman" w:cs="Times New Roman" w:eastAsia="Times New Roman" w:hAnsi="Times New Roman"/>
          <w:sz w:val="18"/>
          <w:szCs w:val="18"/>
          <w:b w:val="1"/>
          <w:bCs w:val="1"/>
          <w:color w:val="auto"/>
        </w:rPr>
        <w:t>Code of Ethics</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L.B. Foster Company has a legal and ethical conduct policy applicable to all directors and employees, including its Chief Executive Officer, Chief Financial Officer, and Principal Accounting Officer. This policy is posted on the Company’s website, www.lbfoster.com. The Company intends to satisfy the disclosure requirement regarding certain amendments to, or waivers from, provisions of its policy by posting such information on the Company’s website. In addition, the Company’s ethics hotline can also be used by employees and others for the anonymous communication of concerns about financial controls, human resource concerns, and other reporting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The Company makes certain filings with the Securities and Exchange Commission (“SEC”), including its Annual Report on Form 10-K, Quarterly Reports on Form 10-Q, Current Reports on Form 8-K, and all amendments and exhibits to those reports, available free of charge through its website, www.lbfoster.com, as soon as reasonably practicable after they are filed with the SEC. The SEC maintains an internet site that contains reports, proxy and information statements, and other information regarding issuers that file electronically with the SEC. These filings, including the Company’s filings, are available at the SEC’s internet site at www.sec.gov. The Company’s press releases and recent investor presentations are also available on its website. Our website and the information posted thereto is not part of this Annual Report on Form 10-K and unless otherwise stated is specifically not incorporated by reference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executive officers of the Company is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Friedman</w:t>
            </w: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9"/>
                <w:szCs w:val="19"/>
                <w:color w:val="auto"/>
              </w:rPr>
            </w:pPr>
          </w:p>
        </w:tc>
        <w:tc>
          <w:tcPr>
            <w:tcW w:w="8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 Steel Products and Special Projects (January 2024 - June 2024)</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00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Growth Officer (July 2024 - Present)</w:t>
            </w:r>
          </w:p>
        </w:tc>
        <w:tc>
          <w:tcPr>
            <w:tcW w:w="0" w:type="dxa"/>
            <w:vAlign w:val="bottom"/>
          </w:tcPr>
          <w:p>
            <w:pPr>
              <w:spacing w:after="0"/>
              <w:rPr>
                <w:sz w:val="1"/>
                <w:szCs w:val="1"/>
                <w:color w:val="auto"/>
              </w:rPr>
            </w:pPr>
          </w:p>
        </w:tc>
      </w:tr>
      <w:tr>
        <w:trPr>
          <w:trHeight w:val="115"/>
        </w:trPr>
        <w:tc>
          <w:tcPr>
            <w:tcW w:w="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80" w:type="dxa"/>
            <w:vAlign w:val="bottom"/>
            <w:tcBorders>
              <w:bottom w:val="single" w:sz="8" w:color="CCEEFF"/>
            </w:tcBorders>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 Senior Advisor to the Chief Executive Officer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 Rail, Technologies, and Services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 Ness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 Infrastructure Solutions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F. O'Neill</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 Human Resources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F. Rolli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 Operational Administration</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Friedman was elected Executive Vice President and Chief Growth Officer in July of 2024, having previously served as the Company’s Senior Vice President - Steel Products and Special Projects since December of 2023, and prior to that served as Senior Vice President, Steel Products, Vice President - Steel Products and Measurement, and Vice President - Coatings and Measurement since joining the Company in May of 2019. Prior to joining the Company, Mr. Friedman was employed by ABB Ltd from 2012 to 2019 in various roles including Director Global Product Management and Manufacturing Unit Manager. Previously, he served in various research and development and operations roles for Hunter Fan Company from 2001 to 2012.</w:t>
      </w:r>
    </w:p>
    <w:p>
      <w:pPr>
        <w:spacing w:after="0" w:line="2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Mr. Guinee was elected Executive Vice President, General Counsel, and Secretary in June of 2023, having previously served as Senior Vice President, General Counsel, and Secretary, and was elected Vice President, General Counsel, and Secretary in 2014. Prior to joining the Company, Mr. Guinee served as Vice President - Securities and Corporate and Assistant Secretary at Education Management Corporation from 2013 to early 2014, and was employed by H. J. Heinz Company from 1997 to 2013, last serving as Vice President - Corporate Governance and Securities and Assistant Secretary.</w:t>
      </w: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Kasel was elected President and Chief Executive Officer in July 2021, having previously served as Senior Vice President and Chief Operating Officer since December 2019, Senior Vice President - Rail and Construction from 2017 to 2019, Senior Vice President - Rail Products and Services from 2012 to 2017, Senior Vice President - Operations and Manufacturing from 2005 to 2012,</w:t>
      </w:r>
    </w:p>
    <w:p>
      <w:pPr>
        <w:sectPr>
          <w:pgSz w:w="11900" w:h="16838" w:orient="portrait"/>
          <w:cols w:equalWidth="0" w:num="1">
            <w:col w:w="11240"/>
          </w:cols>
          <w:pgMar w:left="320" w:top="178"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8" w:name="page9"/>
    <w:bookmarkEnd w:id="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and Vice President - Operations and Manufacturing from 2003 to 2005. Mr. Kasel served as Vice President of Operations for Mammoth, Inc., a Nortek company from 2000 to 2003.</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Kelly was elected Executive Vice President - Senior Advisor to the Chief Executive Officer in January 2025, having previously served as Executive Vice President - Human Resources and Administration since 2023, Senior Vice President - Human Resources and Administration, and was elected Vice President - Human Resources and Administration in 2012, having previously served as Vice President, Human Resources since 2006. Prior to joining the Company, Mr. Kelly headed Human Resources for 84 Lumber Company from 2004. Previously, he served as a Director of Human Resources for American Greetings Corp. from 1994 to 2004.</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Lippard was elected Senior Vice President - Rail, Technologies, and Services in December of 2023 and was previously Senior Vice President - Rail from 2021 to 2023, Vice President - Rail, Technologies, and Services from 2020 to 2021, Vice President - Rail from January 2020 to November 2020 and Vice President - Rail Products from 2017 to 2019. From 2000 to 2017, he served as Vice President - Rail Product Sales. Prior to re-joining the Company in 2000, Mr. Lippard served as Vice President - International Trading for Tube City, Inc. from 1998. Mr. Lippard served in various other capacities with the Company after his initial employment in 1991.</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Ness was elected Senior Vice President - Infrastructure Solutions in December 2023, having previously served as Vice President - Precast Concrete Products since January 2021, and as Director, Operations of CXT Precast from June 2020 to January 2021. Previously, Mr. Ness served as the Rail Business Controller beginning from 2012 to 2020 and Division Controller role he had held since his initial employment with the Company in 2006.</w:t>
      </w:r>
    </w:p>
    <w:p>
      <w:pPr>
        <w:spacing w:after="0" w:line="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Reilly was appointed Controller and Principal Accounting Officer of the Company in January 2022. Prior to joining the Company, Mr. Reilly most recently served as Vice President of Finance - Metal Cutting Division, at Kennametal, Inc. since April 2019. Prior to that role, Mr. Reilly served in roles of increasing responsibility at Kennametal, Inc., including as Director of Finance - Infrastructure division, from 2016 to 2019; Director of Finance - Integrated Supply Chain and Logistics from 2015 to 2016; Director of Finance - Asia from 2013 to 2015 in Singapore and Earthworks Controller from 2007 to 2012.</w:t>
      </w:r>
    </w:p>
    <w:p>
      <w:pPr>
        <w:spacing w:after="0" w:line="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Mr. Thalman was elected Executive Vice President and Chief Financial Officer in June 2023, having previously served as Senior Vice President and Chief Financial Officer of the Company from February 2021. Prior to joining the Company, Mr. Thalman was employed by Kennametal, Inc. from February 2004 through February 2021, most recently serving as Vice President - Advanced Material Solutions since 2016 and Vice President - Transformation Office since 2019. Prior to these roles, he served in roles of increasing responsibility, including: Vice President - Finance Infrastructure, Director of Finance - M&amp;A and Planning, Director of Finance – Kennametal Europe, Director of Finance - MSSG Americas, Assistant Corporate Controller, and Director of Financial Reporting.</w:t>
      </w:r>
    </w:p>
    <w:p>
      <w:pPr>
        <w:spacing w:after="0" w:line="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Ms. O'Neill was elected Senior Vice President - Human Resources in January 2025, having previously served as Vice President - Human Resources since August 2020, Director - Human Resources since January 2015, and Manager - Compensation and HRIS since 2006. Prior to joining the Company, Ms. O'Neill had various roles last serving as Manager - Compensation and HRIS at 84 Lumber Company.</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Ms. Rolli was elected Senior Vice President - Operational Administration in January 2025, having previously served as Vice President - Operational Administration since September 2023, Director - Quality from 2019 to 2023, and Senior Quality Manager from 2013 to 2017. Prior to re-joining the Company, Ms. Rolli served as Quality Manager at Praxair Surface Technologies Inc. from 2017 to 2019 and previously served as Quality Manager and Laboratory Supervisor at Kennametal Inc. from 2006 to 2013.</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Officers are elected annually at the organizational meeting of the Board of Directors following the annual meeting of stockholders.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operates in a changing environment that involves numerous known and unknown risks and uncertainties that could have a material and adverse effect on its business, financial condition, and results of operations. The following risk factors highlight what it believes to be the more material factors that have affected the Company and could affect it in the future. The Company has grouped the risk factors into five categories for ease of reading, and without any reflection on the importance of, or likelihood of, any particular category. The Company may also be affected by unknown risks or risks that it currently believes are immaterial. If any one or more such events actually occur, our business, financial condition, and results of operations could be materially and adversely affected. One should carefully consider the following risk factors and other information contained in this Annual Report on Form 10-K and any other risks discussed in the Company’s other periodic filings with the SEC before deciding to invest in the Company’s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17"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manage acquisitions, divestitures, and other significant transactions or to otherwise execute our strategic plan could harm our financial results, business, and prospects.</w:t>
      </w:r>
    </w:p>
    <w:p>
      <w:pPr>
        <w:spacing w:after="0" w:line="37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part of our publicly-announced business strategy, we acquire or divest businesses or assets, enter into strategic alliances and joint ventures, make investments to realize anticipated benefits, or undertake cost-cutting initiatives, all of which are actions that involve a number of inherent risks and uncertainties. Material acquisitions, dispositions, and other strategic transactions and initiatives involve numerous risks, including, but not limited to the following:</w:t>
      </w:r>
    </w:p>
    <w:p>
      <w:pPr>
        <w:spacing w:after="0" w:line="1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acquisition candidates, or we may not be able to dispose of assets, at prices we consider attractive;</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for identified acquisition candidates, complete future acquisitions or accurately estimate the financial effect of acquisitions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spend significant cash and incur additional debt, resulting in additional leverage;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retaining an acquired company’s key employees or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operating efficiencies, synergies, costs savings, or other benefits expected;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acquired businesses, resulting in unforeseen difficulties, such as incompatible accounting, information management or other control systems, or the need to significantly update and improve the acquired business’s systems and internal controls;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potential liabilities for actions of the target before the acquisition, including as a result of a failure to comply with applicable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material indemnification obligations related to any assets that we dispose;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may disrupt our business or divert our management from other responsibilities;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acquisition, we may need to record write-downs from future impairments of intangible assets, which could reduce our future reported earnings.</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these factors limit our ability to integrate the operations of our acquisitions or to execute other strategic transactions successfully or on a timely basis, we may not meet our expectations for future results of operations. In addition, our growth and operating strategies for businesses we acquire may be different from the strategies that such target businesses currently are pursuing. If our strategies are not the proper strategies for a company we acquire or with which we partner, it could have a material adverse effect on our business, financial condition, and results of operations. Further, there can be no assurance that we will be able to maintain or enhance the profitability of any acquired business or consolidate the operations of any acquired business to achieve cost savings.</w:t>
      </w:r>
    </w:p>
    <w:p>
      <w:pPr>
        <w:spacing w:after="0" w:line="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there may be liabilities that we fail, or are unable to discover in the course of performing due diligence investigations on each company or business that we have already acquired or disposed of or may acquire or dispose of in the future. Such liabilities could include those arising from employee benefits contribution obligations of a prior owner or non-compliance with, or liability pursuant to, applicable federal, state, or local environmental requirements by us or by prior owners for which we, as a successor or predecessor owner, may be responsible. In addition, there may be additional costs relating to acquisitions and dispositions including, but not limited to, possible purchase price adjustments. There can be no assurance that rights to indemnification by sellers of assets to us, even if obtained, will be enforceable, collectible or sufficient in amount, scope or duration to fully offset the possible liabilities associated with the business or property acquired. Any such liabilities, individually or in the aggregate, could have a material adverse effect on our business. We can give no assurances that the opportunities will be consummated or that financing will be available. We may not be able to achieve the synergies and other benefits we expect from strategic transactions as successfully or as rapidly as projected, if at all.</w:t>
      </w:r>
    </w:p>
    <w:p>
      <w:pPr>
        <w:spacing w:after="0" w:line="76"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Prolonged negative economic conditions, volatile energy prices, tariffs or trade wars, and other unfavorable changes in US, global, or regional economic and market conditions could adversely affect our business.</w:t>
      </w: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could be adversely impacted by prolonged negative economic conditions affecting either our suppliers or customers, as well as the capital markets. Our products and services support public infrastructure projects, including construction, maintenance, and improvement of railroads, bridges, and national parks. Accordingly, negative changes to the level of federal, state, and local government spending may result in delayed or permanent deferrals of existing or potential infrastructure projects. No assurances can be given that we will be able to successfully mitigate various prolonged uncertainties, including materials cost variability, delayed or reduced customer orders and payments, tariffs, government or regulator shutdowns or defunding, and access to available capital resources outside of operations.</w:t>
      </w:r>
    </w:p>
    <w:p>
      <w:pPr>
        <w:spacing w:after="0" w:line="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volatile market conditions and fluctuations in energy prices could continue for an extended period, which would negatively affect our business prospects and reduce profitability. Historically, oil and natural gas prices have been volatile and are subject to fluctuations in response to changes in supply and demand, market uncertainty, a trend toward renewable or alternative energy resources, and a variety of additional factors that are beyond our control. Sustained declines or significant and frequent fluctuations in the price of oil and natural gas may have a material and adverse effect on our operations and financial condition. Volatility in energy prices may also impact the Company’s plant costs, as well as overall conditions in passenger transit markets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or improve our profitability could be adversely impacted by cost pressures.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profitability is dependent upon the efficient use of our resources. Rising inflation, interest rates, labor costs, labor disruptions, and other increases in costs due to tariffs or other reasons in the geographic areas in which we operate could have a significant adverse impact on our profitability and results of operations.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in part dependent on the accuracy and proper utilization of our management information and communications systems.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commenced migration to a new ERP system beginning in 2016, with the most recent migration completed in 2024. Acquired entities are also regularly assessed for transition onto the Company’s central ERP system. The system implementations are intended to enable us to better meet the information requirements of our users, increase our integration efficiencies, and identify additional synergies in the future. The implementation of our ERP system is complex because of the wide range of processes and systems to be integrated across our business. Any disruptions, delays, or deficiencies in the design, operation, or implementation of our various systems, or in the performance of our systems, particularly any disruptions, delays, or deficiencies that impact our operations, could adversely affect our ability to effectively run and manage our business, including our ability to receive, process, ship, and bill for orders in a timely manner or our ability to properly manage our inventory or accurately present our inventory availability or pricing. Project delays, business interruptions, or loss of expected benefits could have a material and adverse effect on our business, financial condition, or results of operations.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and may incur increasing costs in an effort to minimize those risks.</w:t>
      </w:r>
    </w:p>
    <w:p>
      <w:pPr>
        <w:spacing w:after="0" w:line="20"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Our business employs systems and websites that allow for the storage and transmission of proprietary or confidential information regarding our customers, employees, job applicants, and other parties, including financial information, intellectual property, and personal identification information. Physical or electronic data or security breaches and other disruptions could compromise our information, expose us to liability, and harm our reputation and business. Cyber attacks on information systems constitute an ongoing risk across companies and industries, and although they have not historically had a material adverse effect on our business, in the past they have caused temporary disruption and interference with our operations. Despite the steps we take to deter and mitigate cybersecurity risks, we may not be successful. We may not have the resources or technical sophistication to anticipate or prevent current or rapidly evolving types of cyber attacks including data and security breaches, malware, ransomware, hacking, and identity theft. Data and security breaches can also occur as a result of non-technical issues, including an intentional or inadvertent physical or electronic data or security breach by our employees or by persons with whom we have commercial relationships. In 2023, the United States Securities and Exchange Commission adopted new cybersecurity rules requiring disclosure of material cybersecurity incidents and processes assessing, identifying, and managing material cybersecurity risks and the corporate governance structure designed to address such risks. Compliance with such rules could be costly and burdensome, and failure to adequately comply could have an adverse impact on the Company and its reputation. Federal, state, and foreign government bodies and agencies have adopted or are considering the adoption of laws and regulations regarding the collection, use, and disclosure of personal information obtained from customers and individuals. The costs of compliance with, and other burdens imposed by, such data privacy laws and regulations, including those of the European Union (“EU”) and the UK which are, in some respects, more stringent than US standards, could be significant. Any compromise or breach of our security, including from the cyber-attack that we experienced or any future attack,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Refer to “Item 1C - Cybersecurity” contained in this Annual Report on Form 10-K for further details of cybersecurity.</w:t>
      </w:r>
    </w:p>
    <w:p>
      <w:pPr>
        <w:spacing w:after="0" w:line="9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Certain divisions of our business depend on a small number of suppliers. The loss of any such supplier could have a material and adverse effect on our business, financial condition, and result of operations.</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our Rail Products business unit, we rely on a limited number of suppliers for key products that we sell to our customers. Our Protective Coatings division is predominately dependent on two suppliers of epoxy coating. A significant downturn in the business of one or more of these suppliers, a disruption in their manufacturing operations, an unwillingness to continue to sell to us, or a disruption in the availability of rail or coating products and services may adversely impact our financial results.</w:t>
      </w:r>
    </w:p>
    <w:p>
      <w:pPr>
        <w:spacing w:after="0" w:line="68"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quality, and availability of the primary raw materials used in our business could have a material and adverse effect on our operations and profitability.</w:t>
      </w: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Many of our businesses utilize steel as a significant product component. The steel industry is cyclical and prices and availability are subject to these cycles, as well as to domestic and international fiscal policy, including tariffs and other market forces. We also use significant amounts of cement and aggregate in our precast products offerings. Our technology based solutions and services are dependent on electronic components and the ability to source these items. In February 2025, the new U.S. presidential administration announced the imposition of widespread tariffs, including on steel imports. No assurances can be given that our financial results would not be adversely affected if prices or availability of these materials were to change in a significantly unfavorable manner.</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may have a material and adverse effect on our operations and profitability.</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One of our manufacturing facilities is staffed by employees represented by a labor union. Approximately 8 employees employed at this facility are currently working under a collective bargaining agreement, which is scheduled to expire in March 2025 and is currently being negotiated. Disputes with regard to the terms of this agreement or our potential inability to renegotiate an</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acceptable contract with this union could result in, among other things, strikes, work stoppages, slowdowns, or lockouts, which could cause a disruption of our operations.</w:t>
      </w:r>
    </w:p>
    <w:p>
      <w:pPr>
        <w:spacing w:after="0" w:line="50"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shareholders could be disruptive and potentially costly and the possibility that activist shareholders may seek changes that conflict with our strategic direction could cause uncertainty about the strategic direction of our business.</w:t>
      </w: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April 2023, the Company entered into an agreement with an activist investor, 22NW, LP, and various of its affiliates (collectively, “22NW”) that had filed a Schedule 13D with the SEC with respect to the Company, which agreement provided that 22NW could appoint a non-voting Board Observer. In January of 2024, the Company entered into a new cooperation agreement with 22NW providing for the nomination of the Board Observer to stand for election to the Board of Directors of the Company at the 2024 Annual Meeting of Shareholders in return for certain customary confidentiality and standstill provisions. In addition, the term of the cooperation agreement was mutually extended to 2026 upon commitment by the Company to renominate the former Board Observer to stand for reelection as a director to the Board of Directors at the 2025 Annual Meeting of Shareholders. 22NW is a greater than 5% owner of Company stock.</w:t>
      </w:r>
    </w:p>
    <w:p>
      <w:pPr>
        <w:spacing w:after="0" w:line="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Activist investors may attempt to effect changes in the Company’s strategic direction and how the Company is governed, or to acquire control over the Company. Some investors seek to increase short-term shareholder value by advocating corporate actions, such as financial restructuring, increased borrowing, special dividends, stock repurchases, or even sales of assets or the entire company. While the Company welcomes varying opinions from all shareholders, activist campaigns that contest or conflict with our strategic direction could have an adverse effect on the Company’s results of operations and financial condition, as responding to proxy contests and other actions by activist shareholders can disrupt our operations, be costly and time-consuming, and divert the attention of the Company’s board and senior management from the pursuit of business strategies. In addition, perceived uncertainties as to our future direction as a result of changes to the composition of our Board of Directors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the continued service and availability of qualified personnel.</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Much of our future success depends on the continued availability and service of key personnel, including our Chief Executive Officer, the executive team, and other highly skilled employees. The Company is experiencing a tight labor market which has constricted the labor pool and driven up labor costs as we compete for talent. Changes in demographics, training requirements, and the availability of qualified personnel could negatively affect our ability to compete and lead to a reduction in our profitability.</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foresee or be able to control certain events that could adversely affect our business or the stability of our supply chain.</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Unexpected events, including fires or explosions at our facilities, natural disasters, such as hurricanes, flooding, and winter storms causing power failures or travel restrictions with respect to our operations, armed conflicts, terrorism, health epidemics, or pandemics, and related restrictions on travel, economic or political uncertainties or instability, extended government or regulator shutdowns or defunding, civil unrest, strikes, unplanned outages, equipment failures, failure to meet product specifications, or disruptions in certain areas of our operations, may cause our operating costs to increase or otherwise negatively impact our financial performance. For example, we have in the past experienced unpredictable reductions in demand for certain of our products and services due to a global health pandemic, which adversely affected our operations and supply chain.</w:t>
      </w:r>
    </w:p>
    <w:p>
      <w:pPr>
        <w:spacing w:after="0" w:line="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Events such as these, or other catastrophic events, could in the future adversely affect our business and results of operations, including with respect to disruptions of our supply chain. If we do not successfully manage our supply chain or identify new sources of supplies, we may be unable to satisfy customer orders, which could harm our reputation and customer relationships and materially adversely affect our business, financial condition, and operating results. A pandemic-related outbreak or other disaster affecting any one of our facilities could result in production delays or otherwise interrupt our operations. US and non-domestic governmental and private pandemic mitigation measures such as stay-at-home orders can slow travel and movement of goods throughout the world, contributing to a reduction in demand for our products and services. Our supply chain could be negatively affected by global shipping disruptions, trade restrictions or embargoes or similar impacts arising from geopolitical conflict, including but not limited to the ongoing conflicts between Ukraine and Russia, or Israel and Hamas. Such conditions can also contribute to a tight labor market which in turn may adversely impact our supply chain.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Risks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operates in highly competitive markets and a failure to react to changing market conditions could adversely impact our business.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strong competition in each of the domestic and international markets in which we operate. A slow response to competitor pricing actions and new competitor entries into our product lines could negatively impact our overall pricing. Efforts to improve pricing could negatively impact our sales volume in all product categories. We may be required to invest more heavily to maintain and expand our product offerings. There can be no assurance that new product offerings will be widely accepted in the</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markets we serve. In addition, the imposition of new or expanded tariffs could adversely impact our ability to compete in certain markets. Significant negative developments in any of these areas could adversely affect our financial results and condition.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and prevent its improper use by third parties, our ability to compete may be harmed.</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possess and in some cases license intellectual property including proprietary rail product and precast concrete formulations and systems and component designs, and we own a number of patents and trademarks under the intellectual property laws of the US, Canada, Europe, and other countries in which product sales are possible. While we have not perfected patent and trademark protection of our proprietary intellectual property for all products in all countries, we periodically assess our portfolio to determine the need for pursuing further protection. The decision not to obtain patent and trademark protection in additional countries may result in other companies copying and marketing products that are based upon our proprietary intellectual property. This, and failure to continue such licenses, could impede growth into new markets where we do not have such protections and result in a greater supply of similar products in such markets, which in turn could result in a loss of pricing power and reduced revenue. In some cases, we may decide that the best way to protect our intellectual property is to retain proprietary information as trade secrets and confidential information rather than to apply for patents, which would involve disclosure of proprietary information to the public. Any misappropriation or reverse engineering of our trade secrets could result in competitive harm and may result in costly and time-consuming litigation. If any of these events should occur, it could materially adversely affect our results of operations and financial condition.</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customers.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could be adversely affected by changes in the business or financial condition of a customer or customers. A prolonged decrease in capital spending by our rail customers or decline in sales orders from other customers could negatively impact our sales and profitability. No assurances can be given that a significant downturn in the business or financial condition of a current customer, or customers, or potential litigation with a current customer, would not also impact our future results of operations and/or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Company recently identified a material weakness in its internal control over financial reporting, and has undertaken remediation measures to address this issue. If not satisfactorily remediated, the Company’s failure to establish and maintain effective disclosure controls and procedures and internal control over financial reporting could result in material misstatements in its financial statements and a failure to meet its reporting and financial obligations, each of which could have a material adverse effect on the Company’s financial condition and the trading price of its common stock.</w:t>
      </w:r>
    </w:p>
    <w:p>
      <w:pPr>
        <w:spacing w:after="0" w:line="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previously disclosed, on November 1, 2024, the Company filed Amendment No. 1 on Form 10-K/A (“Amended Form 10-K”) to amend certain items in the Company’s Annual Report on Form 10-K for the fiscal year ended December 31, 2023, which was originally filed with the Securities and Exchange Commission (the “SEC”) on March 6, 2024 (the “Original Form 10-K”). The Amended Form 10-K corrected certain immaterial errors and identified a material weakness in our internal control over financial reporting (“ICFR”) that caused our management to conclude that we did not maintain effective ICFR as of December 31, 2023, which could, if not remediated, result in additional material misstatements in our interim and annual Consolidated Financial Statements. We also determined that our disclosure controls and procedures were ineffective as of December 31, 2023 due to the material weakness in ICFR. A failure to maintain effective ICFR or disclosure controls and procedures could impact our ability to accurately and timely report our financial results and other material disclosures or otherwise cause us to fail to meet our reporting obligations, which could have a material adverse effect on our consolidated operations, investor confidence in our business, and the trading prices of our securities.</w:t>
      </w:r>
    </w:p>
    <w:p>
      <w:pPr>
        <w:spacing w:after="0" w:line="2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Subsequent to the issuance of our Consolidated Financial Statements as of and for the year ended December 31, 2023, we identified an immaterial error in the Original Form 10-K related to the classification of the $1,403 in exit costs incurred in 2023 associated with the discontinuation of the Company’s Bridge Products grid deck product line and determined to correct this immaterial classification error and certain other immaterial errors. In addition, on October 7, 2024 (the “Determination Date”), the Audit Committee concluded that the classification of the $3,477 gain on the sale of a former joint venture facility in Magnolia, TX was an error in the Company’s previously issued Unaudited Condensed Consolidated Statements of Operations for the three month period ended March 31, 2024 and the six month period ended June 30, 2024, and that such statements should be restated to correct such error. Accordingly, on November 4, 2024, the Company filed (i) Amendment No. 1 on Form 10-Q/A (the “Q1 Amended Form 10-Q”) to amend and restate certain items in the Company's Quarterly Report on Form 10-Q for the quarterly period ended March 31, 2024, which was originally filed with the SEC on May 7, 2024 and (ii) Amendment No. 1 on Form 10-Q/A (the “Q2 Amended Form 10-Q”) to amend and restate certain items in the Company's Quarterly Report on Form 10-Q for the quarterly period ended June 30, 2024, which was originally filed with the SEC on August 6, 2024. As a result of the aforementioned errors, the issuance of the Company’s restated Quarterly Reports on Form 10-Q for the quarters ended March 31, 2024 and June 30, 2024 and the issuance of our 2023 Amended Form 10-K, we are subject to potential additional risks and uncertainties, including unanticipated legal and accounting costs, litigation, possible future new or related governmental inquiries, proceedings, or investigations, and loss of investor confidence or reputational harm to our business.</w:t>
      </w:r>
    </w:p>
    <w:p>
      <w:pPr>
        <w:spacing w:after="0" w:line="200" w:lineRule="exact"/>
        <w:rPr>
          <w:sz w:val="20"/>
          <w:szCs w:val="20"/>
          <w:color w:val="auto"/>
        </w:rPr>
      </w:pPr>
    </w:p>
    <w:p>
      <w:pPr>
        <w:spacing w:after="0" w:line="21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identified a material weakness in ICFR that caused our management to conclude that we did not maintain effective ICFR as of December 31, 2023, and subsequent interim periods in 2024, due to the lack of an effectively designed control related to the accounting for, and disclosure of, non-recurring complex transactions. We also determined that our disclosure controls and procedures were not effective as of December 31, 2024 for the same reason, resulting in a material weakness. Refer to “Part II - Item 9A. Controls and Procedures” for further details of the material weakness and remediation efforts.</w:t>
      </w:r>
    </w:p>
    <w:p>
      <w:pPr>
        <w:spacing w:after="0" w:line="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ICFR, such that there is a reasonable possibility that a material misstatement of the Company’s interim or annual Consolidated Financial Statements will not be prevented or detected on a timely basis. As such, if we do not remediate this material weakness in a timely manner, or if additional material weaknesses in our ICFR are discovered, they may adversely affect our ability to record, process, summarize, and report financial information timely and accurately. As a result, our consolidated interim or annual financial statements may contain material misstatements or omissions. Additionally, because of its inherent limitations, ICFR may not prevent or detect material misstatements on a timely basis. Also, projections of any evaluation of ICFR effectiveness to future periods are subject to the risk that internal controls may become inadequate because of changes in conditions, or that the degree of compliance with the policies or procedures may deteriorate because of its inherent limitations.</w:t>
      </w:r>
    </w:p>
    <w:p>
      <w:pPr>
        <w:spacing w:after="0" w:line="80" w:lineRule="exact"/>
        <w:rPr>
          <w:sz w:val="20"/>
          <w:szCs w:val="20"/>
          <w:color w:val="auto"/>
        </w:rPr>
      </w:pPr>
    </w:p>
    <w:p>
      <w:pPr>
        <w:ind w:right="20"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Adverse publicity and potential concerns from our customers arising from the required restatements of the Company’s Quarterly Reports on Form 10-Q for the quarters ended March 31, 2024 and June 30, 2024 could have an adverse effect on our business and financial condition.</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could be the subject of negative publicity focusing on such restatements and revisions of our financial statements, and we may be adversely impacted by negative reactions from our customers or others with whom we do business. Concerns include the perception of the effort required to address our accounting and control environment, including but not limited to the material weakness discussed herein. Continued adverse publicity and potential concerns from our customers could harm our business and have an adverse effect on our financial condition.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future performance and market value could cause write-downs of long-lived and intangible assets in future periods.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required under US generally accepted accounting principles to review intangible and long-lived assets for impairment when events or changes in circumstances indicate that the carrying value may not be recoverable. In addition, goodwill is required to be tested for impairment at least annually. Factors that may cause the carrying value of our intangible and long-lived assets to not be recoverable include, but are not limited to, a decline in stock price and resulting market capitalization, a significant decrease in the market value of an asset, or a significant decrease in operating or cash flow projections. No impairments of goodwill or intangible assets were recorded in 2024 and 2023.</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assurances can be given that we will not be required to record future significant charges related to tangible or intangible asset impairments.</w:t>
      </w:r>
    </w:p>
    <w:p>
      <w:pPr>
        <w:spacing w:after="0" w:line="113"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business, financial condition, and results of operations and prevent us from fulfilling our obligations.</w:t>
      </w:r>
    </w:p>
    <w:p>
      <w:pPr>
        <w:ind w:left="500"/>
        <w:spacing w:after="0"/>
        <w:rPr>
          <w:sz w:val="20"/>
          <w:szCs w:val="20"/>
          <w:color w:val="auto"/>
        </w:rPr>
      </w:pPr>
      <w:r>
        <w:rPr>
          <w:rFonts w:ascii="Times New Roman" w:cs="Times New Roman" w:eastAsia="Times New Roman" w:hAnsi="Times New Roman"/>
          <w:sz w:val="18"/>
          <w:szCs w:val="18"/>
          <w:color w:val="auto"/>
        </w:rPr>
        <w:t>Our indebtedness could materially and adversely affect our business, financial condition, and results of operations. For example, it could:</w:t>
      </w:r>
    </w:p>
    <w:p>
      <w:pPr>
        <w:spacing w:after="0" w:line="63" w:lineRule="exact"/>
        <w:rPr>
          <w:sz w:val="20"/>
          <w:szCs w:val="20"/>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to service our indebtedness, which would reduce the availability of our cash flows to fund working capital, capital expenditures, expansion efforts, or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among other things, our ability to borrow additional funds for working capital, capital expenditures, acquisitions, or other general corporate purposes.</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inability to comply with covenants in place or our inability to make the required principal and interest payments may cause an event of default, which could have a substantial adverse impact to our business, financial condition, and results of operations. There is no assurance that refinancing or asset dispositions could be effected on a timely basis or on satisfactory terms, if at all, particularly if credit market conditions deteriorate. Furthermore, there can be no assurance that refinancing or asset dispositions would be permitted by the terms of our credit agreements or debt instruments. Our existing credit agreements contain, and any future debt agreements we may enter into may contain, certain financial tests and other covenants that limit our ability to incur indebtedness, acquire other businesses, and any such future debt agreements may impose various other restrictions. Our ability to comply with financial tests may be adversely affected by changes in economic or business conditions beyond our control, and these covenants may limit our ability to take advantage of potential business opportunities as they arise. We cannot be certain that we will be able to comply with the financial tests and other covenants, or, if we fail to do so, that we will be able to obtain waivers or amended terms from our lenders. An uncured default with respect to one or more of the covenants could result in the amounts outstanding being declared immediately due and payable, which may also trigger an obligation to redeem our outstanding debt securities and repay all other outstanding indebtedness. Any such acceleration of our indebtedness would have a material and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117"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adverse outcome in any pending or future litigation, potential required environmental investigation, delineation, or remedial activities including but not limited to the Portland Superfund matter or any related litigation, or pending or future warranty claims against the Company or its subsidiaries or our determination that a customer has a substantial product warranty claim could negatively impact our financial results and/or our financial condition.</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party to various legal proceedings. In addition, from time to time our customers assert claims against us relating to the warranties which apply to products we have sold. There is the potential that an outcome adverse to us or our subsidiaries in pending or future legal proceedings or pending or future product warranty claims could materially exceed any accruals we have established and adversely affect our financial results and/or financial condition. In addition, we could suffer a significant loss of business from a customer who is dissatisfied with the resolution of a warranty claim. Refer to “Part II, Item 8, Financial Statements and Supplementary Data, Note 17 to the Consolidated Financial Statements” for further details of pending legal proceedings.</w:t>
      </w:r>
    </w:p>
    <w:p>
      <w:pPr>
        <w:spacing w:after="0" w:line="7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Violations of the US Foreign Corrupt Practices Act and similar worldwide anti-corruption laws and other foreign governmental regulations, could result in fines, penalties, and criminal sanctions against the Company, its officers, or both and could have a material and adverse effect on our business.</w:t>
      </w:r>
    </w:p>
    <w:p>
      <w:pPr>
        <w:spacing w:after="0" w:line="1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and other similar worldwide anti-corruption laws, such as the UK Bribery Act, prohibit improper payments for the purpose of obtaining or retaining business. Although we have established an internal control structure, corporate policies, compliance, and training processes to reduce the risk of violation, we cannot ensure that these procedures protect us from violations of such policies by our employees or agents. Failure to comply with applicable laws or regulations could subject us to fines, penalties, and suspension or debarment from contracting. Events of non-compliance could harm our reputation, reduce our revenues and profits, and subject us to criminal and civil enforcement actions. Violations of such laws or allegations of violation could disrupt our business and result in material adverse results to our operating results or future profitability.</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foreign operations are subject to governmental regulations in the countries in which we operate, as well as US laws. These regulations include those related to currency conversion, repatriation of earnings, taxation of our earnings and the earnings of our personnel, and the increasing requirement in some countries to make greater use of local employees and suppliers, including, in some jurisdictions, mandates that provide for greater local participation in the ownership and control of certain local business assets.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certain tax attributes, including US federal, state, and foreign operating loss carryforwards, and federal research and development credits, which may be available to offset future taxable income in certain jurisdictions. Realization of these net operating loss and research and development credit carryforwards depends on future income, and there is a risk that certain of our existing carryforwards could expire unused and be unavailable to offset future income tax liabilities, which could adversely affect our operating results and financial condition.</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Similar rules apply under US state tax laws. We have, and may in the future, experience ownership changes as a result of shifts in our stock ownership. As a result, if we earn net taxable income, our ability to use our pre-change US net operating loss carryforwards to offset US federal taxable income may be subject to limitations, which could potentially result in increased future tax liability to us.</w:t>
      </w:r>
    </w:p>
    <w:p>
      <w:pPr>
        <w:spacing w:after="0" w:line="7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income tax liability could impact our profitability and management projections, estimates, and judgments, particularly with respect to reserves for litigation, deferred tax assets, and the fair market value of certain assets and liabilities, may be inaccurate and not be indicative of our future performance.</w:t>
      </w:r>
    </w:p>
    <w:p>
      <w:pPr>
        <w:spacing w:after="0" w:line="1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team is required to use certain estimates in preparing our financial statements, including accounting estimates to determine reserves related to litigation, deferred tax assets, and the fair market value of certain assets and liabilities. Certain asset and liability valuations are subject to management’s judgment and actual results are influenced by factors outside our control.</w:t>
      </w:r>
    </w:p>
    <w:p>
      <w:pPr>
        <w:spacing w:after="0" w:line="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to maintain a valuation allowance for deferred tax assets and record a charge to income if we determine, based on evidence available at the time the determination is made, that it is more likely than not some portion or all of the deferred tax assets will not be realized. This evaluation process involves significant management judgment about assumptions that are subject to change from period to period. The use of different estimates can result in changes in the amount of deferred taxes recognized, which can result in earnings volatility because such changes are reported in current period earnings. See Part II, Item 8, Financial Statements and Supplementary Data, Note 13 to the Consolidated Financial Statements, contained in this Annual Report on Form 10-K, for additional discussion of our deferred taxes.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Shifting federal, state, local, and foreign regulatory policies impose risks to our operations.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regulation by federal, state, local, and foreign regulatory agencies and are therefore subject to a variety of legal proceedings and compliance risks, including those described in Item 3 - Legal Proceedings and in Part II, Item 8, Financial Statements and Supplementary Data, Note 17 to the Consolidated Financial Statements, contained in this Annual Report on Form 10-K. Like other companies engaged in environmentally sensitive businesses, we are required to comply with numerous laws and regulations, including environmental matters relating to, among other things, the treatment, disposal, and storage of wastes, investigation and remediation of contaminated soil and groundwater, the discharge of effluent into waterways, and the emissions of substances into the air. We are required to obtain various authorizations, permits, approvals, and certificates from governmental agencies. The Company could be subject to liability with respect to remediation of past contamination in the operation of some of its current and former facilities and remediation of contamination by former owners or operators of the Company’s current or former facilities. Compliance with emerging regulatory initiatives, delays, discontinuations, or reversals or reinterpretations of existing regulatory policies in the markets in which we operate, including costs associated with any required environmental remediation and monitoring, could have an adverse effect on our business, results of operations, cash flows, and financial condition.</w:t>
      </w:r>
    </w:p>
    <w:p>
      <w:pPr>
        <w:spacing w:after="0" w:line="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substantial portion of our operations is heavily dependent on governmental funding of infrastructure projects. Many of these projects have “Buy America” or “Buy American” provisions. Significant changes in the level of government funding of these projects could have a favorable or unfavorable impact on our operating results. Additionally, government actions concerning “Buy America” provisions, taxation, tariffs, the environment, energy, or other matters could impact our operating results.</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Government actions in the US or other countries where we have a higher concentration of business may change tax policy, trade policy, or other regulatory priorities, or may enact other legislation that could create an unfavorable environment for the Company, making it more difficult to compete or adversely impact our operating results.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initiatives related to climate change could have a material adverse effect on our business.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Greenhouse gases may have an adverse effect on global temperatures, weather patterns, and the frequency and severity of extreme weather and natural disasters.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Moreover, natural disasters and extreme weather conditions may impact the productivity of our facilities, the operation of our supply chain, or consumer buying patterns. Any of these risks could have a material adverse effect on our business.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could incur significant costs.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operations and properties are also subject to extensive federal, state, local, and foreign environmental laws and regulations relating to protection of the environment and human health and safety, including those concerning the treatment, storage and disposal of wastes, the investigation and remediation of contaminated soil and groundwater, the discharge of effluents into waterways, the emission of substances into the air, as well as various health and safety matters. Environmental laws and regulations are subject to frequent amendment and have historically become more stringent over time. We could incur significant costs if we fail to comply with regulations and responsibilities under environmental laws and regulations, including cleanup costs, civil and criminal penalties, injunctive relief and denial or loss of, or imposition of significant restrictions on, environmental permits. In addition, we could be subject to suit by private parties in connection with alleged violations of, or liabilities under, environmental laws and regulations. Additional information on environmental matters is available in this Part I, Item 1A, Risk Factors and Part II, Item 8, Financial Statements and Supplementary Data, Note 17 to the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11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portion of our sales are derived from our international operations, which expose us to certain risks inherent in doing business on an international level.</w:t>
      </w: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Doing business outside the US subjects the Company to various risks, including changing economic and political conditions, work stoppages, exchange controls, currency fluctuations, armed conflicts, transportation regulations, foreign investments, and taxation. Following the recent change of administration in the US, the US government has imposed tariffs on certain foreign goods, including steel and aluminum. Changes in US foreign trade policies, including tariffs, could result in retaliatory tariffs or trade restrictions with US trading partners which could cause disruptions in our operations and increase our costs.</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Increasing sales to foreign countries, including Brazil, Canada, China, India, Mexico, the UK, and countries within the EU, expose the Company to increased risk of loss from foreign currency fluctuations and exchange controls as well as longer accounts receivable payment cycles and the potential impact of tariffs on our ability to compete in such markets. We have little control over most of these risks and may be unable to anticipate changes in international economic and political conditions and, therefore, be unable to alter our business practices in time to avoid the adverse effect of any of these possible changes.</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exchange rates for foreign currencies may reduce international demand for our products or increase our labor or supply costs in non-US markets. Fluctuations in the relative values of the US dollar, Canadian dollar, British pound, and Euro may result in volatile earnings that reflect exchange rate translation in our Canadian and European sales and operations. If the US dollar strengthens in value as compared to the value of the Canadian dollar, British pound, or Euro, our reported earnings in dollars from</w:t>
      </w:r>
    </w:p>
    <w:p>
      <w:pPr>
        <w:sectPr>
          <w:pgSz w:w="11900" w:h="16838" w:orient="portrait"/>
          <w:cols w:equalWidth="0" w:num="1">
            <w:col w:w="11240"/>
          </w:cols>
          <w:pgMar w:left="320" w:top="178" w:right="339" w:bottom="1440" w:gutter="0" w:footer="0" w:header="0"/>
        </w:sectPr>
      </w:pP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6" w:name="page17"/>
    <w:bookmarkEnd w:id="1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in those currencies will be unfavorable. Conversely, a favorable result will be reported if the US dollar weakens in value as compared to the value of the Canadian dollar, British pound, or Euro.</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international trade agreements, including The United States-Mexico-Canada Trade Agreement (“USMCA”), could affect our business, financial condition, and results of operations. Potential material modifications to USMCA, or certain other international trade agreements, including with respect to the modification of trade agreements with or among the EU and the UK, may have a material adverse effect on our business, financial condition, and results of operations.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and regulatory changes caused by the United Kingdom’s exit from the European Union could adversely affect our business.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a June 2016 referendum, the UK left the EU on January 31, 2020, commonly referred to as “Brexit.” The UK government and the EU operated under a transitional arrangement that expired on December 31, 2020. The EU-UK Trade and Cooperation Agreement was agreed in principle and became provisionally operative on January 1, 2021, and formally in force on May 1, 2021, and terms of this new relationship between the UK and the EU remain subject to uncertainties. There has been volatility in currency exchange rate fluctuations between the US dollar relative to the British pound, which could continue. The withdrawal of the UK from the EU has also created market volatility and could continue to contribute to instability in global financial and foreign exchange markets, political institutions, and regulatory agencies as negotiations of trade deals between the UK and the EU, and also between the UK and other countries, possibly including the US, occur during the near future. Brexit is an unprecedented event, and, accordingly, it is unclear what long-term economic, financial, trade, and legal effects will result.</w:t>
      </w:r>
    </w:p>
    <w:p>
      <w:pPr>
        <w:spacing w:after="0" w:line="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majority of our UK operations are heavily concentrated within the UK borders; however, this could adversely affect the future growth of our UK operations into other European locations. Our UK operations represented approximately 8% of our total revenue for the years ended December 31, 2024 and 2023. During the years ended December 31, 2024 and 2023 less than 1% of our consolidated net revenue was from the UK operation’s sales exported to EU members.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 Governance, and Incident Disclosure</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cybersecurity program is designed to protect its digital assets and information, and to allow for the secure storage and transmission of proprietary or confidential information regarding our customers, employees, job applicants, and other parties, including financial information, intellectual property, and personal identification information. The Company’s cybersecurity program is formed on a risk-based approach in accordance with industry best practices, and is calibrated with recommendations from third party risk management consultants, auditors, cybersecurity professionals, and cybersecurity insurers. Portions of our business are certified under the Cyber Essentials program. Additionally, the Company has performed an ISO 27001 gap analysis and goals have been set forth to comply with ISO 27001 company-wide.</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cybersecurity program includes:</w:t>
      </w:r>
    </w:p>
    <w:p>
      <w:pPr>
        <w:spacing w:after="0" w:line="63"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cyber education program with ongoing employee cybersecurity awareness and training activities, which include frequent phishing simulation, testing, and ongoing education;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management and access controls with periodic reviews;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certain data through encryption at rest and in transit;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and network monitoring and protection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sensitive data transmission detection tools;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a managed detection and response service which monitors the Company’s environment at all times for threats, and in the event of an incident, provides proactive services;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vulnerability management program that includes identifying and managing the cybersecurity risk associated with third-party service providers, including third-party software, hardware, and network infrastructure;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internal cybersecurity team and a cyber incident response plan that provides controls and procedures to support appropriate identification, containment, response, investigation, reporting, and recovery from cybersecurity incidents;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simulated cyber security emergency response readiness scenario training with key IT personnel and executive leadership;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testing of our cybersecurity posture, including by independent third-party consultants;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cybersecurity requirements and other provision into various contracts.</w:t>
      </w:r>
    </w:p>
    <w:p>
      <w:pPr>
        <w:spacing w:after="0" w:line="3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continued to invest in cybersecurity to evolve and improve its program and regularly assesses and measures itself against industry practices to identify opportunities to enhance training and awareness among our people and improve processes</w:t>
      </w:r>
    </w:p>
    <w:p>
      <w:pPr>
        <w:sectPr>
          <w:pgSz w:w="11900" w:h="16838" w:orient="portrait"/>
          <w:cols w:equalWidth="0" w:num="1">
            <w:col w:w="11240"/>
          </w:cols>
          <w:pgMar w:left="320" w:top="178"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7" w:name="page18"/>
    <w:bookmarkEnd w:id="1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and technology used to identify, prevent, detect, respond, and recover from cybersecurity incidents. When such improvements are identified and validated as appropriate in the Company’s business context, they are incorporated in the roadmap for implementation.</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although the Company has been subject to cyber-attacks, the risks and impacts from cybersecurity threats have not materially affected the Company. We have significantly increased our cybersecurity investments over the last several years and have implemented cybersecurity safeguards designed to detect and prevent cybersecurity events that may have a material adverse effect on the Company. Notwithstanding our increased cybersecurity investments and preparedness activities, sophisticated and targeted computer crime perpetrated by threat actors internal or external to the Company poses a risk to the security of our systems, facilities, and networks and to the confidentiality, availability, and integrity of our data, including but not limited to intellectual property and confidential and personal data. This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Refer to the risk factor titled “We are subject to cybersecurity risks and may incur increasing costs in an effort to minimize those risks” in Item 1A of this Form 10-K for further detail regarding cybersecurity risks that could affect the Company’s operations. We maintain insurance covering certain costs that we may incur in connection with cybersecurity incidents, which we believe is commensurate with the size and the nature of our operations. However, the Company may incur expenses and losses related to a cyber incident that are not covered by insurance or are in excess of our insurance coverage.</w:t>
      </w:r>
    </w:p>
    <w:p>
      <w:pPr>
        <w:spacing w:after="0" w:line="2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Board of Directors (the “Board”) has overall responsibility for the oversight of risk management at L.B. Foster Company, which includes cybersecurity risks. The Audit Committee of the Board (the “Audit Committee”), is responsible for oversight of the Company’s Enterprise Risk Management (“ERM”) program which provides oversight and governance of all of the Company’s operational and financial risks, specifically including risks from cybersecurity threats to the Company. As described below, the Audit Committee receives regular reports and periodic briefings from senior management on cybersecurity matters, including key risks to the Company, recent developments, and risk mitigation activities.</w:t>
      </w:r>
    </w:p>
    <w:p>
      <w:pPr>
        <w:spacing w:after="0" w:line="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a Cyber Incident Response Team (“CIRT”) of trained information technology professionals who are responsible for assessing, identifying, and managing our material risks from cybersecurity threats on an ongoing basis, all of whom have extensive background, experience, and education in information technology and computer science and are subject to training on industry-leading security platforms and tools as well as continuing education to maximize capabilities with the tools and technology of the Company. This team is overseen by the Vice President of Information Technology, who facilitates the regular cybersecurity updates to the Audit Committee. The Company also has a Cyber Security Materiality Assessment Committee (“CMAC”) comprised of the Chief Financial Officer, General Counsel, and information technology and security representatives, which is responsible for assessment of material cybersecurity incidents and communicating such incidents to the Chief Executive Officer, Audit Committee, and the Board.</w:t>
      </w:r>
    </w:p>
    <w:p>
      <w:pPr>
        <w:spacing w:after="0" w:line="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CIRT maintains an internal execution and communication plan that is designed to measure the impact, assess initial materiality, record the incident, invoke the incident response plan, and communicate the occurrence of certain cybersecurity events or incidents to appropriate members of senior management (including the CMAC) within established procedural time frames. This communication hierarchy includes protocols for informing the Chief Executive Officer, Audit Committee, and the full Board of certain cybersecurity events or incidents and for determining the materiality thereof.</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415 Holiday Drive, Suite 100, Pittsburgh, PA 15220. The location and general description of the material principal properties that are owned or leased by the Company, together with the segment of the Company’s business using such properties, are set forth in the following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Segment</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Expiration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Bedford, PA</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Bridge component fabricating plant</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Birmingham, AL</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Protective coatings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32</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Burnaby, BC, Canada</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Friction management products plant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City, IN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Rail processing facility and yard storage</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22</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Dublin, OH</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Rail safety device manufacturing facility</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2026</w:t>
            </w: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 County, FL</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Hillsboro, TX</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Lebanon, TN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2028</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 United Kingdom</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services facility</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Loudon, TN</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Magnolia, TX</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Threading facility</w:t>
            </w:r>
          </w:p>
        </w:tc>
        <w:tc>
          <w:tcPr>
            <w:tcW w:w="520" w:type="dxa"/>
            <w:vAlign w:val="bottom"/>
            <w:tcBorders>
              <w:bottom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34</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Nampa, ID</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Niles, OH</w:t>
            </w:r>
          </w:p>
        </w:tc>
        <w:tc>
          <w:tcPr>
            <w:tcW w:w="4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Rail fabrication, friction management products, and yard</w:t>
            </w:r>
          </w:p>
        </w:tc>
        <w:tc>
          <w:tcPr>
            <w:tcW w:w="520" w:type="dxa"/>
            <w:vAlign w:val="bottom"/>
            <w:gridSpan w:val="2"/>
            <w:vMerge w:val="restart"/>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35</w:t>
            </w:r>
          </w:p>
        </w:tc>
        <w:tc>
          <w:tcPr>
            <w:tcW w:w="200" w:type="dxa"/>
            <w:vAlign w:val="bottom"/>
            <w:shd w:val="clear" w:color="auto" w:fill="CCEEFF"/>
          </w:tcPr>
          <w:p>
            <w:pPr>
              <w:spacing w:after="0"/>
              <w:rPr>
                <w:sz w:val="19"/>
                <w:szCs w:val="19"/>
                <w:color w:val="auto"/>
              </w:rPr>
            </w:pPr>
          </w:p>
        </w:tc>
        <w:tc>
          <w:tcPr>
            <w:tcW w:w="2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420" w:type="dxa"/>
            <w:vAlign w:val="bottom"/>
            <w:gridSpan w:val="2"/>
            <w:vMerge w:val="continue"/>
            <w:shd w:val="clear" w:color="auto" w:fill="CCEEFF"/>
          </w:tcPr>
          <w:p>
            <w:pPr>
              <w:spacing w:after="0"/>
              <w:rPr>
                <w:sz w:val="10"/>
                <w:szCs w:val="10"/>
                <w:color w:val="auto"/>
              </w:rPr>
            </w:pPr>
          </w:p>
        </w:tc>
        <w:tc>
          <w:tcPr>
            <w:tcW w:w="448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storage</w:t>
            </w:r>
          </w:p>
        </w:tc>
        <w:tc>
          <w:tcPr>
            <w:tcW w:w="52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80" w:type="dxa"/>
            <w:vAlign w:val="bottom"/>
            <w:gridSpan w:val="2"/>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10"/>
                <w:szCs w:val="10"/>
                <w:color w:val="auto"/>
              </w:rPr>
            </w:pPr>
          </w:p>
        </w:tc>
        <w:tc>
          <w:tcPr>
            <w:tcW w:w="4480" w:type="dxa"/>
            <w:vAlign w:val="bottom"/>
            <w:tcBorders>
              <w:bottom w:val="single" w:sz="8" w:color="CCEEFF"/>
            </w:tcBorders>
            <w:gridSpan w:val="3"/>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Nottingham, United Kingdom</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Technology solutions manufacturing</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Pueblo, CO</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Rail joint manufacturing facility</w:t>
            </w:r>
          </w:p>
        </w:tc>
        <w:tc>
          <w:tcPr>
            <w:tcW w:w="5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Sheffield, United Kingdom</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Track component and friction management products</w:t>
            </w:r>
          </w:p>
        </w:tc>
        <w:tc>
          <w:tcPr>
            <w:tcW w:w="160" w:type="dxa"/>
            <w:vAlign w:val="bottom"/>
          </w:tcPr>
          <w:p>
            <w:pPr>
              <w:spacing w:after="0"/>
              <w:rPr>
                <w:sz w:val="19"/>
                <w:szCs w:val="19"/>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vMerge w:val="restart"/>
          </w:tcPr>
          <w:p>
            <w:pPr>
              <w:jc w:val="center"/>
              <w:ind w:left="391"/>
              <w:spacing w:after="0"/>
              <w:rPr>
                <w:sz w:val="20"/>
                <w:szCs w:val="20"/>
                <w:color w:val="auto"/>
              </w:rPr>
            </w:pPr>
            <w:r>
              <w:rPr>
                <w:rFonts w:ascii="Times New Roman" w:cs="Times New Roman" w:eastAsia="Times New Roman" w:hAnsi="Times New Roman"/>
                <w:sz w:val="18"/>
                <w:szCs w:val="18"/>
                <w:color w:val="auto"/>
                <w:w w:val="99"/>
              </w:rPr>
              <w:t>2030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44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facility</w:t>
            </w:r>
          </w:p>
        </w:tc>
        <w:tc>
          <w:tcPr>
            <w:tcW w:w="1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4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Telford, United Kingdom</w:t>
            </w:r>
          </w:p>
        </w:tc>
        <w:tc>
          <w:tcPr>
            <w:tcW w:w="4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solutions 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Rail</w:t>
            </w:r>
          </w:p>
        </w:tc>
        <w:tc>
          <w:tcPr>
            <w:tcW w:w="1040" w:type="dxa"/>
            <w:vAlign w:val="bottom"/>
            <w:tcBorders>
              <w:bottom w:val="single" w:sz="8" w:color="CCEEFF"/>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2033</w:t>
            </w: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Waverly, WV</w:t>
            </w:r>
          </w:p>
        </w:tc>
        <w:tc>
          <w:tcPr>
            <w:tcW w:w="4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5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Willis, TX</w:t>
            </w:r>
          </w:p>
        </w:tc>
        <w:tc>
          <w:tcPr>
            <w:tcW w:w="4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Protective coatings facility</w:t>
            </w:r>
          </w:p>
        </w:tc>
        <w:tc>
          <w:tcPr>
            <w:tcW w:w="5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Included in the table above are certain facilities leased by the Company for which there is no acreage included in the lease. For these properties a “N/A” has been included in the “Acres” column.</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properties listed above include our material warehouses, plants, and yards. We also have a network of sales offices, including our corporate headquarters in Pittsburgh, PA that we own or lease throughout the United States, Canada, Europe, China, and Brazil. The Company’s facilities are in good condition and suitable for the Company’s business as currently conducted and as currently planned to be conducted.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Information regarding the Company’s legal proceedings and other commitments and contingencies is set forth in Part II, Item 8, Financial Statements and Supplementary Data, Note 17 to the Consolidated Financial Statements, contained in this Annual Report on Form 10-K, which is incorporated by reference into this Item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rPr>
          <w:sz w:val="20"/>
          <w:szCs w:val="20"/>
          <w:color w:val="auto"/>
        </w:rPr>
      </w:pPr>
      <w:r>
        <w:rPr>
          <w:rFonts w:ascii="Times New Roman" w:cs="Times New Roman" w:eastAsia="Times New Roman" w:hAnsi="Times New Roman"/>
          <w:sz w:val="18"/>
          <w:szCs w:val="18"/>
          <w:color w:val="auto"/>
        </w:rPr>
        <w:t>(Dollars in thousands, except share data unless otherwise noted)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Market Information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had 340 common shareholders of record on February 27, 2025.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The Company’s common stock is traded on the Nasdaq Global Select Market under the symbol: FSTR.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2024 and 2023 the Company did not declare any quarterly dividends, however, there is potential for ordinary or special dividends in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4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August 13, 2021 credit facility, as amended, permits it to pay dividends and distributions and to make redemptions with respect to its stock providing no event of default or potential default (as defined in the credit facility) has occurred prior to or after giving effect to the dividend, distribution, or redemption.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 Refer to “Part II, Item 8, Financial Statements and Supplementary Data, Note 20 to the Consolidated Financial Statements.”</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December 31, 2024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3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6"/>
                <w:szCs w:val="16"/>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37"/>
        </w:trPr>
        <w:tc>
          <w:tcPr>
            <w:tcW w:w="44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103,706</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103,534</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hanging="3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current period, 172 shares were withheld by the Company to pay taxes upon vesting of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500"/>
        <w:spacing w:after="0" w:line="344"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in thousands, except share data unless otherwise noted)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L.B. Foster Company is innovating to solve global infrastructure challenges. Our technology innovations enable safety, improve information flow, keep things moving, monitor conditions, and enhance environments, improving the lives of people who rely on us to keep our world moving. We enjoy a market-leading reputation for high-quality, high-performance engineering solutions in rail and infrastructure. The Company is organized and operates in two reporting segments: Rail, Technologies, and Services (“Rail”) and Infrastructure Solutions (“Infrastructure”).</w:t>
      </w:r>
    </w:p>
    <w:p>
      <w:pPr>
        <w:spacing w:after="0" w:line="1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financial statements presented herein are prepared using accounting principles generally accepted in the United States of America (“US GAAP”). Throughout Management’s Discussion and Analysis of Financial Condition and Results of Operations (the “MD&amp;A”), we refer to measures used by management to evaluate performance. We also refer to a number of financial measures that are not defined under US GAAP, including organic sales growth (decline), earnings before interest, taxes, depreciation, and amortization (“EBITDA”), adjusted EBITDA, net debt, funding capacity, new orders, and backlog. The explanation at the end of the MD&amp;A provides the definition of these non-GAAP financial measures. A reconciliation of EBITDA, adjusted EBITDA, organic sales growth (decline), net debt, and funding capacity to its most directly comparable respective US GAAP financial measure is presented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Developments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2024, the Company:</w:t>
      </w:r>
    </w:p>
    <w:p>
      <w:pPr>
        <w:spacing w:after="0" w:line="63" w:lineRule="exact"/>
        <w:rPr>
          <w:sz w:val="20"/>
          <w:szCs w:val="20"/>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Produced net sales of $530,765, a decrease of $12,979, or 2.4%, from 2023, due to a 2.5% reduction from divestitures and product line exit activity;</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gross profit margin of 22.2% for the year, a 160-basis point improvement over prior year;</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net cash flow from operations in 2024 of $22,632;</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debt during 2024 by $8,333 to $46,940;</w:t>
      </w:r>
    </w:p>
    <w:p>
      <w:pPr>
        <w:spacing w:after="0" w:line="63" w:lineRule="exact"/>
        <w:rPr>
          <w:rFonts w:ascii="Times New Roman" w:cs="Times New Roman" w:eastAsia="Times New Roman" w:hAnsi="Times New Roman"/>
          <w:sz w:val="18"/>
          <w:szCs w:val="18"/>
          <w:color w:val="auto"/>
        </w:rPr>
      </w:pPr>
    </w:p>
    <w:p>
      <w:pPr>
        <w:ind w:left="540" w:hanging="316"/>
        <w:spacing w:after="0" w:line="281"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of $42,843, an increase of $41,544 compared to the prior year due to a $28,398 tax benefit which was primarily related to a favorable tax valuation allowance adjustment in 2024 as well as improved operating income;</w:t>
      </w:r>
    </w:p>
    <w:p>
      <w:pPr>
        <w:spacing w:after="0" w:line="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adjusted EBITDA of $33,576; an increase of 5.7% compared to the prior year;</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actions taken to reduce our cost structure by $4,500 on a run-rate basis;</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300,302 shares of the Company’s stock, or 2.7% of its outstanding shares, at a cost of $6,808.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as reported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asset sale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termination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divestitures</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VanHooseCo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 grid deck exit impact</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31,775</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Reconciliation</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55,273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52,713</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Consolidated Sales</w:t>
            </w:r>
          </w:p>
        </w:tc>
        <w:tc>
          <w:tcPr>
            <w:tcW w:w="200" w:type="dxa"/>
            <w:vAlign w:val="bottom"/>
          </w:tcPr>
          <w:p>
            <w:pPr>
              <w:spacing w:after="0"/>
              <w:rPr>
                <w:sz w:val="24"/>
                <w:szCs w:val="24"/>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0"/>
        </w:trPr>
        <w:tc>
          <w:tcPr>
            <w:tcW w:w="8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from divestitures and exit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 growth</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Rail Sales</w:t>
            </w:r>
          </w:p>
        </w:tc>
        <w:tc>
          <w:tcPr>
            <w:tcW w:w="200" w:type="dxa"/>
            <w:vAlign w:val="bottom"/>
          </w:tcPr>
          <w:p>
            <w:pPr>
              <w:spacing w:after="0"/>
              <w:rPr>
                <w:sz w:val="24"/>
                <w:szCs w:val="24"/>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4"/>
        </w:trPr>
        <w:tc>
          <w:tcPr>
            <w:tcW w:w="8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divestitures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 growth</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Infrastructure Solutions Sales</w:t>
            </w:r>
          </w:p>
        </w:tc>
        <w:tc>
          <w:tcPr>
            <w:tcW w:w="200" w:type="dxa"/>
            <w:vAlign w:val="bottom"/>
          </w:tcPr>
          <w:p>
            <w:pPr>
              <w:spacing w:after="0"/>
              <w:rPr>
                <w:sz w:val="24"/>
                <w:szCs w:val="24"/>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0"/>
        </w:trPr>
        <w:tc>
          <w:tcPr>
            <w:tcW w:w="8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divestitures and exit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 decline</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Divestitures and Product Line Exit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business for $5,344 in proceeds, generating a $2,065 loss on sale, recorded in “Other expense - net” for the year ended December 31, 2023. The Chemtec business was reported in the Steel Products business unit within the Infrastructure segment. Chemtec’s net sales for the year ended December 31, 2023 were $9,259.</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Ties business, located in Spokane, WA, for $2,362 in proceeds, generating a $1,009 loss on the sale, which was recorded in “Other expense - net” for the year ended December 31, 2023. The Ties business was reported in the Rail Products business unit within the Rail segment. Ties' net sales for the year ended December 31, 2023 were $2,130.</w:t>
      </w:r>
    </w:p>
    <w:p>
      <w:pPr>
        <w:spacing w:after="0" w:line="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Bedford, PA based operations supporting the product line expects to complete any remaining customer obligations in 2025. For the years ended December 31, 2024 and 2023, the product line had $3,700 and $6,146 in sales, respectively. The decision to exit the bridge grid deck product line is a result of a weak bridge grid deck market condition and outlook due to customer adoption of newer technologies replacing the grid deck solution. During the year ended 2023, the Company incurred $1,403 of Bridge Exit costs, of which $1,141 was recorded in “Cost</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2" w:name="page23"/>
    <w:bookmarkEnd w:id="2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goods sold” and $262 was recorded in “Selling and administrative expenses.” These expenses included $474 in inventory write-downs, $667 in personnel related expenses, and $262 in other exit costs; the majority of cash payments were made in early 2024. During the year ended December 31, 2024, the Company incurred an immaterial amount of exit costs, all of which were personnel expenses. The Company does not expect to incur additional material exit costs in 2025. During 2023, the Company also recorded a $1,977 reduction in net sales and a $3,051 reduction in gross profit stemming from changes in expected value of certain commercial projects associated with the Bridge Exit.</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which is a licensed manufacturer of Redi-Rock and natural concrete products for $1,644. Cougar has been included in the Precast Concrete Products business unit within the Infrastructure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Results Comparison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300" w:type="dxa"/>
            <w:vAlign w:val="bottom"/>
          </w:tcPr>
          <w:p>
            <w:pPr>
              <w:spacing w:after="0"/>
              <w:rPr>
                <w:sz w:val="16"/>
                <w:szCs w:val="16"/>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530,765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543,744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118,062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112,044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30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bps</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96,398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97,623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bps</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20,513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margin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bps</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 net</w:t>
            </w:r>
          </w:p>
        </w:tc>
        <w:tc>
          <w:tcPr>
            <w:tcW w:w="3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0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14,445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(28,398)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(28,043)</w:t>
            </w:r>
          </w:p>
        </w:tc>
        <w:tc>
          <w:tcPr>
            <w:tcW w:w="30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42,843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41,544</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42,946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41,482</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Borders>
              <w:top w:val="single" w:sz="8" w:color="auto"/>
              <w:bottom w:val="single" w:sz="8" w:color="auto"/>
            </w:tcBorders>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2024 Compared to Fiscal 2023 — Company Analysis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sales for the year ended December 31, 2024 decreased by $12,979, or 2.4%, from the prior year. The decrease in sales is due to divestitures and product line exits which declined $13,819, offset partially by an organic sales increase of $840. Net sales for the year ended December 31, 2023 included a $1,977 reduction stemming from changes in expected value of certain commercial projects associated with the Bridge Exit within the Infrastructure segment.</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profit increased by $6,018, or 5.4%, and gross profit margin expanded by 160 basis points to 22.2%. The improvement in gross profit is due primarily to the portfolio changes that are a part of the Company’s strategic transformation, as well as uplift from favorable business mix and recovery in our UK Technology Services and Solutions businesses. In 2024, gross profit also included an $815 gain on the sale of an ancillary property within the Steel Products business unit In 2023, gross profit was impacted by a reduction in profitability of $4,192 due to the Bridge Exit.</w:t>
      </w:r>
    </w:p>
    <w:p>
      <w:pPr>
        <w:spacing w:after="0" w:line="1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decreased by $1,225, or 1.3%, from the prior year. The decrease was primarily attributable to $2,919 of lower employment costs in the year ended December 31, 2024 and $1,862 of bad debt expense incurred in the year ended December 31, 2023 due to a customer filing for administrative protection. Partially offsetting these decreases were $1,173 of corporate legal costs associated with a resolved legal matter, $783 in professional services expenditures associated with the announced enterprise restructuring, and $608 in higher employee-related restructuring expense in 2024. Selling and administrative expenses as a percentage of net sales increased to 18.2% from 18.0% due to lower sales volumes.</w:t>
      </w:r>
    </w:p>
    <w:p>
      <w:pPr>
        <w:spacing w:after="0" w:line="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$3,477 gain on sale of the former joint venture facility for the year ended December 31, 2024 was attributed to the Company's facility and land in Magnolia, Texas.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Net interest expense for the year ended December 31, 2024 decreased by $536, or 9.7%, due to declining interest rates and lower debt levels during the year.</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expense - net decreased by $1,559 from the prior year. Other expense - net in for the year ended December 31, 2024 was primarily attributable to $1,722 of pension termination costs associated with the termination of the frozen L.B. Foster Company Merged Retirement Plan (the “US DB Plan”). Other expense - net for the year ended December 31, 2023 was attributable to a $3,074 loss on the divestitures of Ties and Chemtec.</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2024 was (196.6)%, compared to (37.6)% in the prior year period. The Company's effective income tax rate differed from the federal statutory rate of 21% primarily due to the change in valuation allowance previously recorded against certain U.S. federal and state deferred tax assets. For further discussion on the valuation allowance, refer to Note 13 of the Notes to the Consolidated Financial Statements.</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 for the year ended December 31, 2024 was favorable by $41,482, or $3.76 per diluted share over the prior year. The increase was due to an income tax benefit of $28,398 that is primarily associated with a favorable tax valuation allowance adjustment, the gain on sale attributed to the Company's facility and land in Magnolia, Texas, and an increase in gross profit, due in part to the unfavorable impact of $4,192 on gross profit from the Bridge Exit in the prior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Segment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37"/>
        </w:trPr>
        <w:tc>
          <w:tcPr>
            <w:tcW w:w="47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312,160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72,469</w:t>
            </w:r>
          </w:p>
        </w:tc>
        <w:tc>
          <w:tcPr>
            <w:tcW w:w="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65,033</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bps</w:t>
            </w:r>
          </w:p>
        </w:tc>
        <w:tc>
          <w:tcPr>
            <w:tcW w:w="15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21,912</w:t>
            </w:r>
          </w:p>
        </w:tc>
        <w:tc>
          <w:tcPr>
            <w:tcW w:w="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12,306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78.1</w:t>
            </w: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bps</w:t>
            </w: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4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Rail segment sales increased by $14,709, or 4.7%, over the prior year. The increase was due to higher organic sales of $16,823, or 5.4%, partially offset by a $2,114, or 0.7%, decrease from the divestiture of Ties. Rail Products sales increased $1,899 driven by increased volumes partially offset by lower market prices as well as the Ties divestiture. Global Friction Management sales increased by $2,038 due to domestic markets served. Technology Services and Solutions sales increased by $10,772 due to strength in the domestic rail safety markets served, as well as recovery in the UK markets.</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Rail segment gross profit increased by $7,436, or 11.4%, over the prior year and gross margins improved 140 basis points. Higher volumes and improved mix attributed to the $2,653 improved gross profit in Global Friction Management over the prior year. The Technology Services and Solutions business unit gross profit improved by $8,079 over the prior year due to higher volumes and improved mix, including recovery in our UK business. Rail Products gross profit decreased by $3,296, due to market pricing pressure.</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Rail segment operating income increased by $9,606, or 78.1%, over the prior year. The increase was driven by the improvement in gross profit, as well as a decrease in selling and administrative expenses due primarily to the $1,862 of bad debt expense incurred in the year ended December 31, 2023 due to a UK customer filing for administrative protection.</w:t>
      </w:r>
    </w:p>
    <w:p>
      <w:pPr>
        <w:spacing w:after="0" w:line="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new orders within the Rail segment increased by 2.9% over the prior year. Rail Products had an increase in new orders of $17,172, despite a $6,105 decline from the Ties divestiture. Global Friction Management new orders increased by $6,618, while Technology Services and Solutions declined by $15,914 as the Company scales back initiatives in the UK market in line with our strategy. For the year ended December 31, 2024, the Rail segment backlog decreased by 26.0% from the prior year. The decrease is attributed to the Technology Services and Solutions businesses decreasing by $15,320, due to our UK businesses and the Rail Products business which declined $10,257 due to timing of orders. This decrease was partially offset by an increase of $3,848 in Global Friction Management.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4"/>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37"/>
        </w:trPr>
        <w:tc>
          <w:tcPr>
            <w:tcW w:w="47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231,584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45,593</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47,011</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5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8,622</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4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4" w:name="page25"/>
    <w:bookmarkEnd w:id="2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Infrastructure segment sales decreased by $27,688, or 12.0%, from the prior year. The decrease in net sales was attributable to an organic sales decline of 15,983, or 6.9%, driven by the Steel Products business and due to the divestiture of Chemtec and the Bridge Exit, which decreased sales by $9,259 and $2,446, respectively. Precast Concrete Products net sales were primarily flat from the prior year. Net sales for the year ended December 31, 2023 included a $1,977 reduction stemming from changes in expected value of certain commercial projects associated with the Bridge Exit within the Infrastructure segment.</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Infrastructure segment gross profit decreased by $1,418, or 3.0%, from the prior year. The decrease in gross profit was primarily attributable to lower volumes and unfavorable business mix of $4,751. Gross profit for the year ended December 31, 2023 was negatively impacted by $4,192 related to the Bridge Exit, including a $3,051 reduction in profitability related to changes in the expected value of certain commercial projects. The divestiture of Chemtec also decreased gross profit by $859 from the prior year. Gross margins improved 210 basis points over last year, driven by more favorable margins associated with portfolio changes and due to an $815 gain on ancillary property incurred in the year ended December 31, 2024.</w:t>
      </w:r>
    </w:p>
    <w:p>
      <w:pPr>
        <w:spacing w:after="0" w:line="2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Infrastructure segment operating income increased by $753, or 8.7%, over the prior year. The increase in operating income was due to a $1,407 decrease in selling and administrative costs and a $763 decrease in amortization expense offset by lower gross profit.</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 orders within the Infrastructure segment had a decrease of 13.6%, from the prior year. The decrease was driven by the Steel Products business unit due to market challenges as well as a $4,489 impact associated with the divestiture of Chemtec. For the year ended December 31, 2024, the Infrastructure segment backlog decreased by 4.6%, from the prior year driven primarily by Steel Products which decreased $9,465 and includes a reduction of $2,685 related to the Bridge Exit, offsetting an increase of $3,563 in Precast Concrete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5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37"/>
        </w:trPr>
        <w:tc>
          <w:tcPr>
            <w:tcW w:w="5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50.4</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21"/>
                <w:szCs w:val="21"/>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83.6</w:t>
            </w: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not meaningful.</w:t>
      </w:r>
    </w:p>
    <w:p>
      <w:pPr>
        <w:spacing w:after="0" w:line="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Unallocated corporate expenses - net declined by $1,047 due to the gain of $3,477 on the sale of former joint venture facility. Public company costs include listing fees, audit fees, compliance costs, insurance costs, professional services, and Board of Director fees. The increase in public company costs was primarily due to an increase in insurance costs and professional services expenditures. Corporate executive management costs also increased due to legal fees associated with a resolved legal matter and professional services associated with the announced enterprise restructuring program. Corporate management stock-based compensation costs declined due to the net impact of adjustments to expected attainment levels across the Company's equity incentive plans.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has been completed as of December 31, 2024, and is expected to provide run-rate pre-tax savings of approximately $4,500, of which approximately $2,000 was recognized in 2024.</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restructuring costs by segment for the year ended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9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6"/>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9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1"/>
        </w:trPr>
        <w:tc>
          <w:tcPr>
            <w:tcW w:w="9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$1,456 restructuring expense relates primarily to severance. Of the total restructuring costs incurred for the year ended December 31, 2024, $245 was recorded in “Cost of goods sold” and $1,211 was reported in “Selling and administrative expense.” The Company does not anticipate any additional restructuring expense to be incurred associated with this program.</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5" w:name="page26"/>
    <w:bookmarkEnd w:id="2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its revolving credit facility, which provides for a total commitment of up to $130,000, of which $82,124 was available for borrowing as of December 31, 2024, subject to covenant restrictions. The Company’s primary needs for liquidity relate to working capital requirements for operations, capital expenditures, debt service obligations, tax obligations, outstanding purchase obligations, acquisitions, restructuring payments, and to support share repurchase programs. During 2024 and 2023, the Company paid $8,000 annually as a result of the Settlement Agreement (the “Settlement Agreement”) with Union Pacific Railroad Company (“UPRR”). As of December 31, 2024 the UPRR Settlement Agreement has been fully paid. The Company’s total debt, including finance leases, was $46,940 and $55,273 as of December 31, 2024 and December 31, 2023, respectively, and was primarily comprised of borrowings under its revolving credit facility.</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82,124</w:t>
            </w:r>
          </w:p>
        </w:tc>
      </w:tr>
      <w:tr>
        <w:trPr>
          <w:trHeight w:val="27"/>
        </w:trPr>
        <w:tc>
          <w:tcPr>
            <w:tcW w:w="8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46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covenants of the Credit Agreement and has $84,578 available funding capacity, subject to covenant restrictions.</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as well as its overall profitability. While the Company places an emphasis on working capital management in its operations, factors such as business mix, commercial terms, and market conditions as well as seasonality may impact working capital. The Company regularly assesses its receivables and contract assets for collectability and realization, and provides allowances for credit losses where appropriate. The Company believes that its reserves for credit losses are appropriate as of December 31, 2024,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spacing w:after="0" w:line="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completed the termination of the US DB Plan by distributing all the assets of its US DB Plan and by making additional cash contributions of $1,806 to effectuate the termination of this plan. The settlement of these obligations resulted in the recognition of a charge of $1,722 which has been presented as a component of “Other expense - net” for the year ended December 31, 2024.</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UK DB Plan is fully funded as of December 31, 2024. In January 2025, the Company entered into an insurance buy-in contract with a third party insurer which resulted in an exchange of plan assets for an annuity that covers our future projected benefit obligations. The Company expects the buy out of the plan and transfer of future benefit obligations of plan participants to be completed in early 2026. The Company does not expect to make any further contributions to the UK DB Plan.</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cash and cash equivalents for the years ended December 31, 2024 and 2023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Operating Activities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operating activities was $22,632, compared to $36,956 during the prior year. During 2024, cash flow provided by operating activities consisted of net income and non-cash items amounting to $27,195 and changes in certain assets and liabilities netting to a cash outflow of $4,563. In 2023, cash flow provided by operating activities consisted of net income and non-cash items amounting to $21,453 and changes in certain assets and liabilities netting to a</w:t>
      </w:r>
    </w:p>
    <w:p>
      <w:pPr>
        <w:sectPr>
          <w:pgSz w:w="11900" w:h="16838" w:orient="portrait"/>
          <w:cols w:equalWidth="0" w:num="1">
            <w:col w:w="11240"/>
          </w:cols>
          <w:pgMar w:left="320" w:top="178" w:right="339" w:bottom="1440" w:gutter="0" w:footer="0" w:header="0"/>
        </w:sectPr>
      </w:pP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6" w:name="page27"/>
    <w:bookmarkEnd w:id="2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1180"/>
        <w:spacing w:after="0" w:line="344" w:lineRule="auto"/>
        <w:rPr>
          <w:sz w:val="20"/>
          <w:szCs w:val="20"/>
          <w:color w:val="auto"/>
        </w:rPr>
      </w:pPr>
      <w:r>
        <w:rPr>
          <w:rFonts w:ascii="Times New Roman" w:cs="Times New Roman" w:eastAsia="Times New Roman" w:hAnsi="Times New Roman"/>
          <w:sz w:val="18"/>
          <w:szCs w:val="18"/>
          <w:color w:val="auto"/>
        </w:rPr>
        <w:t xml:space="preserve">cash inflow of $15,503. Both periods include payments of $8,000 for the UPRR Settlement, which was fully paid as of December 31, 2024. </w:t>
      </w:r>
      <w:r>
        <w:rPr>
          <w:rFonts w:ascii="Times New Roman" w:cs="Times New Roman" w:eastAsia="Times New Roman" w:hAnsi="Times New Roman"/>
          <w:sz w:val="18"/>
          <w:szCs w:val="18"/>
          <w:b w:val="1"/>
          <w:bCs w:val="1"/>
          <w:u w:val="single" w:color="auto"/>
          <w:color w:val="auto"/>
        </w:rPr>
        <w:t>Cash Flows from Investing Activities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had capital expenditures of $9,791, a $5,278 increase from 2023. Capital expenditures in both periods primarily relate to general plant and operational improvements throughout the Company, as well as organic growth initiatives. In 2024, the Company sold the facility and land of its former joint venture in Magnolia, Texas and fixed assets associated with the Bridge Exit generating cash inflow of $3,895. In 2023, the Company received cash proceeds of $7,706 primarily from the sale of its Ties and Chemtec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Financing Activities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decreased its outstanding debt by $7,994 during the year ended December 31, 2024, primarily due to the proceeds from asset sales and operating cash flows. During the year ended December 31, 2023, the Company decreased outstanding debt by $37,260, primarily due to the proceeds from divestitures and improved operating cash flows.</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the Company’s Board of Directors authorized the repurchase of up to $15,000 of the Company’s common stock in open market transactions. For the year ended December 31, 2024 and 2023, the Company repurchased 300,302 shares of its stock for $6,808 and 134,208 shares for $2,310, respectively, under this program. For the year ended December 31, 2024 and 2023, the Company also purchased 59,577 and 24,886 of its stock, respectively, for $1,429 and $315 from employees to pay for withholding taxes in connection with the vesting of stock awards.</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5, 2024, the Board of Directors approved the modification of the Company’s stock repurchase program. The modifications include revising the repurchase program expiration date from February 2026 to February 2025. Additionally, the Board of Directors removed the restriction which previously limited repurchases to $5,000 in any trailing 12-month period. The authorized repurchase amount was unchanged at $15,000. As of December 31, 2024, the Company has repurchased stock of $9,118, with $5,882 of the original $15,000 authorized remaining. Any repurchases will continue to be subject to the Company’s liquidity, including availability of borrowings and covenant compliance under its revolving credit facility, and other capital needs of the business.</w:t>
      </w:r>
    </w:p>
    <w:p>
      <w:pPr>
        <w:spacing w:after="0" w:line="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 2025, the Company's Board of Directors authorized the repurchase of up to $40,000 of the Company's common stock in open market transactions and/or 10b5-1 trading plans through February 29, 2028. Refer to “Part II, Item 8, Financial Statements and Supplementary Data, Note 20 to the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generated $22,632 in cash flows from operations during 2024, which was utilized to pay down debt, fund capital expenditures, and repurchase shares. As of December 31, 2024, the Company had $2,454 in cash and cash equivalents and $82,124 of availability under its revolving credit facility, subject to covenant restrictions.</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Principal uses of cash in recent years have been to fund operations, including capital expenditures, acquisitions, repurchase shares, and service indebtedness. The Company views its short and long-term liquidity as being dependent on its results of operations, changes in working capital, and borrowing capacity.</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Non-domestic cash balances of $1,882 are held in various locations throughout the world. Should management determine that the cash balances of its foreign subsidiaries exceed its projected working capital needs, excess funds may be repatriated and subject to additional income taxes.</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 For a discussion of the terms and availability of the credit agreement, please refer to Note 9 of the Notes to Consolidated Financial Statements contained in this Annual Report on Form 10-K.</w:t>
      </w:r>
    </w:p>
    <w:p>
      <w:pPr>
        <w:spacing w:after="0" w:line="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and expiring March 1, 2025 and August 13, 2026, respectively, at which point they effectively converted a portion of the debt from variable to fixed-rate borrowings during the term of the swap contract. As of December 31, 2024 and December 31, 2023 the swap asset was $430 and $1,225, respectively.</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that the combination of its cash and cash equivalents, cash generated from operations, and the capacity under its revolving credit facility will provide sufficient liquidity to provide the flexibility to operate the business in a prudent manner, continue to service outstanding debt, repurchase shares and to selectively pursue accretive acquisitions to further the Company’s strategic initiatives.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185,909</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 Backlog decreased $27,871 from the prior year stemming from the Rail Products business due to lower volumes, the UK Technology Services and Solutions businesses as the Company scales back initiatives in the UK market in line with our strategy, and the Steel Products business, including a $2,685 decline from a discontinued product 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GAAP. The preparation of the Consolidated Financial Statements requires management to make estimates and judgments that affect the reported amount of assets, liabilities, revenues, and expenses, and the related disclosure of contingent assets and liabilities. The following critical accounting estimates, which are reviewed by the Company’s Audit Committee of the Board of Directors, are those management believes are the most critical to understand and evaluate our financial condition and results and require subjective or complex judgements. Actual results could differ from those estimates.</w:t>
      </w:r>
    </w:p>
    <w:p>
      <w:pPr>
        <w:spacing w:after="0" w:line="21" w:lineRule="exact"/>
        <w:rPr>
          <w:sz w:val="20"/>
          <w:szCs w:val="20"/>
          <w:color w:val="auto"/>
        </w:rPr>
      </w:pPr>
    </w:p>
    <w:p>
      <w:pPr>
        <w:jc w:val="both"/>
        <w:ind w:firstLine="486"/>
        <w:spacing w:after="0" w:line="279" w:lineRule="auto"/>
        <w:rPr>
          <w:sz w:val="20"/>
          <w:szCs w:val="20"/>
          <w:color w:val="auto"/>
        </w:rPr>
      </w:pPr>
      <w:r>
        <w:rPr>
          <w:rFonts w:ascii="Times New Roman" w:cs="Times New Roman" w:eastAsia="Times New Roman" w:hAnsi="Times New Roman"/>
          <w:sz w:val="18"/>
          <w:szCs w:val="18"/>
          <w:color w:val="auto"/>
        </w:rPr>
        <w:t>For a summary of the Company’s significant accounting policies, see Part II, Item 8, Financial Statements and Supplementary Data, Note 1 to the Consolidated Financial Statements, which is incorporated by reference into this Item 7.</w:t>
      </w:r>
    </w:p>
    <w:p>
      <w:pPr>
        <w:spacing w:after="0" w:line="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The recognition of deferred tax assets requires management to make judgments regarding the future realization of these assets.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prescribed by the Financial Accounting Standards Board’s (“FASB”) Accounting Standards Codification (“ASC”) 740, “Income Taxes,” valuation allowances must be provided for those deferred tax assets for which it is more likely than not (a likelihood of more than 50%) that some portion or all of the deferred tax assets will not be realized. This guidance requires management to evaluate positive and negative evidence regarding the recoverability of deferred tax assets. The determination of whether the positive evidence outweighs the negative evidence and quantification of the valuation allowance requires management to make estimates and judgments of future financial results.</w:t>
      </w:r>
    </w:p>
    <w:p>
      <w:pPr>
        <w:spacing w:after="0" w:line="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other assumptions. Actual results could differ from those estimates upon subsequent resolution of identified matters.</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income tax rate is significantly affected by the tax rate on global operations. In addition to local country tax laws and regulations, this rate depends on the extent earnings are indefinitely reinvested outside of the US. Indefinite reinvestment is determined by management’s judgment about and intentions concerning the future operations of the Company. There have been no material changes in the underlying assumptions and estimates used in these calculations in the relevant period.</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Refer to Part II, Item 8, Financial Statements and Supplementary Data, Note 13 which is incorporated by reference into this Item 7, for additional information regarding the Company’s deferred tax assets. The Company’s ability to realize these tax benefits may affect the Company’s reported income tax expense and net income.</w:t>
      </w:r>
    </w:p>
    <w:p>
      <w:pPr>
        <w:spacing w:after="0" w:line="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Refer to Part II, Item 8, Financial Statements and Supplementary Data, Note 1 and Note 3 which is incorporated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into this Item 7, for a complete discussion of our revenue recognition policies. The Company derives revenue from products and services provided under long-term agreements with its customers. The Company’s performance obligations under long-term agreements with its customers are generally satisfied over time.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Accounting for these long-term agreements involves the use of various techniques to estimate total revenues and costs. The Company estimates profit on these long-term agreements as the difference between total estimated revenues and expected costs to complete a</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project execution. The nature of these long-term agreements may give rise to several types of variable consideration, such as discounts and claims.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anticipated revenue from existing contracts.</w:t>
      </w:r>
    </w:p>
    <w:p>
      <w:pPr>
        <w:spacing w:after="0" w:line="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 </w:t>
      </w:r>
      <w:r>
        <w:rPr>
          <w:rFonts w:ascii="Times New Roman" w:cs="Times New Roman" w:eastAsia="Times New Roman" w:hAnsi="Times New Roman"/>
          <w:sz w:val="18"/>
          <w:szCs w:val="18"/>
          <w:color w:val="auto"/>
        </w:rPr>
        <w:t>We evaluate goodwill for impairment annually during the fourth quarter, or whenever events or changes in circumstances indicate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more likely than not that the fair value of a reporting unit is less than its carrying amount.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an impairment to goodwill of the reporting unit. The Company uses a combination of a discounted cash flow method and a market approach to determine the fair values of the reporting units.</w:t>
      </w:r>
    </w:p>
    <w:p>
      <w:pPr>
        <w:spacing w:after="0" w:line="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number of significant assumptions and estimates are involved in the estimation of the fair value of reporting units, including the identification of macroeconomic conditions, industry and market considerations, cost factors, overall financial performance, which may drive changes to revenue growth, EBITDA contribution, and market participant assumptions. The estimated fair value of a reporting unit is sensitive to changes in assumptions, including forecasted future operating cash flows, weighted-average cost of capital, terminal growth rates, and industry multiples.</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considers historical experience and available information at the time the fair values of its reporting units are estimated. The Company believes the estimates and assumptions used in estimating the fair value of its reporting units are reasonable and appropriate; however, different assumptions and estimates could materially impact the estimated fair value of its reporting units and the resulting determinations about goodwill impairment. This could materially impact the Company’s Consolidated Statements of Operations and Consolidated Balance Sheets. There have been no material changes in the underlying assumptions and estimates used in these calculations in the relevant period. Future estimates may differ materially from current estimates and assumptions.</w:t>
      </w:r>
    </w:p>
    <w:p>
      <w:pPr>
        <w:spacing w:after="0" w:line="25" w:lineRule="exact"/>
        <w:rPr>
          <w:sz w:val="20"/>
          <w:szCs w:val="20"/>
          <w:color w:val="auto"/>
        </w:rPr>
      </w:pPr>
    </w:p>
    <w:p>
      <w:pPr>
        <w:jc w:val="both"/>
        <w:ind w:firstLine="486"/>
        <w:spacing w:after="0" w:line="279" w:lineRule="auto"/>
        <w:rPr>
          <w:sz w:val="20"/>
          <w:szCs w:val="20"/>
          <w:color w:val="auto"/>
        </w:rPr>
      </w:pPr>
      <w:r>
        <w:rPr>
          <w:rFonts w:ascii="Times New Roman" w:cs="Times New Roman" w:eastAsia="Times New Roman" w:hAnsi="Times New Roman"/>
          <w:sz w:val="18"/>
          <w:szCs w:val="18"/>
          <w:color w:val="auto"/>
        </w:rPr>
        <w:t>Additional information concerning the impairments is set forth in Part II, Item 8, Financial Statements and Supplementary Data, Note 4 to the Consolidated Financial Statements included herein, which is incorporated by reference into this Item 7.</w:t>
      </w:r>
    </w:p>
    <w:p>
      <w:pPr>
        <w:spacing w:after="0" w:line="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Intangible Assets and Long-Lived Assets - </w:t>
      </w:r>
      <w:r>
        <w:rPr>
          <w:rFonts w:ascii="Times New Roman" w:cs="Times New Roman" w:eastAsia="Times New Roman" w:hAnsi="Times New Roman"/>
          <w:sz w:val="18"/>
          <w:szCs w:val="18"/>
          <w:color w:val="auto"/>
        </w:rPr>
        <w:t>The Company tests intangible assets and long-lived assets for impairment whenever events or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circumstances indicate that the carrying value of an asset or asset group may not be recoverable. Recoverability of assets is determined by comparing the estimated undiscounted future cash flows of the asset or asset group to their carrying amount. If the carrying value of the assets exceeds their estimated undiscounted future cash flows, an impairment loss would be determined as the difference between the fair value of the assets and its carrying value. Typically, the fair value of the assets would be determined using a discounted cash flow model which would be sensitive to judgments of what constitutes an asset group and certain assumptions such as estimated future financial performance, discount rates, and other assumptions that marketplace participants would use in their estimates of fair value. There have been no material changes in the underlying assumptions and estimates used in these calculations in the relevant period. The accounting estimate related to asset impairments is highly susceptible to change from period to period because it requires management to make assumptions about the existence of impairment indicators and cash flows over future years. These assumptions impact the amount of an impairment, which could materially adversely impact the Consolidated Statements of Operations.</w:t>
      </w:r>
    </w:p>
    <w:p>
      <w:pPr>
        <w:spacing w:after="0" w:line="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impairments is set forth in Part II, Item 8, Financial Statements and Supplementary Data, Note 4 to the Consolidated Financial Statements included herein, which is incorporated by reference into this Item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Annual Report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References in this Management’s Discussion and Analysis of Financial Condition and Results of Operations to “organic sales” refer to sales calculated in accordance with GAAP, adjusted to exclude divestiture or acquisition-related sales. Management evaluates the Company’s sales performance based on organic sales growth (decline). Organic sales growth (decline) is a non-GAAP financial measure of sales (which is the most directly comparable GAAP measure), adjusted to exclude the effects of acquisitions and divestitures from year-over-year comparisons. The Company believes this measure provides investors with a supplemental understanding of underlying sales trends by providing sales growth on a consistent basis. The Company reports organic sales growth (decline) at the consolidated and segment levels.</w:t>
      </w:r>
    </w:p>
    <w:p>
      <w:pPr>
        <w:spacing w:after="0" w:line="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EBITDA is a non-GAAP financial measure that has been used in discussing the financial performance of the business for the years ended December 31, 2024 and 2023. EBITDA is a financial metric utilized by management to evaluate the Company’s performance on a comparable basis. The Company believes that EBITDA is useful to investors as a supplemental way to evaluate the ongoing operations of the Company’s business as many investors utilize EBITDA to enhance their ability to compare historical periods as it adjusts for the impact of financing methods, tax law and strategy changes, and depreciation and amortization. In addition, EBITDA is a financial measurement that management and the Company’s Board of Directors use in their financial and operational decision-making and in the determination of certain compensation programs. Adjusted EBITDA includes certain adjustments to EBITDA. In 2024, the Company made adjustments to exclude gains on asset sales, pension termination costs, restructuring costs, and costs associated with a resolved legal matter. In 2023, the Company made adjustments to exclude the loss on divestitures, expenses from the exit of the bridge grid deck product line, bad debt provision for customer bankruptcy, restructuring costs, and contingent consideration adjustments associated with the VanHooseCo acquisition.</w:t>
      </w:r>
    </w:p>
    <w:p>
      <w:pPr>
        <w:spacing w:after="0" w:line="3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views net debt, which is total debt less cash and cash equivalents, as an important metric of the operational and financial health of the organization and useful to investors as an indicator of our ability to incur additional debt and to service our existing debt. The Company views funding capacity, which is the net availability under the revolving credit agreement plus cash and cash equivalents, as an important metric as it demonstrates the borrowing capacity of the Company.</w:t>
      </w:r>
    </w:p>
    <w:p>
      <w:pPr>
        <w:spacing w:after="0" w:line="18"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 Quantitative reconciliations of EBITDA, adjusted EBITDA, organic sales growth, funding capacity, and net debt to the non-GAAP financial measures are presented in this Item 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0" w:name="page31"/>
    <w:bookmarkEnd w:id="3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36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L.B. Foster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L.B. Foster Company and subsidiaries (the Company) as of December 31, 2024 and 2023, the related consolidated statements of operations, comprehensive income, stockholders’ equity and cash flows for each of the two years in the period ended December 31, 2024, and the related notes and financial statement schedule listed in the Index at Item 15 (a)(2)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14" w:lineRule="exact"/>
        <w:rPr>
          <w:sz w:val="20"/>
          <w:szCs w:val="20"/>
          <w:color w:val="auto"/>
        </w:rPr>
      </w:pPr>
    </w:p>
    <w:p>
      <w:pPr>
        <w:jc w:val="both"/>
        <w:ind w:firstLine="486"/>
        <w:spacing w:after="0" w:line="23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7, 2025 expressed an adverse opinion thereon.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97" w:lineRule="exact"/>
        <w:rPr>
          <w:sz w:val="20"/>
          <w:szCs w:val="20"/>
          <w:color w:val="auto"/>
        </w:rPr>
      </w:pPr>
    </w:p>
    <w:p>
      <w:pPr>
        <w:jc w:val="both"/>
        <w:ind w:firstLine="486"/>
        <w:spacing w:after="0" w:line="23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97" w:lineRule="exact"/>
        <w:rPr>
          <w:sz w:val="20"/>
          <w:szCs w:val="20"/>
          <w:color w:val="auto"/>
        </w:rPr>
      </w:pPr>
    </w:p>
    <w:p>
      <w:pPr>
        <w:jc w:val="both"/>
        <w:ind w:firstLine="567"/>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78" w:right="339" w:bottom="1440" w:gutter="0" w:footer="0" w:header="0"/>
        </w:sectPr>
      </w:pPr>
    </w:p>
    <w:bookmarkStart w:id="31" w:name="page32"/>
    <w:bookmarkEnd w:id="31"/>
    <w:p>
      <w:pPr>
        <w:spacing w:after="0" w:line="272"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contract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explained in Notes 1 and 3 to the consolidated financial statements, revenue is recognized when the Company satisfies its performance obligations under a contract. The Company’s performance obligations under long-term agreements with its customers are generally satisfied over time. Revenue under these long-term agreements is generally recognized over time using an input measure based upon the proportion of actual costs incurred to estimated total project costs, which the Company believes best depicts the Company’s performance to date under the terms of the contract. For the year ended December 31, 2024, the Company recorded $52.7 million of over time input method revenue within net sales on its consolidated statement of operations. Accounting for these long-term agreements involves the use of various techniques to estimate total revenues and costs. Contract estimates are based on various assumptions to project the outcome of future events that may span several years. These assumptions include, among other things, sub-contractor costs, material costs, and total collections from the customer. Significant changes in the above estimates could impact the timing and amount of revenue and profitability of the Company’s long-term contracts.</w:t>
      </w: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Auditing these estimates requires auditor judgment because of the significant management judgment necessary to develop the estimated assumptions at completion due to the size and identified risks for each contract.</w:t>
      </w:r>
    </w:p>
    <w:p>
      <w:pPr>
        <w:spacing w:after="0" w:line="200" w:lineRule="exact"/>
        <w:rPr>
          <w:sz w:val="20"/>
          <w:szCs w:val="20"/>
          <w:color w:val="auto"/>
        </w:rPr>
      </w:pPr>
    </w:p>
    <w:p>
      <w:pPr>
        <w:sectPr>
          <w:pgSz w:w="11900" w:h="16838" w:orient="portrait"/>
          <w:cols w:equalWidth="0" w:num="2">
            <w:col w:w="1320" w:space="200"/>
            <w:col w:w="9700"/>
          </w:cols>
          <w:pgMar w:left="320"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How We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w:t>
      </w:r>
    </w:p>
    <w:p>
      <w:pPr>
        <w:spacing w:after="0" w:line="2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Addressed the</w:t>
      </w:r>
      <w:r>
        <w:rPr>
          <w:sz w:val="20"/>
          <w:szCs w:val="20"/>
          <w:color w:val="auto"/>
        </w:rPr>
        <w:tab/>
      </w:r>
      <w:r>
        <w:rPr>
          <w:rFonts w:ascii="Times New Roman" w:cs="Times New Roman" w:eastAsia="Times New Roman" w:hAnsi="Times New Roman"/>
          <w:sz w:val="18"/>
          <w:szCs w:val="18"/>
          <w:color w:val="auto"/>
        </w:rPr>
        <w:t>Company’s process relating to the determination of estimates for long-term projects. For example, we evaluated the design and tested</w:t>
      </w:r>
    </w:p>
    <w:p>
      <w:pPr>
        <w:spacing w:after="0" w:line="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 in Our</w:t>
      </w:r>
      <w:r>
        <w:rPr>
          <w:sz w:val="20"/>
          <w:szCs w:val="20"/>
          <w:color w:val="auto"/>
        </w:rPr>
        <w:tab/>
      </w:r>
      <w:r>
        <w:rPr>
          <w:rFonts w:ascii="Times New Roman" w:cs="Times New Roman" w:eastAsia="Times New Roman" w:hAnsi="Times New Roman"/>
          <w:sz w:val="18"/>
          <w:szCs w:val="18"/>
          <w:color w:val="auto"/>
        </w:rPr>
        <w:t>the operating effectiveness of controls over management’s review of the current status of long-term projects, accumulation of costs</w:t>
      </w:r>
    </w:p>
    <w:p>
      <w:pPr>
        <w:spacing w:after="0" w:line="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incurred, costs remaining to complete and total contract value.</w:t>
      </w:r>
    </w:p>
    <w:p>
      <w:pPr>
        <w:spacing w:after="0" w:line="2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To test the total estimates for long-term contracts, our audit procedures included, among others, obtaining an understanding of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contract, evaluating the consistency of estimated costs with the initial budget, and understanding margin changes throughout the life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of the contract. We also performed a retrospective review of management’s estimates for a sample of completed contracts by</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comparing initial estimates with the actual historical data to assess management’s ability to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32" w:name="page33"/>
    <w:bookmarkEnd w:id="3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 (Note 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 net (Note 6)</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161,605</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167,355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 net (Note 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 net (Note 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(Note 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(Note 13)</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(Note 3)</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accrued settlement (Note 17)</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 (Note 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(Note 9)</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 (Note 13)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 (Note 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par value $0.01, authorized 20,000,000 shares; shares issued at December 31, 2024 and</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 11,115,779; shares outstanding at December 31, 2024 and December 31, 2023,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10,573,432 and 10,733,935, respectively (Note 10)</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r>
      <w:tr>
        <w:trPr>
          <w:trHeight w:val="27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 at cost, common stock, shares at December 31, 2024 and December 31, 2023, 542,347 and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381,844, respectively (Note 10)</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(Note 11)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3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178,316</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33" w:name="page34"/>
    <w:bookmarkEnd w:id="3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475,350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68,394</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(Note 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368,197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63,503</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412,703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431,700</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112,044</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 (Note 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 net (Note 18)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(Note 13)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(Note 12)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(Note 12)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w:t>
            </w:r>
          </w:p>
        </w:tc>
      </w:tr>
    </w:tbl>
    <w:p>
      <w:pPr>
        <w:spacing w:after="0" w:line="200" w:lineRule="exact"/>
        <w:rPr>
          <w:sz w:val="20"/>
          <w:szCs w:val="20"/>
          <w:color w:val="auto"/>
        </w:rPr>
      </w:pPr>
    </w:p>
    <w:p>
      <w:pPr>
        <w:spacing w:after="0" w:line="2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42,843</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cash flow hedges, net of tax benefit of $203 and $0, respectively</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 benefit, net of tax benefit $0</w:t>
            </w:r>
          </w:p>
        </w:tc>
        <w:tc>
          <w:tcPr>
            <w:tcW w:w="8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$424 and $0, respectively*</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40,377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L.B. Foster Company</w:t>
            </w: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40,403</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7"/>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94"/>
        <w:spacing w:after="0" w:line="284" w:lineRule="auto"/>
        <w:tabs>
          <w:tab w:leader="none" w:pos="6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reflected in Selling and administrative expense and pension settlement costs are reflected in Other expense - net .</w:t>
      </w:r>
    </w:p>
    <w:p>
      <w:pPr>
        <w:spacing w:after="0" w:line="29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loss (income) in nonconsolidated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asset divestitures</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settlement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asset divestitures</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(208,668)</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 received from noncontrolling interest</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(39,296)</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taxes paid (received)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36" w:name="page37"/>
    <w:bookmarkEnd w:id="36"/>
    <w:p>
      <w:pPr>
        <w:ind w:left="44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5"/>
                <w:szCs w:val="15"/>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2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0" w:type="dxa"/>
            <w:vAlign w:val="bottom"/>
          </w:tcPr>
          <w:p>
            <w:pPr>
              <w:spacing w:after="0"/>
              <w:rPr>
                <w:sz w:val="1"/>
                <w:szCs w:val="1"/>
                <w:color w:val="auto"/>
              </w:rPr>
            </w:pPr>
          </w:p>
        </w:tc>
      </w:tr>
      <w:tr>
        <w:trPr>
          <w:trHeight w:val="2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5"/>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derivative loss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cash flow hedges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134,208 common</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 treasury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7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91,316 common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 of shares withheld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of noncontrolling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5"/>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derivative loss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cash flow hedges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300,302 common</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 treasury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139,799 common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 of shares withheld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of noncontrolling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78" w:right="379" w:bottom="1440" w:gutter="0" w:footer="0" w:header="0"/>
        </w:sectPr>
      </w:pPr>
    </w:p>
    <w:bookmarkStart w:id="37" w:name="page38"/>
    <w:bookmarkEnd w:id="3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 unless otherwise noted)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operations, and basis of consolidation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L.B. Foster Company and its wholly-owned subsidiaries, joint ventures, and partnerships in which a controlling interest is held. Inter-company transactions and accounts have been eliminated. The Company utilizes the equity method of accounting for companies where its ownership is less than or equal to 50% and significant influence exists.</w:t>
      </w:r>
    </w:p>
    <w:p>
      <w:pPr>
        <w:spacing w:after="0" w:line="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L.B. Foster Company (together with its subsidiaries, 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operated in two reporting segments: Rail, Technologies, and Services (“Rail”) and Infrastructure Solutions (“Infrastructure”). The Rail segment is comprised of several manufacturing and distribution businesses that provide a variety of products and services for freight and passenger railroads and industrial companies throughout the world. The Infrastructure segment is composed of nine operating facilities across the US providing engineered precast concrete solutions, as well as fabricated bridge, protective pipe coating, and pipe threading offerings across North America.</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located in Caldwell, Idaho, which is a licensed manufacturer of Redi-Rock and natural concrete products for $1,644. Cougar has been included in the Precast Concrete Products business unit within the Infrastructure segment.</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and expects to complete any remaining customer obligations in 2025. The grid deck product line is reported in the Bridge Products division within the Infrastructure segment.</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The Ties business was reported in the Rail Products business unit within the Rail segment.</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Precision Measurement Products and Systems business, Chemtec Energy Services LLC (“Chemtec”), for $5,344 in proceeds. The Chemtec business was reported in the Coatings and Measurement division within the Infrastructure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judgements, and assumptions that affect the amounts reported in the financial statements and accompanying notes. Actual results could differ from those estimates and changes in these estimates are recorded when known.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cash and other instruments with maturities of three months or less when purchased to be cash and cash equivalents. The Company invests available funds in a manner to preserve investment principal and maintain liquidity. Cash and cash equivalents held in non-domestic accounts were $1,882 and $2,193 as of December 31, 2024 and 2023, respectively.</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Trade receivables are carried at their estimated collectible amounts. Trade credit is generally extended on a short-term basis; thus trade receivables do not bear interest. Credit is extended based upon an evaluation of the customer’s financial condition and, while collateral is not required, the Company periodically receives surety bonds that guarantee payment. Credit terms are consistent with industry standards and practices.</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average cost or net realizable value. Slow-moving inventory is reviewed and adjusted regularly, based upon product knowledge, physical inventory observation, inventory turnover, and the age of the inventory. Inventory costs include materials, direct labor, manufacturing overhead, and other direct costs.</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Property, plant, and equipment</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are provided on a straight-line basis over the estimated useful lives of 10 to 40 years for buildings and 2 to 50 years for machinery and equipment. Leasehold improvements are amortized over 3 to 19 years, which represent the lives of the respective leases or the lives of the improvements, whichever is shorter. Depreciation expense is recorded within “Cost of goods sold,” “Cost of services sold,” and “Selling and administrative expenses” on the Consolidated Statements of Operations</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particular asset’s use. The Company reviews a long-lived asset for impairment whenever events or changes in circumstances indicate that the carrying amount of the asset may not be recoverable. The Company recognizes an impairment loss if the carrying amount of a long-lived asset is not recoverable and exceeds its fair value. There were no material property, plant, and equipment impairments recorded for the years ended December 31, 2024 and 2023.</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Maintenance, repairs, and minor renewals are charged to operations as incurred. Major renewals and betterments that substantially extend the useful life of the property are capitalized at cost. Upon the sale or other disposition of assets, the costs and related accumulated depreciation and amortization are removed from the accounts and the resulting gain or loss, if any, is reflected in “Cost of goods sold,” “Cost of services sold,” and “Selling and administrative expenses” on the Consolidated Statements of Operations based upon the particular asset’s use.</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we believe mitigates credit risks. The Company’s reserves are regularly reviewed and revised as necessary. Reserves for uncollectible accounts are recorded as part of “Selling and administrative expenses” in the Consolidated Statements of Operations.</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also established policies regarding allowance for credit losses associated with contract assets, which includes standalone reserve assessments for its long-term, complex contracts as needed as well as detailed regular review and updates to contract margins, progress, and value. A standard reserve threshold is applied to contract assets related to short-term, less complex contracts. Management also regularly reviews collection patterns and future expected collections and makes necessary revisions to allowance for credit losses related to contract assets.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p>
    <w:p>
      <w:pPr>
        <w:spacing w:after="0" w:line="6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Goodwill is the cost of an acquisition less the fair value of the identifiable net assets of the acquired business. Goodwill is tested annually for impairment or more often if there are indicators of impairment within a reporting unit. A reporting unit is an operating segment or a component of an operating segment for which discrete financial information is available and reviewed by management on a regular basis. The goodwill impairment test involves comparing the fair value of a reporting unit to its carrying value, including goodwill.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 component of operations. The Company's quantitative analysis considers and evaluates each of the three traditional approaches to value: the income approach, the market approach, and the asset approach. The Company uses a combination of a discounted cash flow method and a market approach to determine the fair values of the reporting units. The Company performs its annual impairment tests in the fourth quarter.</w:t>
      </w:r>
    </w:p>
    <w:p>
      <w:pPr>
        <w:spacing w:after="0" w:line="3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fourth quarter 2024 annual test included the assessment of a qualitative analysis to determine whether it was more likely than not that the fair value of each reporting unit is less than its carrying value and was not required to perform a quantitative assessment. The qualitative assessment considers fair value as the price that would be received to sell an asset or paid to transfer a liability in an orderly transaction between market participants at the measurement date. The qualitative assessment considered and evaluated a variety of events or factors that could influence the fair value of the reporting unit, including, but not limited to, actual and projected reporting unit profitability, changes in key personnel, legal and regulatory conditions, industry outlook, macroeconomic conditions, and the reporting units’ competitive position. No impairment was recorded during 2024. The Company also monitors the recoverability of the long-lived assets associated with the asset groups of the Company and the long-term financial projections of the businesses to assess for asset impairment.</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no indefinite-lived intangible assets. The Company reviews a long-lived intangible asset for impairment whenever events or changes in circumstances indicate that the carrying amount of the asset may not be recoverable. All intangible assets are amortized over their estimated useful lives.</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remediation and compliance</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Environmental remediation costs are accrued when a liability is probable and costs are estimable. Environmental compliance costs, which principally include the disposal of waste generated by routine operations, are expensed as incurred. Reserves are not reduced by potential claims for recovery and are not discounted. Claims for recovery are recognized as agreements are reached with third parties or as amounts are received. Reserves are periodically reviewed throughout the year and adjusted to reflect current remediation progress, prospective estimates of required activity, and other factors that may be relevant, including changes in technology or regulations.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revenues are comprised of product and service sales, including products and services provided under long-term agreements with its customers. All revenue is recognized when the Company satisfies its performance obligations under the respective</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9" w:name="page40"/>
    <w:bookmarkEnd w:id="3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either implicit or explicit, by transferring the promised product or rendering a service to its customer either when or as its customer obtains control of the product or the service is rendered. Deferred revenue consists of customer billings or payments received for which the revenue recognition criteria have not yet been met as well as contract liabilities (billings in excess of costs) on over time contracts. Advance payments from customers typically relate to contracts for which the Company has significantly fulfilled its obligations, but due to the Company’s continuing involvement with the project, revenue is precluded from being recognized until the performance obligation is met for the customer.</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current warranty liability for the repair or replacement of defective products. For certain manufactured products, an accrual is made on a monthly basis as a percentage of cost of sales based upon historical experience. For long-lived construction products, a warranty is established when the claim is known and quantifiable. The product warranty accrual is periodically adjusted based on the identification or resolution of known individual product warranty claims or due to changes in the Company’s historical warranty experience. As of December 31, 2024 and 2023, the product warranty reserve was $602 and $688, respectively.</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assets and liabilities and their respective tax bases. Deferred taxes are measured using enacted tax laws and rates expected to be in effect when such differences are recovered or settled. The effect of a change in tax rates on deferred taxes is recognized in income in the period that includes the enactment date of the change. The Company has also elected to record income taxes associated with global intangible low-taxed income (“GILTI”) as period costs if and when incurred.</w:t>
      </w:r>
    </w:p>
    <w:p>
      <w:pPr>
        <w:spacing w:after="0" w:line="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makes judgments regarding the recognition of deferred tax assets and the future realization of these assets. As prescribed by the FASB’s ASC 740, “Income Taxes” and applicable guidance, valuation allowances must be provided for those deferred tax assets for which it is more likely than not (a likelihood of more than 50%) that some portion or all of the deferred tax assets will not be realized. The guidance requires the Company to evaluate positive and negative evidence regarding the recoverability of deferred tax assets. The determination of whether the positive evidence outweighs the negative evidence and quantification of the valuation allowance requires the Company to make estimates and judgments of future financial results. The Company has concluded that for purposes of quantifying valuation allowances, it would be appropriate to consider the reversal of taxable temporary differences related to indefinite-lived intangible assets when assessing the realizability of deferred tax assets that upon reversal, would give rise to operating losses that do not expire.</w:t>
      </w:r>
    </w:p>
    <w:p>
      <w:pPr>
        <w:spacing w:after="0" w:line="3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 The Company accrues interest and penalties related to unrecognized tax benefits in its provision for income taxes.</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translation</w:t>
      </w:r>
    </w:p>
    <w:p>
      <w:pPr>
        <w:spacing w:after="0" w:line="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assets and liabilities of the Company’s foreign subsidiaries are measured using the local currency as the functional currency and are translated into US dollars at exchange rates as of the balance sheet date. Income statement amounts are translated at the weighted-average rates of exchange during the year. The translation adjustment is accumulated as a separate component of “Accumulated other comprehensive loss” within the Consolidated Balance Sheets. Foreign currency transaction gains and losses are included in “Other income or expense.” For the years ended December 31, 2024 and 2023, foreign currency transaction gain of $154 and foreign currency transaction loss of $77, respectively, were included in “Other expense - net” in the Consolidated Statements of Operations.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research and development costs as costs are incurred. For the years ended December 31, 2024 and 2023, research and development expenses were $2,831 and $2,555, respectively, and were principally related to the Company’s friction management and railroad monitoring system products within the Rail segment.</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guidance</w:t>
      </w:r>
    </w:p>
    <w:p>
      <w:pPr>
        <w:spacing w:after="0" w:line="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Improvements to Reportable Segment Disclosures” (“ASU 2023-07”), which requires enhanced disclosures regarding significant segment expenses that are regularly reviewed by the chief operating decision maker (“CODM”) and included in each reported measure of segment profit or loss, including an amount for “other segment items” by reportable segment and a description of its composition. ASU 2023-07 also requires entities to disclose the title and position of the CODM and an explanation of how the CODM uses reported measures of segment profit or loss to assess performance and allocate resources. The Company adopted this guidance for the year ended December 31, 2024 and applied to the guidance retrospectively to all periods presented in the financial statements. The</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0" w:name="page41"/>
    <w:bookmarkEnd w:id="4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expanded disclosures of the provision of ASU 2023-07 are included in Note 2. ASU 2023-07 affects only disclosures with no impacts to the Company’s financial condition, results of operations, and cash flows.</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does not expect this standard to have a material effect on its financial condition, results of operations,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the Company’s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two reportable segments: Rail and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Rail reporting segment consists of the Rail Products, Global Friction Management, and Technology Services and Solutions business units, which was evaluated based on the factors outlined above. The Rail reporting segment engineers, manufactures, and assembles friction management products and railway wayside data collection, application systems, railroad condition monitoring systems and equipment, wheel impact load detection systems, management systems, and provides services for these products. The Rail segment also provides a full line of new and used rail, trackwork, and accessories to railroads, mines, and other customers in the rail industry as well as designs and produces insulated rail joints, power rail, track fasteners, coverboards, and special accessories for mass transit and other rail systems. In addition, the Rail segment provides controls, displays, and telecommunication contract management solutions for the transit, control room, and customer information and display sectors to enhance safety, operational efficiency, and customer experience.</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located in Spokane, WA. Cash proceeds from the transaction were $2,362, generating a pre-tax loss of $1,009. The Ties business was reported in the Rail Products business unit within the Rail segment.</w:t>
      </w:r>
    </w:p>
    <w:p>
      <w:pPr>
        <w:spacing w:after="0" w:line="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Infrastructure segment consists of the Precast Concrete Products and Steel Products business units. The Precast Concrete Products business unit produces precast concrete buildings and a variety of specialty precast concrete products for use in several infrastructure end markets, including transportation, energy, and general infrastructure. The precast concrete buildings are primarily used as restrooms, concession stands, and protective storage buildings in national, state, and municipal parks, while other precast products include sound walls, bridge beams, box culverts, septic tanks, and other custom pre-stressed products. The Company leased a facility in Lake County, Florida in 2024, which will produce precast concrete wall systems when operations commence in 2025. The Steel Products business unit also produces threaded pipe products for industrial water well and irrigation markets as well pipe coatings for oil and gas markets. In addition, the segment produces bridge forms, which will be a retained business, and products associated with the Bridge Exit which includes bridge decking, bridge railing, structural steel fabrications, and expansion joints.</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which is a licensed manufacturer of Redi-Rock and natural concrete products for $1,644. Cougar has been included in the Precast Concrete Products business unit within the Infrastructure segment.</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business, which was inclusive of its entire Precision Measurement Products and Services division, located in Willis, TX. Cash proceeds from the transaction were $5,344, resulting in a pre-tax loss of $2,065. The Chemtec business was reported in the Steel Products business unit within the Infrastructure segment.</w:t>
      </w:r>
    </w:p>
    <w:p>
      <w:pPr>
        <w:spacing w:after="0" w:line="1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30, 2023, the Company announced the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bridge grid deck product line expect to complete any remaining customer obligations during 2025. For the years ended December 31, 2024 and 2023, the product line had $3,700 and $6,146 in sales, respectively. During 2024, the Company incurred an immaterial amount of exit costs, all of which were personnel expenses. During 2023, the Company</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1" w:name="page42"/>
    <w:bookmarkEnd w:id="4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incurred $1,403 of Bridge Exit costs, of which $1,141 was recorded in “Cost of goods sold” and $262 was recorded in “Selling and administrative expenses.” These expenses included $474 in inventory write-downs, $667 in personnel related expenses, and $262 in other exit costs; the majority of cash payments were made in early 2024. During 2023 the Company also recorded a $1,977 reduction in net sales and a $3,051 reduction in gross profit stemming from changes in expected value of certain commercial projects associated with the Bridge Exit.</w:t>
      </w:r>
    </w:p>
    <w:p>
      <w:pPr>
        <w:spacing w:after="0" w:line="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w:t>
      </w:r>
    </w:p>
    <w:p>
      <w:pPr>
        <w:spacing w:after="0" w:line="3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expense - net, which are managed on a consolidated basis, are not allocated to the operating segments.</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as of and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70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(412,703)</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0" w:type="dxa"/>
            <w:vAlign w:val="bottom"/>
          </w:tcPr>
          <w:p>
            <w:pPr>
              <w:spacing w:after="0"/>
              <w:rPr>
                <w:sz w:val="1"/>
                <w:szCs w:val="1"/>
                <w:color w:val="auto"/>
              </w:rPr>
            </w:pPr>
          </w:p>
        </w:tc>
      </w:tr>
      <w:tr>
        <w:trPr>
          <w:trHeight w:val="32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0" w:type="dxa"/>
            <w:vAlign w:val="bottom"/>
          </w:tcPr>
          <w:p>
            <w:pPr>
              <w:spacing w:after="0"/>
              <w:rPr>
                <w:sz w:val="1"/>
                <w:szCs w:val="1"/>
                <w:color w:val="auto"/>
              </w:rPr>
            </w:pPr>
          </w:p>
        </w:tc>
      </w:tr>
      <w:tr>
        <w:trPr>
          <w:trHeight w:val="2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sales of former joint venture facility</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 net</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include contractor services, insurance expenditures, rental expense, and legal services.</w:t>
      </w:r>
    </w:p>
    <w:p>
      <w:pPr>
        <w:spacing w:after="0" w:line="55" w:lineRule="exact"/>
        <w:rPr>
          <w:rFonts w:ascii="Times New Roman" w:cs="Times New Roman" w:eastAsia="Times New Roman" w:hAnsi="Times New Roman"/>
          <w:sz w:val="22"/>
          <w:szCs w:val="22"/>
          <w:i w:val="1"/>
          <w:iCs w:val="1"/>
          <w:color w:val="auto"/>
          <w:vertAlign w:val="superscript"/>
        </w:rPr>
      </w:pPr>
    </w:p>
    <w:p>
      <w:pPr>
        <w:ind w:left="660" w:right="440" w:hanging="652"/>
        <w:spacing w:after="0" w:line="284" w:lineRule="auto"/>
        <w:tabs>
          <w:tab w:leader="none" w:pos="193" w:val="left"/>
        </w:tabs>
        <w:numPr>
          <w:ilvl w:val="0"/>
          <w:numId w:val="9"/>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 xml:space="preserve">General administrative costs generally include office supplies, utilities, advertising, bad debt expense, depreciation and restructuring expenditures. </w:t>
      </w:r>
      <w:r>
        <w:rPr>
          <w:rFonts w:ascii="Times New Roman" w:cs="Times New Roman" w:eastAsia="Times New Roman" w:hAnsi="Times New Roman"/>
          <w:sz w:val="17"/>
          <w:szCs w:val="17"/>
          <w:color w:val="auto"/>
        </w:rPr>
        <w:t>Included in the Rail segment operating income for the year ended December 31, 2024, was a $1,134 expense related to restructuring.</w:t>
      </w: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2" w:name="page43"/>
    <w:bookmarkEnd w:id="4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the Infrastructure segment operating income for the year ended December 31, 2024 was gain on the sale of ancillary property within the Steel Products business unit for total consideration of $1,300 generating an $815 gain on sale recorded in “Cost of goods sold” and a $113 expense related to restructuring.</w:t>
      </w:r>
    </w:p>
    <w:p>
      <w:pPr>
        <w:spacing w:after="0" w:line="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sold a former joint venture facility located in Magnolia, Texas generating a $3,477 gain on sale recorded in “Gain on sale of former joint venture facility” which is included as a component of corporate operating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70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543,744</w:t>
            </w:r>
          </w:p>
        </w:tc>
        <w:tc>
          <w:tcPr>
            <w:tcW w:w="0" w:type="dxa"/>
            <w:vAlign w:val="bottom"/>
          </w:tcPr>
          <w:p>
            <w:pPr>
              <w:spacing w:after="0"/>
              <w:rPr>
                <w:sz w:val="1"/>
                <w:szCs w:val="1"/>
                <w:color w:val="auto"/>
              </w:rPr>
            </w:pPr>
          </w:p>
        </w:tc>
      </w:tr>
      <w:tr>
        <w:trPr>
          <w:trHeight w:val="29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(431,700)</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32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0" w:type="dxa"/>
            <w:vAlign w:val="bottom"/>
          </w:tcPr>
          <w:p>
            <w:pPr>
              <w:spacing w:after="0"/>
              <w:rPr>
                <w:sz w:val="1"/>
                <w:szCs w:val="1"/>
                <w:color w:val="auto"/>
              </w:rPr>
            </w:pPr>
          </w:p>
        </w:tc>
      </w:tr>
      <w:tr>
        <w:trPr>
          <w:trHeight w:val="324"/>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7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include contractor services, insurance expenditures, rental expense, and legal services.</w:t>
      </w:r>
    </w:p>
    <w:p>
      <w:pPr>
        <w:spacing w:after="0" w:line="55" w:lineRule="exact"/>
        <w:rPr>
          <w:rFonts w:ascii="Times New Roman" w:cs="Times New Roman" w:eastAsia="Times New Roman" w:hAnsi="Times New Roman"/>
          <w:sz w:val="22"/>
          <w:szCs w:val="22"/>
          <w:i w:val="1"/>
          <w:iCs w:val="1"/>
          <w:color w:val="auto"/>
          <w:vertAlign w:val="superscript"/>
        </w:rPr>
      </w:pPr>
    </w:p>
    <w:p>
      <w:pPr>
        <w:ind w:left="180" w:hanging="172"/>
        <w:spacing w:after="0" w:line="203" w:lineRule="auto"/>
        <w:tabs>
          <w:tab w:leader="none" w:pos="180" w:val="left"/>
        </w:tabs>
        <w:numPr>
          <w:ilvl w:val="0"/>
          <w:numId w:val="1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General administrative costs generally include office supplies, utilities, advertising, bad debt expense, depreciation and restructuring expenditures.</w:t>
      </w:r>
    </w:p>
    <w:p>
      <w:pPr>
        <w:spacing w:after="0" w:line="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Included in the Rail operating income for the year ended December 31, 2023 was a $1,862 expense related to bad debt due to a customer filing for administrative protection and a $676 expense related to restructuring, both of which were within the Company’s UK-based Technology Services and Solutions business.</w:t>
      </w:r>
    </w:p>
    <w:p>
      <w:pPr>
        <w:spacing w:after="0" w:line="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the Infrastructure segment operating income for the year ended December 31, 2023 were the Bridge Exit costs, as well as the sales and related gross profit impacts of the Bridge Exit.</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3" w:name="page44"/>
    <w:bookmarkEnd w:id="4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right="60" w:firstLine="648"/>
        <w:spacing w:after="0" w:line="278" w:lineRule="auto"/>
        <w:rPr>
          <w:sz w:val="20"/>
          <w:szCs w:val="20"/>
          <w:color w:val="auto"/>
        </w:rPr>
      </w:pPr>
      <w:r>
        <w:rPr>
          <w:rFonts w:ascii="Times New Roman" w:cs="Times New Roman" w:eastAsia="Times New Roman" w:hAnsi="Times New Roman"/>
          <w:sz w:val="18"/>
          <w:szCs w:val="18"/>
          <w:color w:val="auto"/>
        </w:rPr>
        <w:t>Reconciliations of reportable segment assets, depreciation and amortization, and expenditures for long-lived assets to the Company’s consolidated totals are as follows as of and for the years ended December 31:</w:t>
      </w: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6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7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Expenditures for</w:t>
            </w:r>
          </w:p>
        </w:tc>
      </w:tr>
      <w:tr>
        <w:trPr>
          <w:trHeight w:val="190"/>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Depreciation/Amortization</w:t>
            </w:r>
          </w:p>
        </w:tc>
        <w:tc>
          <w:tcPr>
            <w:tcW w:w="120" w:type="dxa"/>
            <w:vAlign w:val="bottom"/>
          </w:tcPr>
          <w:p>
            <w:pPr>
              <w:spacing w:after="0"/>
              <w:rPr>
                <w:sz w:val="16"/>
                <w:szCs w:val="16"/>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Long-Lived Assets</w:t>
            </w:r>
          </w:p>
        </w:tc>
      </w:tr>
      <w:tr>
        <w:trPr>
          <w:trHeight w:val="37"/>
        </w:trPr>
        <w:tc>
          <w:tcPr>
            <w:tcW w:w="6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4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r>
      <w:tr>
        <w:trPr>
          <w:trHeight w:val="27"/>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Reportable 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4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7"/>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
        </w:trPr>
        <w:tc>
          <w:tcPr>
            <w:tcW w:w="6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58"/>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Expenditures for</w:t>
            </w:r>
          </w:p>
        </w:tc>
      </w:tr>
      <w:tr>
        <w:trPr>
          <w:trHeight w:val="204"/>
        </w:trPr>
        <w:tc>
          <w:tcPr>
            <w:tcW w:w="6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Depreciation/Amortization</w:t>
            </w:r>
          </w:p>
        </w:tc>
        <w:tc>
          <w:tcPr>
            <w:tcW w:w="120" w:type="dxa"/>
            <w:vAlign w:val="bottom"/>
          </w:tcPr>
          <w:p>
            <w:pPr>
              <w:spacing w:after="0"/>
              <w:rPr>
                <w:sz w:val="17"/>
                <w:szCs w:val="17"/>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Long-Lived Assets</w:t>
            </w:r>
          </w:p>
        </w:tc>
      </w:tr>
      <w:tr>
        <w:trPr>
          <w:trHeight w:val="37"/>
        </w:trPr>
        <w:tc>
          <w:tcPr>
            <w:tcW w:w="6520" w:type="dxa"/>
            <w:vAlign w:val="bottom"/>
            <w:tcBorders>
              <w:bottom w:val="single" w:sz="8" w:color="CCEEFF"/>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4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
        </w:trPr>
        <w:tc>
          <w:tcPr>
            <w:tcW w:w="6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4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7"/>
        </w:trPr>
        <w:tc>
          <w:tcPr>
            <w:tcW w:w="6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sales from one customer of the Rail segment represented approximately $71,800 of the Company's consolidated net sales. During 2023, no single customer accounted for more than 10% of the Company’s consolidated net sales. Sales between segments were immaterial and eliminated in consolidation.</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geographic region in which the Company had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long-lived assets by geographic region as of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400" w:type="dxa"/>
            <w:vAlign w:val="bottom"/>
            <w:tcBorders>
              <w:bottom w:val="single" w:sz="8" w:color="CCEEFF"/>
            </w:tcBorders>
          </w:tcPr>
          <w:p>
            <w:pPr>
              <w:spacing w:after="0"/>
              <w:rPr>
                <w:sz w:val="3"/>
                <w:szCs w:val="3"/>
                <w:color w:val="auto"/>
              </w:rPr>
            </w:pPr>
          </w:p>
        </w:tc>
        <w:tc>
          <w:tcPr>
            <w:tcW w:w="38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7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72,899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 net</w:t>
            </w:r>
          </w:p>
        </w:tc>
        <w:tc>
          <w:tcPr>
            <w:tcW w:w="4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75,374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195"/>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4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4" w:name="page45"/>
    <w:bookmarkEnd w:id="4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42,417</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312,160</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95,126</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231,584</w:t>
            </w: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530,765</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543,744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revenues are comprised of product and service sales, including products and services provided under long-term agreements with its customers. All revenue is recognized when the Company satisfies its performance obligations under the contract, either implicit or explicit, by transferring the promised product or rendering a service to its customer either when its customer obtains control of the product or as the service is rendered. A performance obligation is a promise in a contract to transfer a distinct product or render a specific service to a customer. A contract’s transaction price is allocated to each distinct performance obligation. The majority of the Company’s contracts have a single performance obligation, as the promise to transfer products or render services is not separately identifiable from other promises in the contract and, therefore, not distinct. Revenue is measured as the amount of consideration the Company expects to receive in exchange for transferring products or providing services. Revenue is recorded net of returns, allowances, and customer discounts. Sales, value added, and other taxes collected from customers and remitted to governmental authorities are accounted for on a net (excluded from revenues) basis. Shipping and handling costs are included in cost of goods sold.</w:t>
      </w:r>
    </w:p>
    <w:p>
      <w:pPr>
        <w:spacing w:after="0" w:line="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w:t>
      </w:r>
    </w:p>
    <w:p>
      <w:pPr>
        <w:spacing w:after="0" w:line="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contract liabilities in “Deferred revenue” within the Consolidated Balance Sheets. Deferred revenue of $10,205 and $12,479 as of December 31, 2024 and 2023, respectively, consisted of customer billings or payments received for which the revenue recognition criteria had not yet been met as well as contract liabilities (billings in excess of costs) on over time revenue projects.</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2024 and 2023, revenue recognized over time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 Net Sales</w:t>
            </w:r>
          </w:p>
        </w:tc>
      </w:tr>
      <w:tr>
        <w:trPr>
          <w:trHeight w:val="204"/>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5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7"/>
              </w:rPr>
              <w:t>11.1 %</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88,856</w:t>
            </w:r>
          </w:p>
        </w:tc>
        <w:tc>
          <w:tcPr>
            <w:tcW w:w="80" w:type="dxa"/>
            <w:vAlign w:val="bottom"/>
          </w:tcPr>
          <w:p>
            <w:pPr>
              <w:spacing w:after="0"/>
              <w:rPr>
                <w:sz w:val="21"/>
                <w:szCs w:val="21"/>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148,720</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27.4 %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5" w:name="page46"/>
    <w:bookmarkEnd w:id="4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estimates are primarily attributed to updated considerations, including economic conditions and historic contract patterns, resulting in changes to anticipated revenue from existing contracts. In the event that a contract loss becomes known, the entire amount of the estimated loss is recognized in the Consolidated Statements of Operations.</w:t>
      </w:r>
    </w:p>
    <w:p>
      <w:pPr>
        <w:spacing w:after="0" w:line="2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which is inherent in all major product and service categories. Point in time revenue accounted for 72.6% of revenue for each of the years ended December 31, 2024 and 2023. The Company recognizes revenue at the point in time in which the customer obtains control of the product or service, which is generally when product title passes to the customer upon shipment or the service has been rendered to the customer. In limited cases, title does not transfer upon shipment and revenue is not recognized until the customer has received the products at a designated physical location.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6" w:name="page47"/>
    <w:bookmarkEnd w:id="4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the years ended December 31, 2024 and 2023, net sales by the timing of the transfer of goods and services were as follows:</w:t>
      </w:r>
    </w:p>
    <w:p>
      <w:pPr>
        <w:sectPr>
          <w:pgSz w:w="11900" w:h="16838" w:orient="portrait"/>
          <w:cols w:equalWidth="0" w:num="1">
            <w:col w:w="11240"/>
          </w:cols>
          <w:pgMar w:left="320" w:top="178" w:right="339" w:bottom="144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Rail, Technologies,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p>
      <w:pPr>
        <w:spacing w:after="0" w:line="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46" w:lineRule="exact"/>
        <w:rPr>
          <w:sz w:val="20"/>
          <w:szCs w:val="20"/>
          <w:color w:val="auto"/>
        </w:rPr>
      </w:pPr>
    </w:p>
    <w:p>
      <w:pPr>
        <w:sectPr>
          <w:pgSz w:w="11900" w:h="16838" w:orient="portrait"/>
          <w:cols w:equalWidth="0" w:num="4">
            <w:col w:w="5900" w:space="720"/>
            <w:col w:w="1420" w:space="380"/>
            <w:col w:w="1160" w:space="720"/>
            <w:col w:w="940"/>
          </w:cols>
          <w:pgMar w:left="320" w:top="178"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6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385,511</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145,254</w:t>
            </w:r>
          </w:p>
        </w:tc>
      </w:tr>
      <w:tr>
        <w:trPr>
          <w:trHeight w:val="27"/>
        </w:trPr>
        <w:tc>
          <w:tcPr>
            <w:tcW w:w="6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5"/>
        </w:trPr>
        <w:tc>
          <w:tcPr>
            <w:tcW w:w="6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395,024</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148,720</w:t>
            </w:r>
          </w:p>
        </w:tc>
      </w:tr>
      <w:tr>
        <w:trPr>
          <w:trHeight w:val="27"/>
        </w:trPr>
        <w:tc>
          <w:tcPr>
            <w:tcW w:w="6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543,744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(contract assets), and billings in excess of costs (contract liabilities), included in deferred revenue on the Consolidated Balance Sheets.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0" w:type="dxa"/>
            <w:vAlign w:val="bottom"/>
          </w:tcPr>
          <w:p>
            <w:pPr>
              <w:spacing w:after="0"/>
              <w:rPr>
                <w:sz w:val="1"/>
                <w:szCs w:val="1"/>
                <w:color w:val="auto"/>
              </w:rPr>
            </w:pPr>
          </w:p>
        </w:tc>
      </w:tr>
      <w:tr>
        <w:trPr>
          <w:trHeight w:val="37"/>
        </w:trPr>
        <w:tc>
          <w:tcPr>
            <w:tcW w:w="9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 balance as of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0" w:type="dxa"/>
            <w:vAlign w:val="bottom"/>
          </w:tcPr>
          <w:p>
            <w:pPr>
              <w:spacing w:after="0"/>
              <w:rPr>
                <w:sz w:val="1"/>
                <w:szCs w:val="1"/>
                <w:color w:val="auto"/>
              </w:rPr>
            </w:pPr>
          </w:p>
        </w:tc>
      </w:tr>
      <w:tr>
        <w:trPr>
          <w:trHeight w:val="264"/>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 balance as of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37"/>
        </w:trPr>
        <w:tc>
          <w:tcPr>
            <w:tcW w:w="9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liability balance as of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costs, excluding revenue recognized</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long-term, complex contracts as needed as well as detailed regular review and updates to contract margins, progress, and value. A standard reserve threshold is applied to contract assets related to short-term, less complex contracts. Management also regularly reviews collection patterns and future expected collections and makes necessary revisions to allowance for credit losses related to contract assets.</w:t>
      </w:r>
    </w:p>
    <w:p>
      <w:pPr>
        <w:spacing w:after="0" w:line="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2024, the Company recorded $2,593 in reductions to net sales stemming from changes in actual and expected values of certain commercial contracts. Such adjustments were $8,718 in 2023, including $2,987 associated with the Bridge Exit and other settled contracts. See Note 2 for additional information for the Company’s net sales by major product and service category.</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the Company had approximately $185,909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14.2% of the backlog as of December 31, 2024 was related to projects that are anticipated to extend beyond December 31,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7" w:name="page48"/>
    <w:bookmarkEnd w:id="4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and 2023, the following table represents the goodwill balance by reportable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30,733</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32,587</w:t>
            </w: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Cougar purchase accounting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Cougar Mountain Precast, LLC., for which all purchase accounting adjustments were finalized as of March 31, 2024. Purchase accounting finalization during the three months ended March 31, 2024 included adjustments to record $429 of gross intangible assets for customer relationships with a weighted average amortization period of 5 years and other immaterial adjustments.</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elected to perform a qualitative assessment as an annual test of goodwill impairment in the fourth quarter of 2024 and, as a result of this assessment, the Company determined a quantitative assessment was not necessary and no impairments were recorded in 2024. However, future impairment charges could result if future projections diverge unfavorably from current expectations.</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and 2023, the components of the Company’s intangible assets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8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62"/>
        </w:trPr>
        <w:tc>
          <w:tcPr>
            <w:tcW w:w="51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518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51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7"/>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75"/>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18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62"/>
        </w:trPr>
        <w:tc>
          <w:tcPr>
            <w:tcW w:w="51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518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51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7"/>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(50,011)</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19,010</w:t>
            </w: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useful lives ranging from 3 to 25 years, with a total weighted average amortization period of approximately 11 years. Amortization expense for the years ended December 31, 2024 and 2023 were $4,628 and $5,314, respectively. During the year ended December 31, 2023, certain fully amortized intangible assets of $27 related to non-compete agreements were eliminated from gross intangible assets and accumulated amortization.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8" w:name="page49"/>
    <w:bookmarkEnd w:id="4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annual amortization expense for the years ending December 31, 2025 and thereafter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as of December 31, 2024 and 2023 are summarized as follows: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66,105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64,978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Consolidated Statements of Operations, and were an expense of $365 and $1,912 for the years ended December 31, 2024 and 2023, respectively. The changes in reserves for uncollectible accounts are net of recoveries of previous write-offs of $335 for the year ended December 31, 2024.</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we believe mitigates credit risks. The Company’s reserves are regularly reviewed and revised as necessary.</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Pr>
          <w:p>
            <w:pPr>
              <w:spacing w:after="0"/>
              <w:rPr>
                <w:sz w:val="15"/>
                <w:szCs w:val="15"/>
                <w:color w:val="auto"/>
              </w:rPr>
            </w:pPr>
          </w:p>
        </w:tc>
        <w:tc>
          <w:tcPr>
            <w:tcW w:w="14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Allowance for Credit</w:t>
            </w:r>
          </w:p>
        </w:tc>
      </w:tr>
      <w:tr>
        <w:trPr>
          <w:trHeight w:val="190"/>
        </w:trPr>
        <w:tc>
          <w:tcPr>
            <w:tcW w:w="9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9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current period provision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
        </w:trPr>
        <w:tc>
          <w:tcPr>
            <w:tcW w:w="9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as of December 31, 2024 and 2023 are summarized in the following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47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562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37,238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26,551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474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70,506</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740" w:type="dxa"/>
            <w:vAlign w:val="bottom"/>
            <w:vMerge w:val="restart"/>
          </w:tcPr>
          <w:p>
            <w:pPr>
              <w:jc w:val="right"/>
              <w:ind w:right="2196"/>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5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9" w:name="page50"/>
    <w:bookmarkEnd w:id="4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plant, and equipment as of December 31, 2024 and 2023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Improvements to land and leaseholds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 including equipment under finance leases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178,925</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accumulated amortization of finance leases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(101,033)</w:t>
            </w: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75,579</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leases, for the years ended December 31, 2024 and 2023 amounted to $9,452 and $9,949, respectively.</w:t>
      </w:r>
    </w:p>
    <w:p>
      <w:pPr>
        <w:spacing w:after="0" w:line="1" w:lineRule="exact"/>
        <w:rPr>
          <w:sz w:val="20"/>
          <w:szCs w:val="20"/>
          <w:color w:val="auto"/>
        </w:rPr>
      </w:pPr>
    </w:p>
    <w:p>
      <w:pPr>
        <w:ind w:right="1640" w:firstLine="486"/>
        <w:spacing w:after="0" w:line="344" w:lineRule="auto"/>
        <w:rPr>
          <w:sz w:val="20"/>
          <w:szCs w:val="20"/>
          <w:color w:val="auto"/>
        </w:rPr>
      </w:pPr>
      <w:r>
        <w:rPr>
          <w:rFonts w:ascii="Times New Roman" w:cs="Times New Roman" w:eastAsia="Times New Roman" w:hAnsi="Times New Roman"/>
          <w:sz w:val="18"/>
          <w:szCs w:val="18"/>
          <w:color w:val="auto"/>
        </w:rPr>
        <w:t xml:space="preserve">There were no material property, plant, and equipment impairments recorded for the year ended December 31, 2024 and 2023. </w:t>
      </w:r>
      <w:r>
        <w:rPr>
          <w:rFonts w:ascii="Times New Roman" w:cs="Times New Roman" w:eastAsia="Times New Roman" w:hAnsi="Times New Roman"/>
          <w:sz w:val="18"/>
          <w:szCs w:val="18"/>
          <w:b w:val="1"/>
          <w:bCs w:val="1"/>
          <w:color w:val="auto"/>
        </w:rPr>
        <w:t>Note 8. Leases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leases are included in “Operating lease right-of-use assets,” “Other accrued liabilities,” and “Long-term operating lease liabilities” within the Consolidated Balance Sheets. Finance leases are included in “Property, plant, and equipment - net,” “Current maturities of long-term debt,” and “Long-term debt” in the Consolidated Balance Sheets.</w:t>
      </w:r>
    </w:p>
    <w:p>
      <w:pPr>
        <w:spacing w:after="0" w:line="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most of the Company’s leases do not provide an implicit rate, the Company uses its incremental borrowing rate based on the information available at the commencement date in determining the present value of the lease payments. The Company uses the implicit rate when readily determinable. The operating lease right-of-use asset also includes indirect costs incurred and lease payments made prior to the commencement date, less any lease incentives received. The Company’s lease terms may include options to extend or terminate the lease and will be recognized when it is reasonably certain that the Company will exercise that option. Lease expense for lease payments is recognized on a straight-line basis over the lease term.</w:t>
      </w:r>
    </w:p>
    <w:p>
      <w:pPr>
        <w:spacing w:after="0" w:line="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that it accounts for as a single lease component. Also, for certain equipment leases, the Company applies a portfolio approach to effectively account for the operating lease right-of-use assets and liabilities.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manufacturing facilities, corporate offices, sales offices, vehicles, and certain equipment. As of December 31, 2024, its leases had remaining lease terms of 1 to 10 years, some of which include options to extend the leases for up to 12 years, and some of which include options to terminate the leases within 1 year.</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components of the leases were as follows as of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8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0" w:name="page51"/>
    <w:bookmarkEnd w:id="5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within the Consolidated Statements of Operations were as follows for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
        </w:trPr>
        <w:tc>
          <w:tcPr>
            <w:tcW w:w="82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The cash flow components of the leases were as follows for the years ended December 31, 2024 and 2023:</w:t>
            </w: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240" w:type="dxa"/>
            <w:vAlign w:val="bottom"/>
          </w:tcPr>
          <w:p>
            <w:pPr>
              <w:spacing w:after="0"/>
              <w:rPr>
                <w:sz w:val="23"/>
                <w:szCs w:val="23"/>
                <w:color w:val="auto"/>
              </w:rPr>
            </w:pPr>
          </w:p>
        </w:tc>
        <w:tc>
          <w:tcPr>
            <w:tcW w:w="24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(3,746)</w:t>
            </w:r>
          </w:p>
        </w:tc>
        <w:tc>
          <w:tcPr>
            <w:tcW w:w="8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(in years) and discount rate related to the operating leases were as follows for the periods presented:</w:t>
      </w:r>
    </w:p>
    <w:p>
      <w:pPr>
        <w:spacing w:after="0" w:line="11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4"/>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remaining lease term</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estimated annual maturities of lease liabilities for the year ending December 31, 2025 and thereafter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37"/>
        </w:trPr>
        <w:tc>
          <w:tcPr>
            <w:tcW w:w="3720" w:type="dxa"/>
            <w:vAlign w:val="bottom"/>
            <w:tcBorders>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7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1" w:name="page52"/>
    <w:bookmarkEnd w:id="5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 and Related Matters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as of December 31, 2024 and 2023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 with an interest rate of 6.38% as of December 31, 2024 and 7.40% as of</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46,467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0" w:type="dxa"/>
            <w:vAlign w:val="bottom"/>
          </w:tcPr>
          <w:p>
            <w:pPr>
              <w:spacing w:after="0"/>
              <w:rPr>
                <w:sz w:val="1"/>
                <w:szCs w:val="1"/>
                <w:color w:val="auto"/>
              </w:rPr>
            </w:pPr>
          </w:p>
        </w:tc>
      </w:tr>
      <w:tr>
        <w:trPr>
          <w:trHeight w:val="27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obligations payable in installments through 2024 with a weighted average interest rate of 4.80% as of</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and 4.67% as of December 31, 2023</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46,940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55,273</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maturities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46,773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expected maturities of long-term debt for December 31, 2025 and thereafter are as follows: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2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Borrowings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w:t>
      </w:r>
    </w:p>
    <w:p>
      <w:pPr>
        <w:spacing w:after="0" w:line="3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w:t>
      </w:r>
    </w:p>
    <w:p>
      <w:pPr>
        <w:spacing w:after="0" w:line="25"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was in compliance with the covenants in the Credit Agreement, as amended. As of December 31, 2024 and 2023, the Company had outstanding letters of credit of approximately $1,409 and $2,807, respectively, and had net available borrowing capacity of $82,124 and $72,133, respectively, subject to covenant restrictions. The maturity date of the facility is August 13,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authorized shares of 20,000,000 in common stock with 11,115,779 shares issued as of December 31, 2024 and 2023. The common stock has a par value of $0.01 per share and the Company did not make any dividend payments during the years ended December 31, 2024 and 2023.</w:t>
      </w:r>
    </w:p>
    <w:p>
      <w:pPr>
        <w:spacing w:after="0" w:line="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withheld 59,577 and 24,886 shares for approximately $1,429 and $315, respectively, from employees to pay their withholding taxes in connection with the vesting of restricted stock awards. During the first quarter of 2023, the Company's Board of Directors authorized the repurchase of up to $15,000 of the Company's common stock in open market transactions. Repurchases of shares of the Company’s common stock may be made from time to time in the open market or in such other manner as determined by the Company. The timing of the repurchases and the actual amount repurchased will depend</w:t>
      </w:r>
    </w:p>
    <w:p>
      <w:pPr>
        <w:sectPr>
          <w:pgSz w:w="11900" w:h="16838" w:orient="portrait"/>
          <w:cols w:equalWidth="0" w:num="1">
            <w:col w:w="11240"/>
          </w:cols>
          <w:pgMar w:left="320" w:top="178" w:right="339" w:bottom="1440" w:gutter="0" w:footer="0" w:header="0"/>
        </w:sectPr>
      </w:pP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2" w:name="page53"/>
    <w:bookmarkEnd w:id="5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5, 2024, the Board of Directors approved the modification of the Company’s stock repurchase program. The modifications include revising the repurchase program expiration date from February 2026 to February 2025. Additionally, the Board of Directors removed the restriction which previously limited repurchases to $5,000 in any trailing 12-month period. The authorized repurchase amount was unchanged at $15,000.</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stock repurchase program, 300,302 shares valued at $6,808 were repurchased during the year ended December 31, 2024 and 134,208 shares valued at $2,310 were repurchased during the year ended December 31, 2023. There were no dividends declared during the years ended December 31, 2024 and 2023.</w:t>
      </w:r>
    </w:p>
    <w:p>
      <w:pPr>
        <w:spacing w:after="0" w:line="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3, 2025, the Company's Board of Directors authorized the repurchase of up to $40,000 of the Company's common stock in open market transactions and/or 10b5-1 trading plans through February 29, 2028, as discussed in Note 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37"/>
        </w:trPr>
        <w:tc>
          <w:tcPr>
            <w:tcW w:w="824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7"/>
        </w:trPr>
        <w:tc>
          <w:tcPr>
            <w:tcW w:w="82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7"/>
        </w:trPr>
        <w:tc>
          <w:tcPr>
            <w:tcW w:w="8240" w:type="dxa"/>
            <w:vAlign w:val="bottom"/>
          </w:tcPr>
          <w:p>
            <w:pPr>
              <w:spacing w:after="0"/>
              <w:rPr>
                <w:sz w:val="19"/>
                <w:szCs w:val="19"/>
                <w:color w:val="auto"/>
              </w:rPr>
            </w:pPr>
          </w:p>
        </w:tc>
        <w:tc>
          <w:tcPr>
            <w:tcW w:w="300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37"/>
        </w:trPr>
        <w:tc>
          <w:tcPr>
            <w:tcW w:w="8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338,952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10,776,827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for stock-based compensation plans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(91,316)</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91,316</w:t>
            </w: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Repurchased common stock</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134,208</w:t>
            </w: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(134,208)</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2023</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381,844</w:t>
            </w:r>
          </w:p>
        </w:tc>
        <w:tc>
          <w:tcPr>
            <w:tcW w:w="8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10,733,935</w:t>
            </w: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for stock-based compensation plans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300,302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(300,302)</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542,347</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10,573,432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for the years ended December 31, 2024 and 2023,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plan adjustments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income on interest rate swap contracts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w:t>
            </w: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reclassified $1,174 of pension and post-retirement benefit plan adjustments from “Accumulated other comprehensive loss” to “Other expense - net” as a result of the termination our frozen L.B. Foster Company Merged Retirement Plan, discussed further in Note 16. Foreign currency translation adjustments are generally not adjusted for income taxes as they relate to indefinite investments in non-US subsidiaries. See Note 13 for further information.</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3" w:name="page54"/>
    <w:bookmarkEnd w:id="5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Common Share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amounts in thousands)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years ended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2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common share: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88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42,946</w:t>
            </w: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7"/>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10,721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10,799</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10,721</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 plans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5"/>
        </w:trPr>
        <w:tc>
          <w:tcPr>
            <w:tcW w:w="824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Denominator for diluted earnings per common share - adjusted weighted average shares outstanding and</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6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conversions</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11,048</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10,995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8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before income taxes, as shown in the accompanying Consolidated Statements of Operations, includes the following components for the years ended December 31, 2024 and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5"/>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21,200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(13,631)</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14,445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years ended December 31, 2024 and 2023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4" w:name="page55"/>
    <w:bookmarkEnd w:id="5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of income tax computed at statutory rates to income tax expense for the years ended December 31, 2024 and 2023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(55.1)</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34.1</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income tax rates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unremitted foreign earnings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(76.6)</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 / effective rate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2024 and 2023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 tax credit carryforwards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reserve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deduction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liability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income on interest rate swap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5" w:name="page56"/>
    <w:bookmarkEnd w:id="5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or maintained when, based on currently available information and other factors, it is more likely than not that all or a portion of a deferred tax asset will not be realized. The Company has considered all available evidence, both positive and negative, in assessing the need for a valuation allowance in each jurisdiction.</w:t>
      </w:r>
    </w:p>
    <w:p>
      <w:pPr>
        <w:spacing w:after="0" w:line="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2024, the Company reversed $34,210 of its valuation allowance previously recorded against certain U.S. federal and state deferred tax assets. The positive evidence considered in evaluating U.S. federal and state deferred tax assets included the Company's cumulative financial income position over the previous three years, as well as the composition and reversal patterns of existing taxable and deductible temporary differences between financial reporting and tax. Based on our evaluation, the Company believed it was appropriate to rely on forecasted future taxable income to support its U.S. federal and state deferred tax assets. The amount of deferred tax assets considered realizable, however, could be adjusted if negative evidence outweighs additional subjective evidence such as the Company's projections for growth.</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 federal Net Operating Loss (“NOL”) carryforward of $93,344, which is limited to 80% of taxable income annually, but may be carried forward indefinitely. The Company also has federal research tax credit carryforwards in the amount of $1,228 that will expire at various times from 2036 through 2044. Based on information available as of December 31, 2024, the Company believes it is more likely than not that the tax benefits from the federal loss carryforwards and research tax credit carryforwards will be realized.</w:t>
      </w:r>
    </w:p>
    <w:p>
      <w:pPr>
        <w:spacing w:after="0" w:line="1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tax benefit of NOL carryforwards available for state income tax purposes was $9,802 and $10,137, respectively. Many state NOL carryforwards will expire in various years through 2044, while some may be carried forward indefinitely. Based on information available as of December 31, 2024, the Company believes it is more likely than not that a portion of the tax benefit from state operating loss carryforwards will not be realized. In recognition of this risk, the Company has provided a valuation allowance of $2,153 against deferred tax assets related to state operating loss carryforwards as of December 31, 2024.</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NOL carryforwards in certain foreign jurisdictions of $26,346, which may be carried forward indefinitely. The foreign jurisdictions have incurred cumulative financial losses over the three-year period ended December 31, 2024 and have projected future taxable losses. Based on information available as of December 31, 2024, the Company believes it is more likely than not that the tax benefit from these loss carryforwards will not be realized. In recognition of this risk, it has provided a valuation allowance of $6,070, collectively, against deferred tax assets in foreign jurisdictions as of December 31, 2024.</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determination to record or not record a valuation allowance involves management's judgment, based on the consideration of positive and negative evidence available at the time of the assessment. Management will continue to assess the realization of its deferred tax assets based upon future evidence, and may record adjustments to valuation allowances against deferred tax assets in future periods, as appropriate, that could materially impact net income.</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Each quarter, management reviews operations and liquidity needs in each jurisdiction to assess the Company’s intent to reinvest foreign earnings outside of the United States. As of December 31, 2024, management determined that a portion of the Company’s outside basis differences in its foreign subsidiaries would not be indefinitely reinvested outside of the United States. The Company has accrued foreign withholding taxes of $195 related to $3,900 of outside basis differences in its foreign subsidiaries that are not indefinitely reinvested as of December 31, 2024. It is management’s intent and practice to indefinitely reinvest all other undistributed earnings outside of the United States. Determination of the amount of any unrecognized deferred income tax liability associated with these undistributed earnings is not practicable because of the complexities of the hypothetical calculation.</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unrecognized tax benefits as of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Decreases based on tax positions for prior periods</w:t>
            </w:r>
          </w:p>
        </w:tc>
        <w:tc>
          <w:tcPr>
            <w:tcW w:w="98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
        </w:trPr>
        <w:tc>
          <w:tcPr>
            <w:tcW w:w="8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was $265 as of December 31, 2024. The Company accrues interest and penalties related to unrecognized tax benefits in its provision for income taxes. As of December 31, 2024 and 2023, the Company had accrued interest and penalties related to unrecognized tax benefits of $294 and $332, respectively. As of December 31, 2024, the Company did not expect any material increases or decreases to its unrecognized tax benefits within the next 12 months. Ultimate realization of these tax benefits is dependent upon the occurrence of certain events, including the completion of audits by tax authorities and expiration of statutes of limitations.</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and in various state, local, and foreign jurisdictions. The Company is subject to federal income tax examinations for the 2021 period and thereafter. With respect to the state, local, and foreign filings, certain entities of the Company are subject to income tax examinations for the 2020 period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6" w:name="page57"/>
    <w:bookmarkEnd w:id="5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of ASC 718, “Compensation - Stock-based Compensation,” to account for the Company’s stock-based compensation. Stock-based compensation cost is measured at the grant date based on the calculated fair value of the award and is recognized over the employees’ requisite service period. Stock forfeitures and cancellations are recognized as they occur.</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$3,834 and $4,179 for the years ended December 31, 2024 and 2023, respectively. As of December 31, 2024, unrecognized compensation expense for awards that the Company expects to vest approximated $5,154. The Company will recognize this unrecognized compensation expense over approximately 2.2 years through February 13, 2027.</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Shares issued as a result of vested stock-based compensation generally will be from previously issued shares that have been reacquired by the Company and held as treasury stock or authorized but previously unissued common stock.</w:t>
      </w:r>
    </w:p>
    <w:p>
      <w:pPr>
        <w:spacing w:after="0" w:line="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December 31, 2024, the Company had stock awards issued pursuant to the 2022 Equity and Incentive Compensation Plan (the “Equity and Incentive Compensation Plan”) and its predecessor, the 2006 Omnibus Incentive Compensation Plan (the “Omnibus Plan”). The Omnibus Plan allowed for the issuance of 2,058,000 shares of common stock through the granting of stock options or stock awards (including performance units convertible into stock) to key employees and directors at no less than 100% of fair market value on the date of the grant. The Equity and Incentive Compensation Plan allows for the issuance of 1,924,077 shares of common stock, which includes 1,835,000 shares that were authorized under the Equity and Incentive Compensation Plan and 89,077 shares remaining available for the Omnibus Incentive Plan, through the granting of stock options or stock awards (including performance units and restricted stock units convertible into stock) to key employees and directors at no less than 100% of fair market value on the date of the grant. The total number of shares of common stock available for issuance, including shares that were forfeited, cancelled, expired, settled for cash, or unearned under the Omnibus Plan, were available for awards under the Equity and Incentive Compensation Plan as of its approval date. The Omnibus Plan and Equity and Incentive Compensation Plan provide for the granting of “nonqualified options” with a duration of not more than ten years from the date of grant. The Omnibus Plan and Equity and Incentive Compensation Plan also provide that, unless otherwise set forth in the option agreement, stock options are exercisable in installments of up to 25% annually beginning one year from the date of grant. No stock options have been granted under the Omnibus Plan or Equity and Incentive Compensation Plan and, as such, there was no stock-based compensation expense related to stock options recorded in 2024 and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 Fully-Vested and Restricted Stock Awards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 compensation for service on the Board into deferred stock units. Non-Employee directors may elect to receive quarterly cash compensation in the form of fully-vested stock. During 2024, a Board member has elected to receive fully vested stock in lieu of cash compensation.</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2024 and 2023, the non-employee directors were granted a total of 22,458 and 39,312 restricted shares, respectively. Compensation expense recorded by the Company related to such awards to non-employee directors was approximately $589 and $468 for the years ended December 31, 2024 and 2023, respectively. During 2024, no deferred share units were allotted to the accounts of the non-employee directors pursuant to the Deferred Compensation Plan for Non-Employee Directors.</w:t>
      </w:r>
    </w:p>
    <w:p>
      <w:pPr>
        <w:spacing w:after="0" w:line="1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all the restricted stock grants awarded was $27.45 and $13.00 per share for the years ended December 31,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and Performance-Based Stock and Share Units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 If the Company’s estimate of the number of performance stock awards expected to vest changes in a subsequent accounting period, cumulative compensation expense could increase or decrease. The change is recognized in the current period for the performance unit awards and would change future expense over the remaining service period.</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7" w:name="page58"/>
    <w:bookmarkEnd w:id="5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restricted stock award, deferred stock units, and performance unit award activity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5"/>
                <w:szCs w:val="15"/>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 Date</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7"/>
                <w:szCs w:val="17"/>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174,173</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181,914</w:t>
            </w:r>
          </w:p>
        </w:tc>
        <w:tc>
          <w:tcPr>
            <w:tcW w:w="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adjustment for incentive awards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and 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264,970</w:t>
            </w: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8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560,338</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90,807</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(148,808)</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adjustment for incentive awards</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 and 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203,552</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534,521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Commencing in 2022, Performance Stock Units may be earned annually during each year of the three year program and converted into restricted stock units which settle in common stock at the end of each three year period. Performance Stock Units are adjusted to the Company’s expected performance target attainment, while the weighted average aggregate grant date fair value in the above table is based upon achieving 100% of the performance targets as defined in the underlying plan.</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2022, under the Equity and Incentive Compensation Plan, the Company approved the Strategy Transformation Plan performance-based incentive stock award to incentivize key personnel for the strategic transformation of the Company. Under the four-year program, participants shall be eligible for a performance stock unit award of Company common stock with 50% of the shares earned based on the achievement of EBITDA Margin and 50% of the shares earned based on the Company’s stock price for the projected payout.</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2021, under the Omnibus Plan, the Company established a performance-based incentive stock award retention program to incentivize and retain key personnel during the COVID-19 pandemic by driving stock price. Under this five-year program, participants have the opportunity to earn up to 3,333 shares of Company common stock. The first 50% of the shares (1,666 shares) are earned based on achievement of a consecutive thirty (30) day average Nasdaq closing price of $25.00. The second 50% of the shares (1,666 shares) are earned based on achievement of a consecutive thirty (30) day average Nasdaq closing price of $30.00. The value of any shares awarded will be determined using a Monte Carlo methodology for the projected payout. The program and opportunity to earn the shares expires on February 28, 2026.</w:t>
      </w:r>
    </w:p>
    <w:p>
      <w:pPr>
        <w:spacing w:after="0" w:line="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Excluding the restricted stock awards granted to non-employee directors, the Company recorded stock-based compensation expense of $3,245 and $3,711, respectively, for the periods ended December 31, 2024 and 2023 related to restricted stock and performance unit awards.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65" w:lineRule="exact"/>
        <w:rPr>
          <w:sz w:val="20"/>
          <w:szCs w:val="20"/>
          <w:color w:val="auto"/>
        </w:rPr>
      </w:pPr>
    </w:p>
    <w:p>
      <w:pPr>
        <w:jc w:val="both"/>
        <w:ind w:right="20" w:firstLine="486"/>
        <w:spacing w:after="0" w:line="280"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SOFR-based interest rate swaps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To reduce the impact of interest rate changes on outstanding variable-rate debt, the Company amended and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forward-starting SOFR-based interest rate swaps, with notional values totaling $20,000 and $20,000 effective August 12, 2022 and August 31, 2022 and expiring March 1, 2025 and August 13, 2026, respectively. The fair value of the interest rate swaps is based on market-observable forward interest rates and represents the estimated amount that the Company would</w:t>
      </w:r>
    </w:p>
    <w:p>
      <w:pPr>
        <w:sectPr>
          <w:pgSz w:w="11900" w:h="16838" w:orient="portrait"/>
          <w:cols w:equalWidth="0" w:num="1">
            <w:col w:w="11240"/>
          </w:cols>
          <w:pgMar w:left="320" w:top="178" w:right="339" w:bottom="1440" w:gutter="0" w:footer="0" w:header="0"/>
        </w:sectPr>
      </w:pP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8" w:name="page59"/>
    <w:bookmarkEnd w:id="5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 to terminate the agreements. As such, the swap agreements are classified as Level 2 within the fair value hierarchy. As of December 31, 2024 and December 31, 2023, the interest rate swaps were recorded in “Other current assets” when the interest rate swaps’ fair market value are in an asset position and “Other accrued liabilities” when in a liability position within our Consolidated Balance Sheets.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9"/>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2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780" w:type="dxa"/>
            <w:vAlign w:val="bottom"/>
            <w:tcBorders>
              <w:bottom w:val="single" w:sz="8" w:color="auto"/>
            </w:tcBorders>
          </w:tcPr>
          <w:p>
            <w:pPr>
              <w:spacing w:after="0"/>
              <w:rPr>
                <w:sz w:val="19"/>
                <w:szCs w:val="19"/>
                <w:color w:val="auto"/>
              </w:rPr>
            </w:pPr>
          </w:p>
        </w:tc>
      </w:tr>
      <w:tr>
        <w:trPr>
          <w:trHeight w:val="178"/>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0"/>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1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3"/>
        </w:trPr>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77"/>
        </w:trPr>
        <w:tc>
          <w:tcPr>
            <w:tcW w:w="17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bl>
    <w:p>
      <w:pPr>
        <w:spacing w:after="0" w:line="1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$20,000 interest rate swaps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Consolidated Balance Sheets and included in “Interest expense - net” in our Consolidated Statements of Operations as the interest expense from our debt is recognized.</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recognized interest income of $1,306 and $1,206, respectively, from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swaps.</w:t>
      </w:r>
    </w:p>
    <w:p>
      <w:pPr>
        <w:spacing w:after="0" w:line="4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ASC 820, the Company measures certain nonfinancial assets and liabilities at fair value, which are recognized and disclosed on a nonrecurring basis. The gross carrying value of the Company’s revolving credit facility approximates fair value for the periods presented. Additional information regarding the revolving credit facility can be found in Note 9. Information regarding the fair value disclosures associated with the assets of the Company’s defined benefit plans can be found in Note 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Plans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retirement plans that cover its hourly and salaried employees. In the US, as of December 31, 2024 the Company has two defined contribution plans.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of the applicable plan. The Company’s policy is to contribute at least the required minimum in accordance with the funding standards of ERISA. The Company maintains one defined contribution plans for its employees in Canada. In the United Kingdom, the Company maintains two defined contribution plans and a defined benefit plan, which is frozen. These plans are discussed in further detail below.</w:t>
      </w:r>
    </w:p>
    <w:p>
      <w:pPr>
        <w:spacing w:after="0" w:line="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Defined Benefit Plan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completed the termination of the US DB Plan by distributing all the assets of its US DB Plan and by making additional cash contributions of $1,806 to effectuate the termination of this plan. The settlement of these obligations resulted in the recognition of a charge of $1,722 which has been presented as a component of “Other expense - net” for the year ended December 31, 2024.</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9" w:name="page60"/>
    <w:bookmarkEnd w:id="5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the benefit obligation, the fair market value of the assets, and the funded status of the plan, as of December 31, 2024 and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80" w:type="dxa"/>
            <w:vAlign w:val="bottom"/>
          </w:tcPr>
          <w:p>
            <w:pPr>
              <w:spacing w:after="0"/>
              <w:rPr>
                <w:sz w:val="21"/>
                <w:szCs w:val="21"/>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(5,592)</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to plan assets: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tcPr>
          <w:p>
            <w:pPr>
              <w:spacing w:after="0"/>
              <w:rPr>
                <w:sz w:val="21"/>
                <w:szCs w:val="21"/>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gain (loss)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Reversion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(5,592)</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periodic pension costs for the years ended December 31, 2024 and 2023 were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240" w:type="dxa"/>
            <w:vAlign w:val="bottom"/>
          </w:tcPr>
          <w:p>
            <w:pPr>
              <w:spacing w:after="0"/>
              <w:rPr>
                <w:sz w:val="23"/>
                <w:szCs w:val="23"/>
                <w:color w:val="auto"/>
              </w:rPr>
            </w:pPr>
          </w:p>
        </w:tc>
        <w:tc>
          <w:tcPr>
            <w:tcW w:w="244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Settlement charge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expense</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expected long-term rate of return is based on numerous factors, including the target asset allocation for plan assets, historical rate of return, long-term inflation assumptions, and current and projected market conditions.</w:t>
      </w:r>
    </w:p>
    <w:p>
      <w:pPr>
        <w:sectPr>
          <w:pgSz w:w="11900" w:h="16838" w:orient="portrait"/>
          <w:cols w:equalWidth="0" w:num="1">
            <w:col w:w="11240"/>
          </w:cols>
          <w:pgMar w:left="320" w:top="178"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0" w:name="page61"/>
    <w:bookmarkEnd w:id="6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Amounts applicable to the Company’s pension plan with accumulated benefit obligations in excess of plan assets were as follows as of December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9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97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7"/>
        </w:trPr>
        <w:tc>
          <w:tcPr>
            <w:tcW w:w="9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7"/>
        </w:trPr>
        <w:tc>
          <w:tcPr>
            <w:tcW w:w="9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Plan assets consist primarily of various fixed income and equity investments. The Company’s primary investment objective is to provide long-term growth of capital while accepting a moderate level of risk. The investments are limited to cash and cash equivalents, bonds, preferred stocks, and common stocks. The investment target ranges and actual allocation of pension plan assets by major category as of December 31, 2023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8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97"/>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04"/>
        </w:trPr>
        <w:tc>
          <w:tcPr>
            <w:tcW w:w="8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funds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- 50%</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mutual funds and equities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- 70%</w:t>
            </w:r>
          </w:p>
        </w:tc>
        <w:tc>
          <w:tcPr>
            <w:tcW w:w="80" w:type="dxa"/>
            <w:vAlign w:val="bottom"/>
          </w:tcPr>
          <w:p>
            <w:pPr>
              <w:spacing w:after="0"/>
              <w:rPr>
                <w:sz w:val="24"/>
                <w:szCs w:val="24"/>
                <w:color w:val="auto"/>
              </w:rPr>
            </w:pPr>
          </w:p>
        </w:tc>
        <w:tc>
          <w:tcPr>
            <w:tcW w:w="16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disclosure requirements of ASC 820, the following assets were measured at fair value on a recurring basis as of December 31, 2023. Additional information regarding ASC 820 and the fair value hierarchy can be found in Note 15.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97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9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97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9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9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funds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9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funds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9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funds and equities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Exchange-traded funds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7"/>
        </w:trPr>
        <w:tc>
          <w:tcPr>
            <w:tcW w:w="9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mutual funds and equities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37"/>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7"/>
        </w:trPr>
        <w:tc>
          <w:tcPr>
            <w:tcW w:w="9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9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Cash equivalents: The Company uses quoted market prices to determine the fair value of these investments in interest-bearing cash accounts and they are classified as Level 1 of the fair value hierarchy. The carrying amounts approximate fair value because of the short maturity of the instruments.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Fixed income funds: Investments within the fixed income funds category consist of fixed income corporate debt. The Company uses quoted market prices to determine the fair values of these fixed income funds. These instruments consist of exchange-traded government and corporate bonds and are classified as Level 1 of the fair value hierarchy.</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funds and equities: The valuation of investments in registered investment companies is based on the underlying investments in securities. Securities traded on security exchanges are valued at the latest quoted sales price. Securities traded in the over-the-counter market and listed securities for which no sale was reported on that date are valued at the average of the last reported bid and ask quotations. These investments are classified as Level 1 of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UK defined benefit plan covers certain current employees, former employees, and retirees. The plan has been frozen to new entrants since April 1, 1997 and also covers the former employees of a merged plan after January 2002. Benefits under the plan were based on years of service and eligible compensation during defined periods of service. The Company’s funding policy for the plan is to make minimum annual contributions required by applicable regulations. The UK DB Plan is fully funded as of December 31, 2024.</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1" w:name="page62"/>
    <w:bookmarkEnd w:id="6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funded status of the United Kingdom defined benefit plan as of December 31, 2024 and 2023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gain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to plan assets: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gain (loss) on plan assets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consist of:</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UK DB Plan is fully funded as of December 31, 2024. In January 2025, the Company entered into an insurance buy-in contract with a third party insurer which resulted in an exchange of plan assets for an annuity that covers our future projected benefit obligations. The Company expects the buy out of the plan and transfer of future benefit obligations of plan participants to be completed in early 2026. The Company does not expect to make any further contributions to the UK DB Plan.</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periodic pension costs for the years ended December 31, 2024 and 2023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gain:</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gain</w:t>
            </w:r>
          </w:p>
        </w:tc>
        <w:tc>
          <w:tcPr>
            <w:tcW w:w="96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2" w:name="page63"/>
    <w:bookmarkEnd w:id="6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applicable to the Company’s pension plans with accumulated benefit obligations in excess of plan assets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8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has estimated the long-term rate of return on plan assets based primarily on historical returns on plan assets, adjusted for changes in target portfolio allocations, and recent changes in long-term interest rates based on publicly available information.</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Plan assets are invested by the trustees in accordance with a written statement of investment principles. This statement permits investment in equities, corporate bonds, United Kingdom government securities, commercial property, and cash, based on certain target allocation percentages. Asset allocation is primarily based on a strategy to provide steady growth without undue fluctuations. The target asset allocation percentages for 2024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420" w:type="dxa"/>
            <w:vAlign w:val="bottom"/>
            <w:tcBorders>
              <w:bottom w:val="single" w:sz="8" w:color="CCEEFF"/>
            </w:tcBorders>
            <w:shd w:val="clear" w:color="auto" w:fill="CCEEFF"/>
          </w:tcPr>
          <w:p>
            <w:pPr>
              <w:jc w:val="center"/>
              <w:ind w:left="3610"/>
              <w:spacing w:after="0"/>
              <w:rPr>
                <w:sz w:val="20"/>
                <w:szCs w:val="20"/>
                <w:color w:val="auto"/>
              </w:rPr>
            </w:pPr>
            <w:r>
              <w:rPr>
                <w:rFonts w:ascii="Times New Roman" w:cs="Times New Roman" w:eastAsia="Times New Roman" w:hAnsi="Times New Roman"/>
                <w:sz w:val="18"/>
                <w:szCs w:val="18"/>
                <w:color w:val="auto"/>
              </w:rPr>
              <w:t>Up to 100%</w:t>
            </w:r>
          </w:p>
        </w:tc>
      </w:tr>
      <w:tr>
        <w:trPr>
          <w:trHeight w:val="29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property</w:t>
            </w:r>
          </w:p>
        </w:tc>
        <w:tc>
          <w:tcPr>
            <w:tcW w:w="542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w w:val="98"/>
              </w:rPr>
              <w:t>Not to exceed 50%</w:t>
            </w:r>
          </w:p>
        </w:tc>
      </w:tr>
      <w:tr>
        <w:trPr>
          <w:trHeight w:val="27"/>
        </w:trPr>
        <w:tc>
          <w:tcPr>
            <w:tcW w:w="582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30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Government securities</w:t>
            </w:r>
          </w:p>
        </w:tc>
        <w:tc>
          <w:tcPr>
            <w:tcW w:w="5420" w:type="dxa"/>
            <w:vAlign w:val="bottom"/>
            <w:tcBorders>
              <w:bottom w:val="single" w:sz="8" w:color="CCEEFF"/>
            </w:tcBorders>
            <w:shd w:val="clear" w:color="auto" w:fill="CCEEFF"/>
          </w:tcPr>
          <w:p>
            <w:pPr>
              <w:jc w:val="center"/>
              <w:ind w:left="3610"/>
              <w:spacing w:after="0"/>
              <w:rPr>
                <w:sz w:val="20"/>
                <w:szCs w:val="20"/>
                <w:color w:val="auto"/>
              </w:rPr>
            </w:pPr>
            <w:r>
              <w:rPr>
                <w:rFonts w:ascii="Times New Roman" w:cs="Times New Roman" w:eastAsia="Times New Roman" w:hAnsi="Times New Roman"/>
                <w:sz w:val="18"/>
                <w:szCs w:val="18"/>
                <w:color w:val="auto"/>
                <w:w w:val="98"/>
              </w:rPr>
              <w:t>Not to exceed 50%</w:t>
            </w:r>
          </w:p>
        </w:tc>
      </w:tr>
      <w:tr>
        <w:trPr>
          <w:trHeight w:val="29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2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rPr>
              <w:t>Up to 100%</w:t>
            </w:r>
          </w:p>
        </w:tc>
      </w:tr>
    </w:tbl>
    <w:p>
      <w:pPr>
        <w:spacing w:after="0" w:line="144"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Plan assets held within the United Kingdom defined benefit plan consist of cash and equity securities that have been classified as Level 1 of the fair value hierarchy. All other plan assets have been classified as Level 2 of the fair value hierarchy.</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plan assets by category for the years ended December 31, 2024 and 2023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The UK DB Plan expects to make $336 of benefit payments in 2025 prior to the termination of the plan in early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7"/>
        </w:trPr>
        <w:tc>
          <w:tcPr>
            <w:tcW w:w="824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Contingent Liabilities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3" w:name="page64"/>
    <w:bookmarkEnd w:id="6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product warranty accrual: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Warranty Liability</w:t>
            </w:r>
          </w:p>
        </w:tc>
      </w:tr>
      <w:tr>
        <w:trPr>
          <w:trHeight w:val="37"/>
        </w:trPr>
        <w:tc>
          <w:tcPr>
            <w:tcW w:w="9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jc w:val="center"/>
              <w:ind w:right="719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6"/>
              </w:rPr>
              <w:t>688</w:t>
            </w:r>
          </w:p>
        </w:tc>
      </w:tr>
      <w:tr>
        <w:trPr>
          <w:trHeight w:val="243"/>
        </w:trPr>
        <w:tc>
          <w:tcPr>
            <w:tcW w:w="9760" w:type="dxa"/>
            <w:vAlign w:val="bottom"/>
          </w:tcPr>
          <w:p>
            <w:pPr>
              <w:jc w:val="center"/>
              <w:ind w:right="7210"/>
              <w:spacing w:after="0"/>
              <w:rPr>
                <w:sz w:val="20"/>
                <w:szCs w:val="20"/>
                <w:color w:val="auto"/>
              </w:rPr>
            </w:pPr>
            <w:r>
              <w:rPr>
                <w:rFonts w:ascii="Times New Roman" w:cs="Times New Roman" w:eastAsia="Times New Roman" w:hAnsi="Times New Roman"/>
                <w:sz w:val="18"/>
                <w:szCs w:val="18"/>
                <w:color w:val="auto"/>
                <w:w w:val="99"/>
              </w:rPr>
              <w:t>Additions to warranty liability</w:t>
            </w:r>
          </w:p>
        </w:tc>
        <w:tc>
          <w:tcPr>
            <w:tcW w:w="120" w:type="dxa"/>
            <w:vAlign w:val="bottom"/>
          </w:tcPr>
          <w:p>
            <w:pPr>
              <w:spacing w:after="0"/>
              <w:rPr>
                <w:sz w:val="21"/>
                <w:szCs w:val="21"/>
                <w:color w:val="auto"/>
              </w:rPr>
            </w:pPr>
          </w:p>
        </w:tc>
        <w:tc>
          <w:tcPr>
            <w:tcW w:w="136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w w:val="96"/>
              </w:rPr>
              <w:t>397</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liability utilized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(483)</w:t>
            </w:r>
          </w:p>
        </w:tc>
      </w:tr>
      <w:tr>
        <w:trPr>
          <w:trHeight w:val="237"/>
        </w:trPr>
        <w:tc>
          <w:tcPr>
            <w:tcW w:w="9760" w:type="dxa"/>
            <w:vAlign w:val="bottom"/>
          </w:tcPr>
          <w:p>
            <w:pPr>
              <w:jc w:val="center"/>
              <w:ind w:right="719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6"/>
              </w:rPr>
              <w:t>602</w:t>
            </w:r>
          </w:p>
        </w:tc>
      </w:tr>
      <w:tr>
        <w:trPr>
          <w:trHeight w:val="27"/>
        </w:trPr>
        <w:tc>
          <w:tcPr>
            <w:tcW w:w="9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Union Pacific Railroad Company (“UPRR”) to resolve the pending litigation in the matter of </w:t>
      </w:r>
      <w:r>
        <w:rPr>
          <w:rFonts w:ascii="Times New Roman" w:cs="Times New Roman" w:eastAsia="Times New Roman" w:hAnsi="Times New Roman"/>
          <w:sz w:val="18"/>
          <w:szCs w:val="18"/>
          <w:i w:val="1"/>
          <w:iCs w:val="1"/>
          <w:color w:val="auto"/>
        </w:rPr>
        <w:t>Union Pacific Railroad Company v. L.B.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Settlement Agreement, the Company and CXT agreed to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continuing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were reduced to $6,000 for 2021 through 2024. The Settlement Agreement also includes a mutual release of all claims and liability regarding or relating to all CXT pre-stressed concrete railroad ties with no admission of liability and dismissal of the litigation with prejudice. As of December 31, 2024 the UPRR Settlement Agreement has been fully paid.</w:t>
      </w:r>
    </w:p>
    <w:p>
      <w:pPr>
        <w:spacing w:after="0" w:line="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reclassified $6,600 of the previously accrued warranty reserve related to the UPRR matter into its aggregate accrued settlement liability of $50,000 as of December 31, 2018. Therefore, the Company recognized $43,400 in expense for the year ended December 31, 2018 for the remaining amount per the Settlement Agreement, which was recorded in “Concrete Tie Settlement expense” within its Consolidated Statements of Operations. As of December 31, 2023, $8,000 was recorded within “Current portion of accrued settlement” within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December 31, 2024.</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December 31, 2024, no such disclosures were considered necessary.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6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w:t>
      </w:r>
    </w:p>
    <w:p>
      <w:pPr>
        <w:spacing w:after="0" w:line="200" w:lineRule="exact"/>
        <w:rPr>
          <w:sz w:val="20"/>
          <w:szCs w:val="20"/>
          <w:color w:val="auto"/>
        </w:rPr>
      </w:pPr>
    </w:p>
    <w:p>
      <w:pPr>
        <w:spacing w:after="0" w:line="21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4" w:name="page65"/>
    <w:bookmarkEnd w:id="6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has been extended to May 30, 2025.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factors like those described above, an unfavorable resolution could have a material adverse effect.</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maintained environmental reserves approximating $1,796 and $2,417,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undiscounted environmental obligation: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Environmental Liability</w:t>
            </w:r>
          </w:p>
        </w:tc>
      </w:tr>
      <w:tr>
        <w:trPr>
          <w:trHeight w:val="37"/>
        </w:trPr>
        <w:tc>
          <w:tcPr>
            <w:tcW w:w="9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3"/>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environmental obligations</w:t>
            </w: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reserve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obligations utilized</w:t>
            </w: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made an adjustment to reduce its environmental obligation by $600. This adjustment was recorded to reflect the Company's current expectations of probable environmental remediation costs based on remediation progress, prospective estimates of required activity, and historical analysis.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Other Expense</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other expense - net for the years ended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termination costs (a)</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the sale of Chemtec (b)</w:t>
            </w:r>
          </w:p>
        </w:tc>
        <w:tc>
          <w:tcPr>
            <w:tcW w:w="94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Concrete Ties (c)</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 (d)</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(gains) losses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 net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Company terminated its US DB Plan generating pension settlement costs of $1,722.</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2023, the Company sold substantially all the operating assets of its Chemtec business, which was inclusive of its entire Precision Measurement Products and Services division, generating a $2,065 pre-tax loss.</w:t>
      </w:r>
    </w:p>
    <w:p>
      <w:pPr>
        <w:spacing w:after="0" w:line="1" w:lineRule="exact"/>
        <w:rPr>
          <w:rFonts w:ascii="Times New Roman" w:cs="Times New Roman" w:eastAsia="Times New Roman" w:hAnsi="Times New Roman"/>
          <w:sz w:val="18"/>
          <w:szCs w:val="18"/>
          <w:color w:val="auto"/>
        </w:rPr>
      </w:pPr>
    </w:p>
    <w:p>
      <w:pPr>
        <w:ind w:left="500" w:hanging="330"/>
        <w:spacing w:after="0" w:line="281" w:lineRule="auto"/>
        <w:tabs>
          <w:tab w:leader="none" w:pos="4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2023, the Company sold substantially all the operating assets of the Ties business, located in Spokane, WA, generating a $1,009 loss on the sale.</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2023, the Company received $38 and $215 in insurance proceeds,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Restructuring Costs</w:t>
      </w:r>
    </w:p>
    <w:p>
      <w:pPr>
        <w:spacing w:after="0" w:line="67"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has been completed as of December 31, 2024.</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restructuring costs by segment for the year ended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9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9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1"/>
        </w:trPr>
        <w:tc>
          <w:tcPr>
            <w:tcW w:w="9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3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5" w:name="page66"/>
    <w:bookmarkEnd w:id="6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$1,456 restructuring expense relates primarily to severance. Of the total restructuring costs incurred for the year ended December 31, 2024, $245 was recorded in “Cost of goods sold” and $1,211 was reported in “Selling and administrative expense.” The Company does not anticipate any additional restructuring expense to be incurred associated with this program.</w:t>
      </w:r>
    </w:p>
    <w:p>
      <w:pPr>
        <w:spacing w:after="0" w:line="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beginning and ending restructuring liability balance through December 31, 2024 (the remaining liability is expected to be paid in 2025):</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37"/>
        </w:trPr>
        <w:tc>
          <w:tcPr>
            <w:tcW w:w="9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7"/>
        </w:trPr>
        <w:tc>
          <w:tcPr>
            <w:tcW w:w="9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7"/>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9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 2025, the Company’s Board of Directors authorized the repurchase of up to $40,000 of the Company’s common stock in open market transactions and/or 10b5-1 trading plans through February 29, 2028. Any repurchases will be subject to the Company’s liquidity, including availability of borrowings and covenant compliance under its revolving credit facility, and other capital needs of the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Chief Financial Officer concluded that, due to a material weakness in our internal control over financial reporting described below, our disclosure controls and procedures were not effective as of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management of L.B. Foster Company is responsible for establishing and maintaining adequate internal control over financial reporting, as such term is defined in Exchange Act Rule 13a-15(f). L.B. Foster Company's internal control system is designed to provide reasonable assurance to the Company's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Accordingly, even effective controls can provide only reasonable assurance with respect to financial statement preparation and presentation.</w:t>
      </w:r>
    </w:p>
    <w:p>
      <w:pPr>
        <w:spacing w:after="0" w:line="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assessed the effectiveness of our internal control over financial reporting as of December 31, 2024. In making this assessment, management used criteria set forth by the Committee of Sponsoring Organizations of the Treadway Commission (“COSO”) in Internal Control - Integrated Framework (2013 Framework). Based on that evaluation, including the existence of the material weakness, discussed herein, the Chief Executive Officer and Chief Financial Officer concluded that our internal control over financial reporting was not effective as of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have identified the following material weakness in internal control over financial reporting as of December 31, 2024.</w:t>
      </w:r>
    </w:p>
    <w:p>
      <w:pPr>
        <w:spacing w:after="0" w:line="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discussed in our Amended 10-K and our Quarterly Reports on Form 10-Q/A for the quarters ended March 31, 2024 and June 30, 2024, the Company concluded it did not design effective controls related to the accounting for, and disclosure of, non-recurring complex transactions. This material weakness resulted in an immaterial error in the Company's previously issued Consolidated Statement of Operations included in the Original Form 10-K for the year ended December 31, 2023, and a material error in the Company’s previously issued Unaudited Condensed Consolidated Financial Statements, which errors were subsequently corrected in the above mentioned amendments for the fiscal period ending December 31, 2023 and the quarterly periods ending March 31, 2024 and June 30, 2024.</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6" w:name="page67"/>
    <w:bookmarkEnd w:id="6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Efforts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with the oversight of the Audit Committee of our Board of Directors, the Company will conduct more thorough and diligent accounting research and, when necessary, engage third-parties to assist with the accounting for, and disclosure of, non-recurring complex transactions.</w:t>
      </w:r>
    </w:p>
    <w:p>
      <w:pPr>
        <w:spacing w:after="0" w:line="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remediation efforts are intended both to address the identified material weakness and to enhance our overall internal control environment. The Company is committed to continuous improvement of its internal control over financial reporting and will continue to diligently review and enhance its internal controls, as necessary. The Company cannot be assured that the measures we have taken to date, or that we may take in the future, will be sufficient to remediate the material weakness we identified or avoid future material weaknesses. Accordingly, there could continue to be a reasonable possibility that a material misstatement of our consolidated financial statements would not be prevented or detected on a timely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were no changes to our “internal control over financial reporting” (as such term is defined in Rules 13a-15(f) and 15d-15(f) under the Exchange Act) that occurred during the year ended December 31, 2024, and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7" w:name="page68"/>
    <w:bookmarkEnd w:id="6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L.B. Foster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have audited L.B. Foster Company and subsidiaries’ internal control over financial reporting as of December 31, 2024, based on criteria established in Internal Control – Integrated Framework issued by the Committee of Sponsoring Organizations of the Treadway Commission (2013</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framework) (the COSO criteria). In our opinion, because of the effect of the material weakness described below on the achievement of the objectives of the control criteria, L.B. Foster Company and subsidiaries’ (the Company) has not maintained effective internal control over financial reporting as of December 31, 2024, based on the COSO criteria.</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of controls related to the accounting for, and disclosure of, non-recurring complex transactions.</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stockholders’ equity and cash flows for each of the two years in the period ended December 31, 2024, and the related notes and financial statement schedule listed in the Index at Item 15 (a)(2). This material weakness was considered in determining the nature, timing, and extent of audit tests applied in our audit of the 2024 consolidated financial statements, and this report does not affect our report dated March 7, 2025, which expressed an unqualified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thereon.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and the applicable rules and regulations of the Securities and Exchange Commission and the PCAOB.</w:t>
      </w:r>
    </w:p>
    <w:p>
      <w:pPr>
        <w:spacing w:after="0" w:line="19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8" w:name="page69"/>
    <w:bookmarkEnd w:id="6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Arrangements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w:t>
      </w:r>
    </w:p>
    <w:p>
      <w:pPr>
        <w:spacing w:after="0" w:line="1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67"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the directors of the Company is incorporated herein by reference to the information included in the Company’s definitive Proxy Statement for the 2025 Annual Meeting of Stockholders (the “Proxy Statement”) under the caption “Election of Directors.”</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the executive officers of the Company is set forth in Part I of this Annual Report on Form 10-K under the caption “Information about our Executive Officers” and is incorporated herein by reference.</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compliance with Section 16(a) of the Exchange Act is incorporated herein by reference to the information included in the Proxy Statement under the caption “Section 16(a) Beneficial Reporting Compliance,” if applicable.</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our Code of Ethics is set forth in Part I of this Annual Report on Form 10-K under the caption “Code of Ethics” and is incorporated herein by reference.</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our insider trading policy is incorporated herein by reference to the information included in the Proxy Statement under the captions “Insider Trading Policy” and “Anti-Hedging and Anti-Pledging Policy.”</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our nomination and governance committee, audit committee and the audit committee financial expert(s) is incorporated herein by reference to the information included in the Proxy Statement under the caption “Corporate Governance - Board Committees.”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herein by reference to the information included in the Proxy Statement under the captions “Director Compensation - 2024,” “Executive Compensation,” “Summary Compensation Table (2024, 2023, and 2022),” “Grants of Plan-Based Awards in 2024,” “Outstanding Equity Awards At 2024 Fiscal Year-End,” “2024 Options Exercises and Stock Vested,” “2024 Non-Qualified Deferred Compensation,” “Change-In-Control,” “Compensation Committee Interlocks and Insider Participation,” and “Compensation Committee Report.”</w:t>
      </w:r>
    </w:p>
    <w:p>
      <w:pPr>
        <w:spacing w:after="0" w:line="71" w:lineRule="exact"/>
        <w:rPr>
          <w:sz w:val="20"/>
          <w:szCs w:val="20"/>
          <w:color w:val="auto"/>
        </w:rPr>
      </w:pPr>
    </w:p>
    <w:p>
      <w:pPr>
        <w:ind w:right="6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Equity Compensation Plans</w:t>
      </w:r>
    </w:p>
    <w:p>
      <w:pPr>
        <w:spacing w:after="0" w:line="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Under the 2006 Omnibus Incentive Plan, as amended and restated in May 2018 (“Omnibus Plan”), and continuing under the 2022 Equity and Incentive Compensation Plan (“Equity and Incentive Compensation Plan”) approved by shareholders on June 2, 2022, as Amended and Restated on May 23, 2024, since May 2018, at each annual meeting of shareholders, where non-employee directors were elected or reelected, as part of their compensation, the non-employee members of the Board of Directors (“Board”) have received annual awards of forfeitable restricted shares subject to a one-year vesting requirement from the date of the grant. Prior to that date, such directors received fully-vested shares. During 2024, pursuant to the Equity and Incentive Compensation Plan, the Company issued approximately 22,000 shares of the Company’s common stock for the annual non-employee director equity award, which shares vest on the one-year anniversary of the date of grant. Commencing in 2020 and ending in December 2021, in addition to the annual restricted stock award, those non-employee directors serving on the Board Strategy Committee were awarded restricted shares on an annual basis subject to a one-year vesting requirement from the date of grant until that committee was disbanded in 2021. During 2024, a non-employee director has elected to receive fully vested stock in lieu of cash compensation. Through December 31, 2024, there were approximately 355,000 and 85,000 fully vested shares issued under the Omnibus Plan and Equity and Incentive Plan, respectively, to all non-employee directors who were serving at the time of grant or on the date of vesting of the underlying award. During the quarter ended June 30, 2017, the Nomination and Governance Committee and Board of Directors jointly approved the Deferred Compensation Plan for Non-Employee Directors under the Omnibus Plan, as amended and restated effective December 1, 2022 pursuant to the 2022 Equity and Incentive Compensation Plan, which permits non-employee directors of the Company to defer receipt of earned cash and/or stock compensation for service on the Board. As of December 31, 2024, no deferred share units were allotted to the accounts of non-employee directors pursuant to the Deferred Compensation Plan for Non-Employee Directors.</w:t>
      </w:r>
    </w:p>
    <w:p>
      <w:pPr>
        <w:spacing w:after="0" w:line="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grants eligible employees restricted stock and performance unit awards under the Omnibus Plan and Equity and Incentive Compensation Plans. The forfeitable restricted stock awards generally time-vest ratably over a three-year period, unless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9" w:name="page70"/>
    <w:bookmarkEnd w:id="6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indicated otherwise in the underlying restricted stock award agreement. Performance unit awards are offered annually under separate three-year long-term incentive programs. Performance units are subject to forfeiture and will be converted into common stock of the Company based upon the Company’s performance relative to performance measures and conversion multiples as defined in the underlying program. Commencing in 2022, performance units may be earned annually and converted into performance restricted stock units which settle in common stock at the end of the three year program.</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Since 2017, the Company has withheld shares of restricted stock for satisfaction of tax withholding obligations. During 2024 and 2023, the Company withheld 59,577 and 24,886 shares, respectively, for this purpose. The values of the shares withheld were $1,429 and $315 in 2024 and 2023, respectively.</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with respect to the tabular disclosure under Item 201(d) of Regulation S-K is incorporated herein by reference to the information included in the Proxy Statement under the caption “Securities Authorized for Issuance Under Equity Compensation Plans.”</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the beneficial ownership of the Company is incorporated herein by reference to the information included in the Proxy Statement under the caption “Stock Ownership.”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6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transactions with related persons is incorporated herein by reference to the information included in the Proxy Statement under the caption “Corporate Governance - Transactions With Related Parties.”</w:t>
      </w:r>
    </w:p>
    <w:p>
      <w:pPr>
        <w:spacing w:after="0" w:line="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director independence is incorporated herein by reference to information included in the Proxy Statement under the caption “Corporate Governance - The Board, Board Meetings, Independence, and Tenure.”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herein by reference to information included in the Proxy Statement under the caption “Independent Registered Public Accounting Firm Fees.”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70" w:name="page71"/>
    <w:bookmarkEnd w:id="7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169"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6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Reports of Independent Registered Public Accounting Firm (PCAOB ID: 42), consolidated financial statements, and accompanying notes are included in Item 8 of this Report: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and 2023.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2024 and 2023.</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9"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i w:val="1"/>
          <w:iCs w:val="1"/>
          <w:color w:val="auto"/>
        </w:rPr>
        <w:t>Financial Statement Schedule</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Schedules for the Years Ended December 31, 2024 and 2023:</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II – Valuation and Qualifying Accounts.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remaining schedules are omitted because of the absence of conditions upon which they are required.</w:t>
      </w:r>
    </w:p>
    <w:p>
      <w:pPr>
        <w:spacing w:after="0" w:line="169"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i w:val="1"/>
          <w:iCs w:val="1"/>
          <w:color w:val="auto"/>
        </w:rPr>
        <w:t>Exhibits</w:t>
      </w:r>
    </w:p>
    <w:p>
      <w:pPr>
        <w:spacing w:after="0" w:line="106" w:lineRule="exact"/>
        <w:rPr>
          <w:sz w:val="20"/>
          <w:szCs w:val="20"/>
          <w:color w:val="auto"/>
        </w:rPr>
      </w:pPr>
    </w:p>
    <w:p>
      <w:pPr>
        <w:ind w:firstLine="486"/>
        <w:spacing w:after="0" w:line="279" w:lineRule="auto"/>
        <w:rPr>
          <w:sz w:val="20"/>
          <w:szCs w:val="20"/>
          <w:color w:val="auto"/>
        </w:rPr>
      </w:pPr>
      <w:r>
        <w:rPr>
          <w:rFonts w:ascii="Times New Roman" w:cs="Times New Roman" w:eastAsia="Times New Roman" w:hAnsi="Times New Roman"/>
          <w:sz w:val="18"/>
          <w:szCs w:val="18"/>
          <w:color w:val="auto"/>
        </w:rPr>
        <w:t>The Index to Exhibits immediately following Part IV, Item 16, Form 10-K Summary, filed as part of this Annual Report on Form 10-K and is incorporated by reference herein.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adjustments (1)</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Notes and accounts receivable written off as uncollectible or allowance reversed.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4"/>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adjustments (1)</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1"/>
                <w:szCs w:val="21"/>
                <w:color w:val="auto"/>
              </w:rPr>
            </w:pPr>
          </w:p>
        </w:tc>
        <w:tc>
          <w:tcPr>
            <w:tcW w:w="6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40,125</w:t>
            </w:r>
          </w:p>
        </w:tc>
      </w:tr>
    </w:tbl>
    <w:p>
      <w:pPr>
        <w:spacing w:after="0" w:line="144" w:lineRule="exact"/>
        <w:rPr>
          <w:sz w:val="20"/>
          <w:szCs w:val="20"/>
          <w:color w:val="auto"/>
        </w:rPr>
      </w:pPr>
    </w:p>
    <w:p>
      <w:pPr>
        <w:ind w:firstLine="8"/>
        <w:spacing w:after="0" w:line="282"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consists primarily of adjustments related to unrealized income on interest rate swap contracts. 2024 consists primarily of adjustments related to foreign currency translation.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6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the Annual Report on Form 10-K under this Item 16. We have elected not to include such summary information.</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71" w:name="page72"/>
    <w:bookmarkEnd w:id="7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INDEX TO EXHIBITS</w:t>
      </w:r>
    </w:p>
    <w:p>
      <w:pPr>
        <w:spacing w:after="0" w:line="151" w:lineRule="exact"/>
        <w:rPr>
          <w:sz w:val="20"/>
          <w:szCs w:val="20"/>
          <w:color w:val="auto"/>
        </w:rPr>
      </w:pPr>
    </w:p>
    <w:p>
      <w:pPr>
        <w:ind w:left="20"/>
        <w:spacing w:after="0"/>
        <w:tabs>
          <w:tab w:leader="none" w:pos="5960" w:val="left"/>
        </w:tabs>
        <w:rPr>
          <w:sz w:val="20"/>
          <w:szCs w:val="20"/>
          <w:color w:val="auto"/>
        </w:rPr>
      </w:pPr>
      <w:r>
        <w:rPr>
          <w:rFonts w:ascii="Times New Roman" w:cs="Times New Roman" w:eastAsia="Times New Roman" w:hAnsi="Times New Roman"/>
          <w:sz w:val="14"/>
          <w:szCs w:val="14"/>
          <w:b w:val="1"/>
          <w:bCs w:val="1"/>
          <w:u w:val="single" w:color="auto"/>
          <w:color w:val="auto"/>
        </w:rPr>
        <w:t>Exhibit 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ectPr>
          <w:pgSz w:w="11900" w:h="16838" w:orient="portrait"/>
          <w:cols w:equalWidth="0" w:num="1">
            <w:col w:w="11220"/>
          </w:cols>
          <w:pgMar w:left="320" w:top="178" w:right="359" w:bottom="1440" w:gutter="0" w:footer="0" w:header="0"/>
        </w:sect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 **</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Restated Certificate of Incorporation of the Company, incorporated by reference to Exhibit 3.1 to the Company’s Quarterly Report on</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Form 10-Q for the quarter ended March 31, 2003, File No. 0-10436, filed on May 13, 2003.</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Amended and Restated Bylaws of the Company, incorporated by reference to Exhibit 3.1 to the Company’s Quarterly Report on Form</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10-Q for the quarter ended June 30, 2023, File No. 0-10436, filed on August 8, 2023.</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Capital Stock of L.B. Foster Company.</w:t>
      </w:r>
    </w:p>
    <w:p>
      <w:pPr>
        <w:spacing w:after="0" w:line="117" w:lineRule="exact"/>
        <w:rPr>
          <w:sz w:val="20"/>
          <w:szCs w:val="20"/>
          <w:color w:val="auto"/>
        </w:rPr>
      </w:pPr>
    </w:p>
    <w:p>
      <w:pPr>
        <w:jc w:val="both"/>
        <w:spacing w:after="0" w:line="261"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Second Amendment dated January 29, 2021 to the Third Amended and Restated Credit Agreement dated April 30, 2019 between</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Registrant and PNC Bank, N.A., Bank of America, N.A., Wells Fargo Bank, National Association, Citizens Bank, N.A., and BMO</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Harris Bank, National Association is incorporated herein by reference to Exhibit 10.3 to the Current Report on Form 8-K, File No. 0-</w:t>
        </w:r>
      </w:hyperlink>
      <w:hyperlink r:id="rId87">
        <w:r>
          <w:rPr>
            <w:rFonts w:ascii="Times New Roman" w:cs="Times New Roman" w:eastAsia="Times New Roman" w:hAnsi="Times New Roman"/>
            <w:sz w:val="18"/>
            <w:szCs w:val="18"/>
            <w:u w:val="single" w:color="auto"/>
            <w:color w:val="0000FF"/>
          </w:rPr>
          <w:t>10436, filed on February 4, 2021.</w:t>
        </w:r>
      </w:hyperlink>
    </w:p>
    <w:p>
      <w:pPr>
        <w:spacing w:after="0" w:line="72"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Fourth Amended and Restated Credit Agreement dated August 13, 2021, between Registrant and PNC Bank, Citizens Bank, N.A.,</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Wells Fargo Bank, National Association, Bank of America, N.A., and BMO Harris Bank, National Association is incorporated herein</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by reference to Exhibit 10.1 to the Current Report on Form 8-K, File No. 0-10436, filed on August 16, 2021.</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Second Amendment dated August 12, 2022 to the Fourth Amended and Restated Credit Agreement dated August 13, 2021, between</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Registrant and PNC Bank, Citizens Bank, N.A., Wells Fargo Bank, National Association, Bank of America, N.A., and BMO Harris</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Bank, National Association is incorporated herein by reference to Exhibit 10.2 to the Current Report on Form 8-K/A, File No. 0-10436,</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filed on August 18, 2022.</w:t>
        </w:r>
      </w:hyperlink>
    </w:p>
    <w:p>
      <w:pPr>
        <w:spacing w:after="0" w:line="72"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2006 Omnibus Incentive Plan, as amended and restated on May 25, 2016, incorporated by reference to Exhibit 99.1 to the Company’s</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Current Report on Form 8-K, File No. 0-10436, filed on May 27, 2016.</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Amended Form of Restricted Stock Agreement (for grants made on or after December 23, 2011), incorporated by reference to Exhibit</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10.2 to the Company’s Current Report on Form 8-K, File No. 0-10436, filed on December 21, 2011.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Restated Supplemental Executive Retirement Plan, incorporated by reference to Exhibit 10.1 to the Company’s Quarterly Report on</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Form 10-Q for the quarter ended June 30, 2012, File No. 0-10436, filed on August 9, 2012.</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Leased Vehicle Plan as amended and restated on September 1, 2007, incorporated by reference to Exhibit 10.46 to the Company’s</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Annual Report on Form 10-K for the year ended December 31, 2010, File No. 0-10436, filed on March 16, 2011.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Executive Annual Incentive Compensation Plan (as Amended and Restated), incorporated by reference to Exhibit 10.7 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Company’s Quarterly Report on Form 10-Q for the quarter ended March 31, 2018, File no. 0-10436, filed on May 2, 2018.</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Amended and Restated 2006 Omnibus Incentive Plan, effective as of May 24, 2018,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Company’s Quarterly Report on Form 10-Q for the quarter ended June 30, 2018, File no. 0-10436, filed on July 31, 2018.</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2021 Executive Annual Incentive Compensation Plan, incorporated by reference to Exhibit 10.1 to the Company’s Quarterly Report on</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Form 10-Q for the quarter ended March 31, 2021, File no. 0-10436, filed on May 5, 2021.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Form of Restricted Stock Award Agreement (2021), incorporated by reference to Exhibit 10.2 to the Company’s Quarterly Report on</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Form 10-Q for the quarter ended March 31, 2021, File no. 0-10436, filed on May 5, 2021.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Long Term Incentive Performance Share Unit Program (2021-2023),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Quarterly Report on Form 10-Q for the quarter ended March 31, 2021, File no. 0-10436, filed on May 5, 2021.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Form of Performance Share Unit Award Agreement (2021-2023),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Report on Form 10-Q for the quarter ended March 31, 2021, File no. 0-10436, filed on May 5, 2021.</w:t>
        </w:r>
      </w:hyperlink>
    </w:p>
    <w:p>
      <w:pPr>
        <w:spacing w:after="0" w:line="5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Performance-Based Stock Award Retention Program (2021-2026), incorporated by reference to Exhibit 10.5 to the Company’s</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Quarterly Report on Form 10-Q for the quarter ended March 31, 2021, File no. 0-10436, filed on May 5, 2021.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Amended and Restated Key Employee Separation Plan (February 17, 2021), incorporated by reference to Exhibit 10.6 to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Company’s Quarterly Report on Form 10-Q for the quarter ended March 31, 2021, File no. 0-10436, filed on May 5, 2021.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2022 Executive Annual Incentive Compensation Plan, incorporated by reference to Exhibit 10.1 to the Company’s Quarterly Report on</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Form 10-Q for the quarter ended March 31, 2022, File no. 0-10436, filed on May 10, 2022.</w:t>
        </w:r>
      </w:hyperlink>
    </w:p>
    <w:p>
      <w:pPr>
        <w:spacing w:after="0" w:line="200" w:lineRule="exact"/>
        <w:rPr>
          <w:sz w:val="20"/>
          <w:szCs w:val="20"/>
          <w:color w:val="auto"/>
        </w:rPr>
      </w:pPr>
    </w:p>
    <w:p>
      <w:pPr>
        <w:sectPr>
          <w:pgSz w:w="11900" w:h="16838" w:orient="portrait"/>
          <w:cols w:equalWidth="0" w:num="2">
            <w:col w:w="720" w:space="720"/>
            <w:col w:w="9780"/>
          </w:cols>
          <w:pgMar w:left="320" w:top="178" w:right="359" w:bottom="1440" w:gutter="0" w:footer="0" w:header="0"/>
          <w:type w:val="continuous"/>
        </w:sectPr>
      </w:pPr>
    </w:p>
    <w:p>
      <w:pPr>
        <w:spacing w:after="0" w:line="28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type w:val="continuous"/>
        </w:sectPr>
      </w:pPr>
    </w:p>
    <w:bookmarkStart w:id="72" w:name="page73"/>
    <w:bookmarkEnd w:id="72"/>
    <w:p>
      <w:pPr>
        <w:ind w:left="48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200"/>
          </w:cols>
          <w:pgMar w:left="340" w:top="1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 **</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 **</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10.29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 **</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 **</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Form of Restricted Stock Award Agreement (2022), incorporated by reference to Exhibit 10.2 to the Company’s Quarterly Report on</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Form 10-Q for the quarter ended March 31, 2022, File no. 0-10436, filed on May 10, 2022.</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Form of Performance Share Unit Award Agreement (2022-2024), incorporated by reference to Exhibit 10.3 to the Company’s Quarterly</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Report on Form 10-Q for the quarter ended March 31, 2022, File no. 0-10436, filed on May 10, 2022.</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Strategy Transformation Plan Description and Award (2022-2025),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Quarterly Report on Form 10-Q for the quarter ended June 30, 2022, File no. 0-10436, filed on August 9, 2022.</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2022 Director Restricted Stock Award, incorporated by reference to Exhibit 10.3 to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the quarter ended June 30, 2022, File no. 0-10436, filed on August 9, 2022.</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Deferred Compensation Plan for Non-Employee Directors Under the 2022 Equity and Incentive Compensation Plan, incorporated by</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reference to the Company’s Annual Report on Form 10-K for the fiscal year ended December 31, 2022, File no. 0-10436, filed on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March 10, 2023.</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2023 Executive Annual Incentive Plan, incorporated by reference to Exhibit 10.1 to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the quarter ended March 31, 2023, File no. 000-10436, filed on May 10, 2023.</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Form of Restricted Stock Award Agreement (2023), incorporated by reference to Exhibit 10.2 to the Company’s Quarterly Report on</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Form 10-Q for the quarter ended March 31, 2023, File no. 000-10436, filed on May 10, 2023.</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Form of Performance Share Unit Award Agreement and Long Term Incentive Performance Share Unit Program (2023-2025),</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incorporated by reference to Exhibit 10.3 to the Company’s Quarterly Report on Form 10-Q for the quarter ended March 31, 2023, File</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no. 000-10436, filed on May 10, 2023.</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Executive Annual Incentive Compensation Plan (As Amended and Restated October 24, 2023), incorporated by reference to Exhibit</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10.1 to the Company’s Quarterly Report on Form 10-Q for the quarter ended September 30, 2023, File no. 000-10436, filed on</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November 7, 2023.</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Supplemental Executive Retirement Plan (As Amended and Restated October 24, 2023),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the Company’s Quarterly Report on Form 10-Q for the quarter ended September 30, 2023, File no. 000-10436, filed on November 7,</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2023.</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Key Employee Separation Plan (As Amended and Restated October 24, 2023),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Company’s Quarterly Report on Form 10-Q for the quarter ended September 30, 2023, File no. 000-10436, filed on November 7, 2023.</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2023 Executive Annual Incentive Plan (October 24, 2023), incorporated by reference to Exhibit 10.6 to the Company’s Quarterly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Report on Form 10-Q for the quarter ended September 30, 2023, File no. 000-10436, filed on November 7, 2023.</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Cooperation Agreement, effective as of January 25, 2024, between L.B. Foster Company and certain Investors specified therein,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incorporated by reference to Exhibit 10.1 to the Company’s Current Report on Form 8-K, File no. 000-10436, filed on January 26,</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2024.</w:t>
        </w:r>
      </w:hyperlink>
    </w:p>
    <w:p>
      <w:pPr>
        <w:spacing w:after="0" w:line="6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2024 Executive Annual Incentive Compensation Plan **</w:t>
      </w:r>
    </w:p>
    <w:p>
      <w:pPr>
        <w:spacing w:after="0" w:line="117"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Retirement Agreement and General Release, dated June 30, 2024, between L.B. Foster Company, a Pennsylvania corporation, and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William F. Treacy, incorporated by reference to Exhibit 10.1 to the Company's Quarterly Report on Form 10-Q/A for the quarter ended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June 30, 2024, File no. 000-10436, filed on November 4, 2024.</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2022 Equity and Incentive Compensation Plan (As Amended and Restated May 23, 2024), incorporated by reference to Exhibit 99.1 to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the Company’s Registration Statement on Form S-8, File no. 333-279648, filed on May 23, 2024. **</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Insider Trading Policy of L.B. Foster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under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under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under Section 906 of the Sarbanes-Oxley Act of 2002.</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u w:val="single" w:color="auto"/>
          <w:color w:val="0000FF"/>
        </w:rPr>
        <w:t>Amended and Restated Executive Recoupment Policy (October 24, 2023), incorporated by reference to Exhibit 10.4 to the Company’s Quarterly Report on Form 10-Q for the quarter ended September 30, 2023, File no. 000-10436, filed on November 7,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640"/>
            <w:col w:w="9780"/>
          </w:cols>
          <w:pgMar w:left="340" w:top="178" w:right="359" w:bottom="1440" w:gutter="0" w:footer="0" w:header="0"/>
          <w:type w:val="continuous"/>
        </w:sectPr>
      </w:pPr>
    </w:p>
    <w:p>
      <w:pPr>
        <w:spacing w:after="0" w:line="34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8" w:right="359" w:bottom="1440" w:gutter="0" w:footer="0" w:header="0"/>
          <w:type w:val="continuous"/>
        </w:sectPr>
      </w:pPr>
    </w:p>
    <w:bookmarkStart w:id="73" w:name="page74"/>
    <w:bookmarkEnd w:id="73"/>
    <w:p>
      <w:pPr>
        <w:ind w:left="48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160"/>
          </w:cols>
          <w:pgMar w:left="340" w:top="17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p>
      <w:pPr>
        <w:spacing w:after="0" w:line="74" w:lineRule="exact"/>
        <w:rPr>
          <w:sz w:val="20"/>
          <w:szCs w:val="20"/>
          <w:color w:val="auto"/>
        </w:rPr>
      </w:pPr>
    </w:p>
    <w:p>
      <w:pPr>
        <w:sectPr>
          <w:pgSz w:w="11900" w:h="16838" w:orient="portrait"/>
          <w:cols w:equalWidth="0" w:num="2">
            <w:col w:w="780" w:space="640"/>
            <w:col w:w="9740"/>
          </w:cols>
          <w:pgMar w:left="340" w:top="17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74" w:lineRule="exact"/>
        <w:rPr>
          <w:sz w:val="20"/>
          <w:szCs w:val="20"/>
          <w:color w:val="auto"/>
        </w:rPr>
      </w:pPr>
    </w:p>
    <w:p>
      <w:pPr>
        <w:sectPr>
          <w:pgSz w:w="11900" w:h="16838" w:orient="portrait"/>
          <w:cols w:equalWidth="0" w:num="2">
            <w:col w:w="740" w:space="680"/>
            <w:col w:w="9740"/>
          </w:cols>
          <w:pgMar w:left="340" w:top="17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sz w:val="20"/>
          <w:szCs w:val="20"/>
          <w:color w:val="auto"/>
        </w:rPr>
      </w:pPr>
    </w:p>
    <w:p>
      <w:pPr>
        <w:sectPr>
          <w:pgSz w:w="11900" w:h="16838" w:orient="portrait"/>
          <w:cols w:equalWidth="0" w:num="2">
            <w:col w:w="700" w:space="720"/>
            <w:col w:w="9740"/>
          </w:cols>
          <w:pgMar w:left="340" w:top="178" w:right="39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Exhibits are filed herewith.</w:t>
      </w:r>
    </w:p>
    <w:p>
      <w:pPr>
        <w:spacing w:after="0" w:line="74" w:lineRule="exact"/>
        <w:rPr>
          <w:sz w:val="20"/>
          <w:szCs w:val="20"/>
          <w:color w:val="auto"/>
        </w:rPr>
      </w:pPr>
    </w:p>
    <w:p>
      <w:pPr>
        <w:sectPr>
          <w:pgSz w:w="11900" w:h="16838" w:orient="portrait"/>
          <w:cols w:equalWidth="0" w:num="2">
            <w:col w:w="700" w:space="720"/>
            <w:col w:w="9740"/>
          </w:cols>
          <w:pgMar w:left="340" w:top="178" w:right="399" w:bottom="1440" w:gutter="0" w:footer="0" w:header="0"/>
          <w:type w:val="continuous"/>
        </w:sectPr>
      </w:pPr>
    </w:p>
    <w:p>
      <w:pPr>
        <w:ind w:left="1420" w:hanging="1414"/>
        <w:spacing w:after="0" w:line="281"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represents a management contract or compensatory plan, contract or arrangement required to be filed as Exhibits to this Annual Report on Form 10-K.</w:t>
      </w:r>
    </w:p>
    <w:p>
      <w:pPr>
        <w:spacing w:after="0" w:line="1" w:lineRule="exact"/>
        <w:rPr>
          <w:rFonts w:ascii="Times New Roman" w:cs="Times New Roman" w:eastAsia="Times New Roman" w:hAnsi="Times New Roman"/>
          <w:sz w:val="18"/>
          <w:szCs w:val="18"/>
          <w:color w:val="auto"/>
        </w:rPr>
      </w:pPr>
    </w:p>
    <w:p>
      <w:pPr>
        <w:ind w:left="1420"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omitted pursuant to Item 601(a)(5) of Regulation S-K. The registrant will furnish a copy of any omitted schedule or exhibit as a supplement to the SEC or its staff upon request.</w:t>
      </w:r>
    </w:p>
    <w:p>
      <w:pPr>
        <w:spacing w:after="0" w:line="200" w:lineRule="exact"/>
        <w:rPr>
          <w:sz w:val="20"/>
          <w:szCs w:val="20"/>
          <w:color w:val="auto"/>
        </w:rPr>
      </w:pPr>
    </w:p>
    <w:p>
      <w:pPr>
        <w:spacing w:after="0" w:line="28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78" w:right="399" w:bottom="1440" w:gutter="0" w:footer="0" w:header="0"/>
          <w:type w:val="continuous"/>
        </w:sectPr>
      </w:pPr>
    </w:p>
    <w:bookmarkStart w:id="74" w:name="page75"/>
    <w:bookmarkEnd w:id="7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L.B. FOSTER COMPANY</w:t>
            </w:r>
          </w:p>
        </w:tc>
      </w:tr>
      <w:tr>
        <w:trPr>
          <w:trHeight w:val="291"/>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740" w:type="dxa"/>
            <w:vAlign w:val="bottom"/>
          </w:tcPr>
          <w:p>
            <w:pPr>
              <w:spacing w:after="0"/>
              <w:rPr>
                <w:sz w:val="24"/>
                <w:szCs w:val="24"/>
                <w:color w:val="auto"/>
              </w:rPr>
            </w:pPr>
          </w:p>
        </w:tc>
      </w:tr>
      <w:tr>
        <w:trPr>
          <w:trHeight w:val="49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Date: </w:t>
            </w:r>
            <w:r>
              <w:rPr>
                <w:rFonts w:ascii="Times New Roman" w:cs="Times New Roman" w:eastAsia="Times New Roman" w:hAnsi="Times New Roman"/>
                <w:sz w:val="18"/>
                <w:szCs w:val="18"/>
                <w:b w:val="1"/>
                <w:bCs w:val="1"/>
                <w:color w:val="auto"/>
                <w:w w:val="98"/>
              </w:rPr>
              <w:t>March 7, 2025</w:t>
            </w:r>
          </w:p>
        </w:tc>
        <w:tc>
          <w:tcPr>
            <w:tcW w:w="8900" w:type="dxa"/>
            <w:vAlign w:val="bottom"/>
            <w:gridSpan w:val="4"/>
          </w:tcPr>
          <w:p>
            <w:pPr>
              <w:ind w:left="5800"/>
              <w:spacing w:after="0"/>
              <w:rPr>
                <w:sz w:val="20"/>
                <w:szCs w:val="20"/>
                <w:color w:val="auto"/>
              </w:rPr>
            </w:pPr>
            <w:r>
              <w:rPr>
                <w:rFonts w:ascii="Times New Roman" w:cs="Times New Roman" w:eastAsia="Times New Roman" w:hAnsi="Times New Roman"/>
                <w:sz w:val="18"/>
                <w:szCs w:val="18"/>
                <w:b w:val="1"/>
                <w:bCs w:val="1"/>
                <w:color w:val="auto"/>
              </w:rPr>
              <w:t>By:  /s/ John F. Kasel</w:t>
            </w:r>
          </w:p>
        </w:tc>
      </w:tr>
      <w:tr>
        <w:trPr>
          <w:trHeight w:val="291"/>
        </w:trPr>
        <w:tc>
          <w:tcPr>
            <w:tcW w:w="4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320" w:type="dxa"/>
            <w:vAlign w:val="bottom"/>
            <w:gridSpan w:val="2"/>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pacing w:after="0" w:line="198"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44"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14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50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w w:val="98"/>
              </w:rPr>
              <w:t>Raymond T. Betler</w:t>
            </w:r>
          </w:p>
        </w:tc>
        <w:tc>
          <w:tcPr>
            <w:tcW w:w="1240" w:type="dxa"/>
            <w:vAlign w:val="bottom"/>
            <w:gridSpan w:val="4"/>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1"/>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(Raymond T. Betler)</w:t>
            </w: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John F. Kasel</w:t>
            </w:r>
          </w:p>
        </w:tc>
        <w:tc>
          <w:tcPr>
            <w:tcW w:w="1640" w:type="dxa"/>
            <w:vAlign w:val="bottom"/>
            <w:gridSpan w:val="7"/>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1"/>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Director</w:t>
            </w: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Alexander B. Jones</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1"/>
        </w:trPr>
        <w:tc>
          <w:tcPr>
            <w:tcW w:w="300" w:type="dxa"/>
            <w:vAlign w:val="bottom"/>
          </w:tcPr>
          <w:p>
            <w:pPr>
              <w:spacing w:after="0"/>
              <w:rPr>
                <w:sz w:val="24"/>
                <w:szCs w:val="24"/>
                <w:color w:val="auto"/>
              </w:rPr>
            </w:pPr>
          </w:p>
        </w:tc>
        <w:tc>
          <w:tcPr>
            <w:tcW w:w="19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(Alexander B. Jones)</w:t>
            </w:r>
          </w:p>
        </w:tc>
        <w:tc>
          <w:tcPr>
            <w:tcW w:w="1220" w:type="dxa"/>
            <w:vAlign w:val="bottom"/>
            <w:gridSpan w:val="3"/>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John E. Kunz</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1"/>
        </w:trPr>
        <w:tc>
          <w:tcPr>
            <w:tcW w:w="300" w:type="dxa"/>
            <w:vAlign w:val="bottom"/>
          </w:tcPr>
          <w:p>
            <w:pPr>
              <w:spacing w:after="0"/>
              <w:rPr>
                <w:sz w:val="24"/>
                <w:szCs w:val="24"/>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(John E. Kunz)</w:t>
            </w:r>
          </w:p>
        </w:tc>
        <w:tc>
          <w:tcPr>
            <w:tcW w:w="1640" w:type="dxa"/>
            <w:vAlign w:val="bottom"/>
            <w:gridSpan w:val="7"/>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Janet Lee</w:t>
            </w:r>
          </w:p>
        </w:tc>
        <w:tc>
          <w:tcPr>
            <w:tcW w:w="1920" w:type="dxa"/>
            <w:vAlign w:val="bottom"/>
            <w:gridSpan w:val="8"/>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1"/>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(Janet Lee)</w:t>
            </w: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David J. Meyer</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345"/>
        </w:trPr>
        <w:tc>
          <w:tcPr>
            <w:tcW w:w="300" w:type="dxa"/>
            <w:vAlign w:val="bottom"/>
          </w:tcPr>
          <w:p>
            <w:pPr>
              <w:spacing w:after="0"/>
              <w:rPr>
                <w:sz w:val="24"/>
                <w:szCs w:val="24"/>
                <w:color w:val="auto"/>
              </w:rPr>
            </w:pPr>
          </w:p>
        </w:tc>
        <w:tc>
          <w:tcPr>
            <w:tcW w:w="16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(David J. Meyer)</w:t>
            </w:r>
          </w:p>
        </w:tc>
        <w:tc>
          <w:tcPr>
            <w:tcW w:w="1500" w:type="dxa"/>
            <w:vAlign w:val="bottom"/>
            <w:gridSpan w:val="5"/>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Diane B. Owen</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1"/>
        </w:trPr>
        <w:tc>
          <w:tcPr>
            <w:tcW w:w="300" w:type="dxa"/>
            <w:vAlign w:val="bottom"/>
          </w:tcPr>
          <w:p>
            <w:pPr>
              <w:spacing w:after="0"/>
              <w:rPr>
                <w:sz w:val="24"/>
                <w:szCs w:val="24"/>
                <w:color w:val="auto"/>
              </w:rPr>
            </w:pPr>
          </w:p>
        </w:tc>
        <w:tc>
          <w:tcPr>
            <w:tcW w:w="16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(Diane B. Owen)</w:t>
            </w:r>
          </w:p>
        </w:tc>
        <w:tc>
          <w:tcPr>
            <w:tcW w:w="1500" w:type="dxa"/>
            <w:vAlign w:val="bottom"/>
            <w:gridSpan w:val="5"/>
          </w:tcPr>
          <w:p>
            <w:pPr>
              <w:spacing w:after="0"/>
              <w:rPr>
                <w:sz w:val="24"/>
                <w:szCs w:val="24"/>
                <w:color w:val="auto"/>
              </w:rPr>
            </w:pP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5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w w:val="99"/>
              </w:rPr>
              <w:t>Bruce E. Thompson</w:t>
            </w:r>
          </w:p>
        </w:tc>
        <w:tc>
          <w:tcPr>
            <w:tcW w:w="1160" w:type="dxa"/>
            <w:vAlign w:val="bottom"/>
            <w:gridSpan w:val="2"/>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0"/>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(Bruce E. Thompson)</w:t>
            </w:r>
          </w:p>
        </w:tc>
        <w:tc>
          <w:tcPr>
            <w:tcW w:w="47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5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William M. Thalman</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0"/>
        </w:trPr>
        <w:tc>
          <w:tcPr>
            <w:tcW w:w="300" w:type="dxa"/>
            <w:vAlign w:val="bottom"/>
          </w:tcPr>
          <w:p>
            <w:pPr>
              <w:spacing w:after="0"/>
              <w:rPr>
                <w:sz w:val="24"/>
                <w:szCs w:val="24"/>
                <w:color w:val="auto"/>
              </w:rPr>
            </w:pPr>
          </w:p>
        </w:tc>
        <w:tc>
          <w:tcPr>
            <w:tcW w:w="20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10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10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1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9"/>
              </w:rPr>
              <w:t>Sean M. Reilly</w:t>
            </w:r>
          </w:p>
        </w:tc>
        <w:tc>
          <w:tcPr>
            <w:tcW w:w="1520" w:type="dxa"/>
            <w:vAlign w:val="bottom"/>
            <w:gridSpan w:val="6"/>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21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March 7, 2025</w:t>
            </w:r>
          </w:p>
        </w:tc>
      </w:tr>
      <w:tr>
        <w:trPr>
          <w:trHeight w:val="290"/>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33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78"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64"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following is a brief description of the common stock, par value $0.01 per share (“Common Stock”), of the L.B. Foster Company (the “Company”), which is the only security of the Company registered under Section 12 of the Securities Exchange Act of 1934, as amended. The summary of the terms of the Common Stock is not complete and is subject to, and qualified in its entirety by reference to, the relevant provisions of the laws of the Commonwealth of Pennsylvania, including the Pennsylvania Business Corporation Law (“PBCL”), the Company’s Articles of Incorporation (“Articles of Incorporation”) and its Bylaws (the “Bylaws”). Copies of the Articles of Incorporation and Bylaws have been filed with the Securities and Exchange Commission and are incorporated by reference as an exhibit to the Annual Report on Form 10-K of which this Exhibit 4.1 is a part. We encourage you to read our Articles of Incorporation and Bylaws for additional information.</w:t>
      </w:r>
    </w:p>
    <w:p>
      <w:pPr>
        <w:spacing w:after="0" w:line="3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Overview of Capital Stock</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54"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Our authorized capital shares consist of 20,000,000 shares of Common Stock and 5,000,000 shares of preferred stock (“Preferred Stock”). The Board of Directors of the Company (the “Board of Directors”) may issue Preferred Stock from time to time. Subject to the limits imposed by the PBCL, our Board of Directors is authorized to divide the authorized and unissued shares of Preferred Stock into classes or series, or both, and to determine for any such class or series its designation and the number of shares of the class or series and the voting rights, preferences, limitations and special rights, if any, of the class or series. As of December 31, 2024, no shares of Preferred Stock were registered or outstanding.</w:t>
      </w:r>
    </w:p>
    <w:p>
      <w:pPr>
        <w:spacing w:after="0" w:line="3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54"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shareholders, including the election of directors. Our Common Stock does not have cumulative voting rights and our Board of Directors is not classified. Except as otherwise provided in the PBCL, Articles of Incorporation or Bylaws, actions by shareholders shall be effective upon the affirmative vote of a majority of the votes cast by all shareholders entitled to vote thereon and, if any shareholders are entitled to vote thereon as a class, upon receiving the affirmative vote of a majority of the votes cast by the shareholders entitled to vote as a class. The Bylaws provide that, in the case of director elections, candidates receiving the highest number of votes from each class or group of classes shall be elected (i.e., plurality vote standard).</w:t>
      </w:r>
    </w:p>
    <w:p>
      <w:pPr>
        <w:spacing w:after="0" w:line="3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affirmative vote of no less than two-thirds of the votes that all shareholders are entitled to cast is required to amend certain provisions of the Bylaws regarding (i) advance notice of nominations and proposals (Section 2.05) and (ii) amendment of Bylaws (Section 7.02).</w:t>
      </w:r>
    </w:p>
    <w:p>
      <w:pPr>
        <w:spacing w:after="0" w:line="3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Subject to the rights of any Preferred Stock then outstanding, holders of Common Stock are entitled to receive dividends for each outstanding share, if any, as may be declared from time to time by the Board of Directors in its discretion out of funds legally available for the payment of dividends.</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6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either voluntarily or involuntarily, holders of Common Stock are entitled to receive, subject to any liquidation preference of any Preferred Stock then outstanding, the remaining assets of the Company available for distribution, if any, in proportion to the number of shares held.</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holders of Common Stock do not have any preemptive, redemption, sinking fund, or conversion rights and the Common Stock is not subject to any restriction on alienability, except as required by law.</w:t>
      </w:r>
    </w:p>
    <w:p>
      <w:pPr>
        <w:sectPr>
          <w:pgSz w:w="11900" w:h="16838" w:orient="portrait"/>
          <w:cols w:equalWidth="0" w:num="1">
            <w:col w:w="11240"/>
          </w:cols>
          <w:pgMar w:left="320" w:top="117" w:right="339" w:bottom="1440" w:gutter="0" w:footer="0" w:header="0"/>
        </w:sectPr>
      </w:pPr>
    </w:p>
    <w:bookmarkStart w:id="76" w:name="page77"/>
    <w:bookmarkEnd w:id="76"/>
    <w:p>
      <w:pPr>
        <w:ind w:left="4580"/>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Governance Document Provisions</w:t>
      </w:r>
    </w:p>
    <w:p>
      <w:pPr>
        <w:spacing w:after="0" w:line="67"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The Articles of Incorporation and Bylaws include certain provisions which may be considered to be “anti-takeover” in nature because they may have the effect of discouraging or making more difficult the acquisition of control by means of a hostile tender offer, exchange offer, proxy contest or similar transaction. The Company believes these provisions protect shareholders by providing a measure of assurance that shareholders will be treated fairly in the event of an unsolicited takeover bid and by preventing a successful takeover bidder from exercising its voting control to the detriment of the other shareholders.</w:t>
      </w:r>
    </w:p>
    <w:p>
      <w:pPr>
        <w:spacing w:after="0" w:line="3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provisions in the Articles of Incorporation and Bylaws (or lack thereof) which may be considered to be “anti-takeover” in nature include the following:</w:t>
      </w:r>
    </w:p>
    <w:p>
      <w:pPr>
        <w:ind w:left="660" w:right="20" w:hanging="328"/>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authorized but unissued capital stock, including the ability to issue a class or series, or both, of Preferred Stock whose rights and privileges may be determined by the Board of Directors;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does not permit shareholders to cumulate their votes for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limits the permissible number of directors;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requires, in certain circumstances, a greater than majority shareholder vote in order to amend the Bylaws and advance notice provisions set forth therein;</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requiring that advance notice be delivered to the Company of any business to be brought by an eligible shareholder before a meeting of shareholders and requiring certain procedures to be followed by shareholders in nominating candidates for election as directors;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for shareholders to call special meetings of shareholders;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for shareholders to act by partial written consent.</w:t>
      </w:r>
    </w:p>
    <w:p>
      <w:pPr>
        <w:spacing w:after="0" w:line="3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Pennsylvania Business Corporation Law Provisions</w:t>
      </w:r>
    </w:p>
    <w:p>
      <w:pPr>
        <w:spacing w:after="0" w:line="5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PBCL contains a number of statutory “anti-takeover” provisions, including Subchapters E, F, G and H of Chapter 25 and Sections 2521, 2524 and 2538 of the PBCL, which apply automatically to Pennsylvania registered corporations unless the corporation elects to opt-out of those provisions. The Company is a Pennsylvania registered corporation, and has elected to opt-out of certain provisions as described below. Descriptions of the anti-takeover provisions that the Company opted out of are qualified in their entirety by reference to the PBCL:</w:t>
      </w:r>
    </w:p>
    <w:p>
      <w:pPr>
        <w:spacing w:after="0" w:line="272" w:lineRule="exact"/>
        <w:rPr>
          <w:sz w:val="20"/>
          <w:szCs w:val="20"/>
          <w:color w:val="auto"/>
        </w:rPr>
      </w:pPr>
    </w:p>
    <w:p>
      <w:pPr>
        <w:jc w:val="both"/>
        <w:ind w:left="660" w:hanging="328"/>
        <w:spacing w:after="0" w:line="25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1715 (relating to exercise of powers generally) provides that the board of directors, when considering the best interests of the corporation generally, may consider the effects of an action upon any or all groups affected by the action, the short- and long-term interests of the corporation, and the resources, intent, and conduct of any person seeking to acquire control of the corporation. In considering the best interests of the corporation and the effect of an action, the board of directors shall not be required to regard the corporate interest or interest of any particular group as the dominant or controlling interest, and the act of the board of directors, absent any breach of fiduciary duty, shall be presumed to be in the best interest of the corporation.</w:t>
      </w:r>
    </w:p>
    <w:p>
      <w:pPr>
        <w:spacing w:after="0" w:line="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2538 of the PBCL generally establishes certain shareholder approval requirements with respect to specified transactions with “interested shareholders.”</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E (relating to control transactions) generally provides that if any person or group acquires 20% or more of the Company’s voting power, the remaining holders of voting shares may demand from such person or group the fair value of their voting shares, including a proportionate amount of any control premium.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F (relating to business combinations) imposes conditions upon “business combinations,” including a five-year moratorium on certain “business combinations” unless certain conditions are met, between an “interested shareholder” and the Company. The term “business combination” is defined broadly to include various transactions between a corporation and an interested shareholder including mergers, sales or leases of specified amounts of assets, liquidations, reclassifications and issuances of specified amounts of additional shares of stock of the corporation. An “interested shareholder” is defined generally as the beneficial owner of at least 20% of a corporation’s voting shares.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G (relating to control share acquisitions) generally requires a shareholder vote to reinstate voting rights to control shares acquired by a 20% shareholder in a control-share acquisition.</w:t>
      </w: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H (relating to disgorgement of profits) generally requires a person or group that owns 20% or more of a company’s equity securities, or that publicly announces an intention to acquire control of a company, to disgorge within 24 months prior to, or within 18 months after, acquiring control status any profits received from a sale of the company’s shares.</w:t>
      </w:r>
    </w:p>
    <w:p>
      <w:pPr>
        <w:sectPr>
          <w:pgSz w:w="11900" w:h="16838" w:orient="portrait"/>
          <w:cols w:equalWidth="0" w:num="1">
            <w:col w:w="11240"/>
          </w:cols>
          <w:pgMar w:left="320" w:top="87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10.30</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Annual Executive Incentive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Compensation Plan (ExIP)</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L. B. FOSTER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2024 EXECUTIVE ANNUAL INCENTIVE COMPENSATION PROGRAM</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purpose of this document is to establish in writing the Performance Goals and other terms applicable to cash financial performance awards for each fiscal year of the Company that constitutes a Performance Period (the “Program” as authorized under, and subject to the terms of, the L.B. Foster Company Executive Annual Incentive Compensation Plan (the “Master ExIP”).</w:t>
      </w:r>
    </w:p>
    <w:p>
      <w:pPr>
        <w:spacing w:after="0" w:line="18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12" w:lineRule="exact"/>
        <w:rPr>
          <w:rFonts w:ascii="Arial" w:cs="Arial" w:eastAsia="Arial" w:hAnsi="Arial"/>
          <w:sz w:val="22"/>
          <w:szCs w:val="22"/>
          <w:b w:val="1"/>
          <w:bCs w:val="1"/>
          <w:color w:val="auto"/>
        </w:rPr>
      </w:pPr>
    </w:p>
    <w:p>
      <w:pPr>
        <w:ind w:left="660" w:hanging="328"/>
        <w:spacing w:after="0"/>
        <w:tabs>
          <w:tab w:leader="none" w:pos="651" w:val="left"/>
        </w:tabs>
        <w:numPr>
          <w:ilvl w:val="1"/>
          <w:numId w:val="16"/>
        </w:numPr>
        <w:rPr>
          <w:rFonts w:ascii="Arial" w:cs="Arial" w:eastAsia="Arial" w:hAnsi="Arial"/>
          <w:sz w:val="22"/>
          <w:szCs w:val="22"/>
          <w:color w:val="auto"/>
        </w:rPr>
      </w:pPr>
      <w:r>
        <w:rPr>
          <w:rFonts w:ascii="Arial" w:cs="Arial" w:eastAsia="Arial" w:hAnsi="Arial"/>
          <w:sz w:val="22"/>
          <w:szCs w:val="22"/>
          <w:color w:val="auto"/>
        </w:rPr>
        <w:t>Defined terms used but not defined herein shall have the meanings ascribed to them in the Master ExIP under which each annual Program is established.</w:t>
      </w:r>
    </w:p>
    <w:p>
      <w:pPr>
        <w:spacing w:after="0" w:line="201"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TERMS AND CONDITIONS</w:t>
      </w:r>
    </w:p>
    <w:p>
      <w:pPr>
        <w:spacing w:after="0" w:line="12" w:lineRule="exact"/>
        <w:rPr>
          <w:rFonts w:ascii="Arial" w:cs="Arial" w:eastAsia="Arial" w:hAnsi="Arial"/>
          <w:sz w:val="22"/>
          <w:szCs w:val="22"/>
          <w:b w:val="1"/>
          <w:bCs w:val="1"/>
          <w:color w:val="auto"/>
        </w:rPr>
      </w:pPr>
    </w:p>
    <w:p>
      <w:pPr>
        <w:ind w:left="660" w:right="20" w:hanging="328"/>
        <w:spacing w:after="0"/>
        <w:tabs>
          <w:tab w:leader="none" w:pos="651" w:val="left"/>
        </w:tabs>
        <w:numPr>
          <w:ilvl w:val="1"/>
          <w:numId w:val="17"/>
        </w:numPr>
        <w:rPr>
          <w:rFonts w:ascii="Arial" w:cs="Arial" w:eastAsia="Arial" w:hAnsi="Arial"/>
          <w:sz w:val="22"/>
          <w:szCs w:val="22"/>
          <w:color w:val="auto"/>
        </w:rPr>
      </w:pPr>
      <w:r>
        <w:rPr>
          <w:rFonts w:ascii="Arial" w:cs="Arial" w:eastAsia="Arial" w:hAnsi="Arial"/>
          <w:sz w:val="22"/>
          <w:szCs w:val="22"/>
          <w:color w:val="auto"/>
        </w:rPr>
        <w:t>Unless otherwise determined by the Committee, the Performance Period shall be one calendar year (January 1 through December 31).</w:t>
      </w:r>
    </w:p>
    <w:p>
      <w:pPr>
        <w:spacing w:after="0" w:line="68" w:lineRule="exact"/>
        <w:rPr>
          <w:rFonts w:ascii="Arial" w:cs="Arial" w:eastAsia="Arial" w:hAnsi="Arial"/>
          <w:sz w:val="22"/>
          <w:szCs w:val="22"/>
          <w:color w:val="auto"/>
        </w:rPr>
      </w:pPr>
    </w:p>
    <w:p>
      <w:pPr>
        <w:jc w:val="both"/>
        <w:ind w:left="660" w:hanging="328"/>
        <w:spacing w:after="0" w:line="234" w:lineRule="auto"/>
        <w:tabs>
          <w:tab w:leader="none" w:pos="651" w:val="left"/>
        </w:tabs>
        <w:numPr>
          <w:ilvl w:val="1"/>
          <w:numId w:val="17"/>
        </w:numPr>
        <w:rPr>
          <w:rFonts w:ascii="Arial" w:cs="Arial" w:eastAsia="Arial" w:hAnsi="Arial"/>
          <w:sz w:val="22"/>
          <w:szCs w:val="22"/>
          <w:color w:val="auto"/>
        </w:rPr>
      </w:pPr>
      <w:r>
        <w:rPr>
          <w:rFonts w:ascii="Arial" w:cs="Arial" w:eastAsia="Arial" w:hAnsi="Arial"/>
          <w:sz w:val="22"/>
          <w:szCs w:val="22"/>
          <w:color w:val="auto"/>
        </w:rPr>
        <w:t>Each Participant shall receive a cash award opportunity in an amount equal to the Participant’s base compensation multiplied by a target percentage established by the Committee based upon the position held by the Participant as approved by the Committee and set forth on Exhibit B (an “Award”), on file with the Committee (the “Target Percentage”). The amount of any Award earned and payable shall be calculated with reference to the percentage achievement of certain Performance Measures established by the Committee and as described below.</w:t>
      </w:r>
    </w:p>
    <w:p>
      <w:pPr>
        <w:spacing w:after="0" w:line="72" w:lineRule="exact"/>
        <w:rPr>
          <w:rFonts w:ascii="Arial" w:cs="Arial" w:eastAsia="Arial" w:hAnsi="Arial"/>
          <w:sz w:val="22"/>
          <w:szCs w:val="22"/>
          <w:color w:val="auto"/>
        </w:rPr>
      </w:pPr>
    </w:p>
    <w:p>
      <w:pPr>
        <w:ind w:left="660" w:hanging="328"/>
        <w:spacing w:after="0" w:line="259" w:lineRule="auto"/>
        <w:tabs>
          <w:tab w:leader="none" w:pos="652" w:val="left"/>
        </w:tabs>
        <w:numPr>
          <w:ilvl w:val="1"/>
          <w:numId w:val="17"/>
        </w:numPr>
        <w:rPr>
          <w:rFonts w:ascii="Arial" w:cs="Arial" w:eastAsia="Arial" w:hAnsi="Arial"/>
          <w:sz w:val="22"/>
          <w:szCs w:val="22"/>
          <w:color w:val="auto"/>
        </w:rPr>
      </w:pPr>
      <w:r>
        <w:rPr>
          <w:rFonts w:ascii="Arial" w:cs="Arial" w:eastAsia="Arial" w:hAnsi="Arial"/>
          <w:sz w:val="22"/>
          <w:szCs w:val="22"/>
          <w:color w:val="auto"/>
        </w:rPr>
        <w:t>A Participant’s base compensation shall be the Participant’s salary on March 1 of the applicable Performance Period, rounded to the nearest whole dollar.</w:t>
      </w:r>
    </w:p>
    <w:p>
      <w:pPr>
        <w:spacing w:after="0" w:line="48" w:lineRule="exact"/>
        <w:rPr>
          <w:rFonts w:ascii="Arial" w:cs="Arial" w:eastAsia="Arial" w:hAnsi="Arial"/>
          <w:sz w:val="22"/>
          <w:szCs w:val="22"/>
          <w:color w:val="auto"/>
        </w:rPr>
      </w:pPr>
    </w:p>
    <w:p>
      <w:pPr>
        <w:ind w:left="660" w:hanging="328"/>
        <w:spacing w:after="0" w:line="283" w:lineRule="auto"/>
        <w:tabs>
          <w:tab w:leader="none" w:pos="651" w:val="left"/>
        </w:tabs>
        <w:numPr>
          <w:ilvl w:val="1"/>
          <w:numId w:val="17"/>
        </w:numPr>
        <w:rPr>
          <w:rFonts w:ascii="Arial" w:cs="Arial" w:eastAsia="Arial" w:hAnsi="Arial"/>
          <w:sz w:val="21"/>
          <w:szCs w:val="21"/>
          <w:color w:val="auto"/>
        </w:rPr>
      </w:pPr>
      <w:r>
        <w:rPr>
          <w:rFonts w:ascii="Arial" w:cs="Arial" w:eastAsia="Arial" w:hAnsi="Arial"/>
          <w:sz w:val="21"/>
          <w:szCs w:val="21"/>
          <w:color w:val="auto"/>
        </w:rPr>
        <w:t>Participants in the Program are listed on Exhibit B on file with the Committee, which identifies each Participant’s title and Company operating unit, and Target Percentage for the applicable Performance Period.</w:t>
      </w:r>
    </w:p>
    <w:p>
      <w:pPr>
        <w:spacing w:after="0" w:line="24" w:lineRule="exact"/>
        <w:rPr>
          <w:rFonts w:ascii="Arial" w:cs="Arial" w:eastAsia="Arial" w:hAnsi="Arial"/>
          <w:sz w:val="21"/>
          <w:szCs w:val="21"/>
          <w:color w:val="auto"/>
        </w:rPr>
      </w:pPr>
    </w:p>
    <w:p>
      <w:pPr>
        <w:jc w:val="both"/>
        <w:ind w:left="660" w:hanging="328"/>
        <w:spacing w:after="0"/>
        <w:tabs>
          <w:tab w:leader="none" w:pos="651" w:val="left"/>
        </w:tabs>
        <w:numPr>
          <w:ilvl w:val="1"/>
          <w:numId w:val="17"/>
        </w:numPr>
        <w:rPr>
          <w:rFonts w:ascii="Arial" w:cs="Arial" w:eastAsia="Arial" w:hAnsi="Arial"/>
          <w:sz w:val="22"/>
          <w:szCs w:val="22"/>
          <w:color w:val="auto"/>
        </w:rPr>
      </w:pPr>
      <w:r>
        <w:rPr>
          <w:rFonts w:ascii="Arial" w:cs="Arial" w:eastAsia="Arial" w:hAnsi="Arial"/>
          <w:sz w:val="22"/>
          <w:szCs w:val="22"/>
          <w:color w:val="auto"/>
        </w:rPr>
        <w:t>A Participant’s right, if any, to receive payout of an Award, if earned, shall be contingent upon the Participant having executed a Confidentiality, Intellectual Property and Non-Compete Agreement in a form satisfactory to the Committee. Further, in order to receive any payout of an Award, the Participant must have begun employment with the Company by October 1 of the Program’s Performance Period.</w:t>
      </w:r>
    </w:p>
    <w:p>
      <w:pPr>
        <w:spacing w:after="0" w:line="68" w:lineRule="exact"/>
        <w:rPr>
          <w:rFonts w:ascii="Arial" w:cs="Arial" w:eastAsia="Arial" w:hAnsi="Arial"/>
          <w:sz w:val="22"/>
          <w:szCs w:val="22"/>
          <w:color w:val="auto"/>
        </w:rPr>
      </w:pPr>
    </w:p>
    <w:p>
      <w:pPr>
        <w:jc w:val="both"/>
        <w:ind w:left="660" w:hanging="328"/>
        <w:spacing w:after="0" w:line="235" w:lineRule="auto"/>
        <w:tabs>
          <w:tab w:leader="none" w:pos="659"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 the event a Participant changes from one position to another position or is promoted into one of the positions approved by the Committee during the Performance Period, the Target Percentage and base compensation for such Participant shall be pro-rated as applicable to each position held during the Performance Period, and such Award will be determined on a pro-rated basis based on the number of full months employed during the Performance Period.</w:t>
      </w:r>
    </w:p>
    <w:p>
      <w:pPr>
        <w:spacing w:after="0" w:line="71" w:lineRule="exact"/>
        <w:rPr>
          <w:rFonts w:ascii="Arial" w:cs="Arial" w:eastAsia="Arial" w:hAnsi="Arial"/>
          <w:sz w:val="22"/>
          <w:szCs w:val="22"/>
          <w:color w:val="auto"/>
        </w:rPr>
      </w:pPr>
    </w:p>
    <w:p>
      <w:pPr>
        <w:jc w:val="both"/>
        <w:ind w:left="660" w:hanging="328"/>
        <w:spacing w:after="0" w:line="245" w:lineRule="auto"/>
        <w:tabs>
          <w:tab w:leader="none" w:pos="651"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 order to be eligible to receive any payout of an Award, if earned, a Participant must be actively employed by the Company on the date the Award is paid. In no event is a Participant entitled to any pro-rata payment of an Award under the terms of this Program in the event of an earlier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8" w:right="339" w:bottom="1440" w:gutter="0" w:footer="0" w:header="0"/>
        </w:sectPr>
      </w:pPr>
    </w:p>
    <w:bookmarkStart w:id="78" w:name="page79"/>
    <w:bookmarkEnd w:id="78"/>
    <w:p>
      <w:pPr>
        <w:jc w:val="both"/>
        <w:ind w:left="660"/>
        <w:spacing w:after="0" w:line="245" w:lineRule="auto"/>
        <w:rPr>
          <w:sz w:val="20"/>
          <w:szCs w:val="20"/>
          <w:color w:val="auto"/>
        </w:rPr>
      </w:pPr>
      <w:r>
        <w:rPr>
          <w:rFonts w:ascii="Arial" w:cs="Arial" w:eastAsia="Arial" w:hAnsi="Arial"/>
          <w:sz w:val="22"/>
          <w:szCs w:val="22"/>
          <w:color w:val="auto"/>
        </w:rPr>
        <w:t>except to the extent the Committee has approved a Participant’s retirement or termination from the Company, in which case the Committee may provide a pro-rata payment based on the Participant’s active employment before the Board-approved retirement or termination.</w:t>
      </w:r>
    </w:p>
    <w:p>
      <w:pPr>
        <w:spacing w:after="0" w:line="60"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CALCULATING PAYOUT OF AWARDS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The payout of Awards shall be calculated as set forth below:</w:t>
      </w:r>
    </w:p>
    <w:p>
      <w:pPr>
        <w:spacing w:after="0" w:line="213" w:lineRule="exact"/>
        <w:rPr>
          <w:sz w:val="20"/>
          <w:szCs w:val="20"/>
          <w:color w:val="auto"/>
        </w:rPr>
      </w:pPr>
    </w:p>
    <w:p>
      <w:pPr>
        <w:jc w:val="both"/>
        <w:ind w:left="660" w:hanging="323"/>
        <w:spacing w:after="0" w:line="236" w:lineRule="auto"/>
        <w:rPr>
          <w:sz w:val="20"/>
          <w:szCs w:val="20"/>
          <w:color w:val="auto"/>
        </w:rPr>
      </w:pPr>
      <w:r>
        <w:rPr>
          <w:rFonts w:ascii="Arial" w:cs="Arial" w:eastAsia="Arial" w:hAnsi="Arial"/>
          <w:sz w:val="22"/>
          <w:szCs w:val="22"/>
          <w:color w:val="auto"/>
        </w:rPr>
        <w:t>a. A Participant’s Award shall be determined and allocated by multiplying the Award by the Company’s or Operating Unit’s (as determined by the Committee) level of attainment of the financial Performance Measures identified below, weighted as shown below, and as subject to a further adjustment as described in Section III.e below:</w:t>
      </w:r>
    </w:p>
    <w:p>
      <w:pPr>
        <w:spacing w:after="0" w:line="4" w:lineRule="exact"/>
        <w:rPr>
          <w:sz w:val="20"/>
          <w:szCs w:val="20"/>
          <w:color w:val="auto"/>
        </w:rPr>
      </w:pPr>
    </w:p>
    <w:tbl>
      <w:tblPr>
        <w:tblLayout w:type="fixed"/>
        <w:tblInd w:w="670" w:type="dxa"/>
        <w:tblCellMar>
          <w:top w:w="0" w:type="dxa"/>
          <w:left w:w="0" w:type="dxa"/>
          <w:bottom w:w="0" w:type="dxa"/>
          <w:right w:w="0" w:type="dxa"/>
        </w:tblCellMar>
      </w:tblPr>
      <w:tr>
        <w:trPr>
          <w:trHeight w:val="190"/>
        </w:trPr>
        <w:tc>
          <w:tcPr>
            <w:tcW w:w="3400" w:type="dxa"/>
            <w:vAlign w:val="bottom"/>
            <w:tcBorders>
              <w:top w:val="single" w:sz="8" w:color="auto"/>
              <w:left w:val="single" w:sz="8" w:color="auto"/>
              <w:right w:val="single" w:sz="8" w:color="auto"/>
            </w:tcBorders>
            <w:shd w:val="clear" w:color="auto" w:fill="C6D9F1"/>
          </w:tcPr>
          <w:p>
            <w:pPr>
              <w:jc w:val="center"/>
              <w:spacing w:after="0" w:line="190" w:lineRule="exact"/>
              <w:rPr>
                <w:sz w:val="20"/>
                <w:szCs w:val="20"/>
                <w:color w:val="auto"/>
              </w:rPr>
            </w:pPr>
            <w:r>
              <w:rPr>
                <w:rFonts w:ascii="Arial" w:cs="Arial" w:eastAsia="Arial" w:hAnsi="Arial"/>
                <w:sz w:val="18"/>
                <w:szCs w:val="18"/>
                <w:b w:val="1"/>
                <w:bCs w:val="1"/>
                <w:color w:val="auto"/>
                <w:w w:val="99"/>
              </w:rPr>
              <w:t>Performance Measure</w:t>
            </w:r>
          </w:p>
        </w:tc>
        <w:tc>
          <w:tcPr>
            <w:tcW w:w="3360" w:type="dxa"/>
            <w:vAlign w:val="bottom"/>
            <w:tcBorders>
              <w:top w:val="single" w:sz="8" w:color="auto"/>
              <w:right w:val="single" w:sz="8" w:color="auto"/>
            </w:tcBorders>
            <w:shd w:val="clear" w:color="auto" w:fill="C6D9F1"/>
          </w:tcPr>
          <w:p>
            <w:pPr>
              <w:ind w:left="840"/>
              <w:spacing w:after="0"/>
              <w:rPr>
                <w:sz w:val="20"/>
                <w:szCs w:val="20"/>
                <w:color w:val="auto"/>
              </w:rPr>
            </w:pPr>
            <w:r>
              <w:rPr>
                <w:rFonts w:ascii="Arial" w:cs="Arial" w:eastAsia="Arial" w:hAnsi="Arial"/>
                <w:sz w:val="16"/>
                <w:szCs w:val="16"/>
                <w:b w:val="1"/>
                <w:bCs w:val="1"/>
                <w:color w:val="auto"/>
              </w:rPr>
              <w:t>Corporate Executives</w:t>
            </w:r>
          </w:p>
        </w:tc>
        <w:tc>
          <w:tcPr>
            <w:tcW w:w="338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Executives Responsible for Operating</w:t>
            </w:r>
          </w:p>
        </w:tc>
      </w:tr>
      <w:tr>
        <w:trPr>
          <w:trHeight w:val="248"/>
        </w:trPr>
        <w:tc>
          <w:tcPr>
            <w:tcW w:w="340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3360" w:type="dxa"/>
            <w:vAlign w:val="bottom"/>
            <w:tcBorders>
              <w:bottom w:val="single" w:sz="8" w:color="auto"/>
              <w:right w:val="single" w:sz="8" w:color="auto"/>
            </w:tcBorders>
            <w:shd w:val="clear" w:color="auto" w:fill="C6D9F1"/>
          </w:tcPr>
          <w:p>
            <w:pPr>
              <w:spacing w:after="0"/>
              <w:rPr>
                <w:sz w:val="21"/>
                <w:szCs w:val="21"/>
                <w:color w:val="auto"/>
              </w:rPr>
            </w:pPr>
          </w:p>
        </w:tc>
        <w:tc>
          <w:tcPr>
            <w:tcW w:w="33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Unit(s</w:t>
            </w:r>
            <w:r>
              <w:rPr>
                <w:rFonts w:ascii="Arial" w:cs="Arial" w:eastAsia="Arial" w:hAnsi="Arial"/>
                <w:sz w:val="17"/>
                <w:szCs w:val="17"/>
                <w:b w:val="1"/>
                <w:bCs w:val="1"/>
                <w:color w:val="auto"/>
              </w:rPr>
              <w:t>)</w:t>
            </w:r>
          </w:p>
        </w:tc>
      </w:tr>
      <w:tr>
        <w:trPr>
          <w:trHeight w:val="244"/>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Corporate Adjusted EBITDA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5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Corporate Free Cash Flow</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Operating Unit Adjusted EBITDA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477"/>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Operating Unit Free Cash Flow</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r>
      <w:tr>
        <w:trPr>
          <w:trHeight w:val="266"/>
        </w:trPr>
        <w:tc>
          <w:tcPr>
            <w:tcW w:w="3400" w:type="dxa"/>
            <w:vAlign w:val="bottom"/>
            <w:tcBorders>
              <w:left w:val="single" w:sz="8" w:color="auto"/>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r>
    </w:tbl>
    <w:p>
      <w:pPr>
        <w:spacing w:after="0" w:line="176" w:lineRule="exact"/>
        <w:rPr>
          <w:sz w:val="20"/>
          <w:szCs w:val="20"/>
          <w:color w:val="auto"/>
        </w:rPr>
      </w:pPr>
    </w:p>
    <w:p>
      <w:pPr>
        <w:jc w:val="both"/>
        <w:ind w:left="660" w:hanging="328"/>
        <w:spacing w:after="0" w:line="234" w:lineRule="auto"/>
        <w:tabs>
          <w:tab w:leader="none" w:pos="651"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amount of an Award shall be calculated, subject to further adjustment as described in Section IIIe. below, based on the level of attainment of the above Performance Measures, Adjusted EBITDA (Corporate and Operating Unit), and Free Cash Flow (Corporate and Operating Unit), both as defined in Schedule 1.0 attached, utilizing the targets as set forth in the tables below. (Tables shown below describe targets for the Consolidated Corporate Group. Targets for the business groups are shown in Exhibit A.) Straight-line interpolation will be used to determine the achievement between each level.</w:t>
      </w:r>
    </w:p>
    <w:p>
      <w:pPr>
        <w:spacing w:after="0" w:line="101"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 xml:space="preserve">Adjusted EBITDA Multiplier </w:t>
      </w:r>
      <w:r>
        <w:rPr>
          <w:rFonts w:ascii="Arial" w:cs="Arial" w:eastAsia="Arial" w:hAnsi="Arial"/>
          <w:sz w:val="28"/>
          <w:szCs w:val="28"/>
          <w:b w:val="1"/>
          <w:bCs w:val="1"/>
          <w:color w:val="auto"/>
          <w:vertAlign w:val="superscript"/>
        </w:rPr>
        <w:t>1</w:t>
      </w:r>
    </w:p>
    <w:tbl>
      <w:tblPr>
        <w:tblLayout w:type="fixed"/>
        <w:tblInd w:w="1310" w:type="dxa"/>
        <w:tblCellMar>
          <w:top w:w="0" w:type="dxa"/>
          <w:left w:w="0" w:type="dxa"/>
          <w:bottom w:w="0" w:type="dxa"/>
          <w:right w:w="0" w:type="dxa"/>
        </w:tblCellMar>
      </w:tblPr>
      <w:tr>
        <w:trPr>
          <w:trHeight w:val="226"/>
        </w:trPr>
        <w:tc>
          <w:tcPr>
            <w:tcW w:w="3780" w:type="dxa"/>
            <w:vAlign w:val="bottom"/>
            <w:tcBorders>
              <w:top w:val="single" w:sz="8" w:color="auto"/>
              <w:left w:val="single" w:sz="8" w:color="auto"/>
              <w:right w:val="single" w:sz="8" w:color="auto"/>
            </w:tcBorders>
            <w:shd w:val="clear" w:color="auto" w:fill="C6D9F1"/>
          </w:tcPr>
          <w:p>
            <w:pPr>
              <w:jc w:val="center"/>
              <w:spacing w:after="0" w:line="227" w:lineRule="exact"/>
              <w:rPr>
                <w:sz w:val="20"/>
                <w:szCs w:val="20"/>
                <w:color w:val="auto"/>
              </w:rPr>
            </w:pPr>
            <w:r>
              <w:rPr>
                <w:rFonts w:ascii="Arial" w:cs="Arial" w:eastAsia="Arial" w:hAnsi="Arial"/>
                <w:sz w:val="20"/>
                <w:szCs w:val="20"/>
                <w:b w:val="1"/>
                <w:bCs w:val="1"/>
                <w:color w:val="auto"/>
                <w:w w:val="94"/>
              </w:rPr>
              <w:t>Target</w:t>
            </w:r>
          </w:p>
        </w:tc>
        <w:tc>
          <w:tcPr>
            <w:tcW w:w="3460" w:type="dxa"/>
            <w:vAlign w:val="bottom"/>
            <w:tcBorders>
              <w:top w:val="single" w:sz="8" w:color="auto"/>
              <w:right w:val="single" w:sz="8" w:color="auto"/>
            </w:tcBorders>
            <w:shd w:val="clear" w:color="auto" w:fill="C6D9F1"/>
          </w:tcPr>
          <w:p>
            <w:pPr>
              <w:ind w:left="1280"/>
              <w:spacing w:after="0" w:line="227" w:lineRule="exact"/>
              <w:rPr>
                <w:sz w:val="20"/>
                <w:szCs w:val="20"/>
                <w:color w:val="auto"/>
              </w:rPr>
            </w:pPr>
            <w:r>
              <w:rPr>
                <w:rFonts w:ascii="Arial" w:cs="Arial" w:eastAsia="Arial" w:hAnsi="Arial"/>
                <w:sz w:val="20"/>
                <w:szCs w:val="20"/>
                <w:b w:val="1"/>
                <w:bCs w:val="1"/>
                <w:color w:val="auto"/>
              </w:rPr>
              <w:t>Multiplier</w:t>
            </w:r>
          </w:p>
        </w:tc>
      </w:tr>
      <w:tr>
        <w:trPr>
          <w:trHeight w:val="267"/>
        </w:trPr>
        <w:tc>
          <w:tcPr>
            <w:tcW w:w="3780" w:type="dxa"/>
            <w:vAlign w:val="bottom"/>
            <w:tcBorders>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color w:val="auto"/>
                <w:w w:val="99"/>
              </w:rPr>
              <w:t>Adjusted EBITDA</w:t>
            </w:r>
          </w:p>
        </w:tc>
        <w:tc>
          <w:tcPr>
            <w:tcW w:w="3460" w:type="dxa"/>
            <w:vAlign w:val="bottom"/>
            <w:tcBorders>
              <w:bottom w:val="single" w:sz="8" w:color="auto"/>
              <w:right w:val="single" w:sz="8" w:color="auto"/>
            </w:tcBorders>
            <w:shd w:val="clear" w:color="auto" w:fill="C6D9F1"/>
          </w:tcPr>
          <w:p>
            <w:pPr>
              <w:spacing w:after="0"/>
              <w:rPr>
                <w:sz w:val="23"/>
                <w:szCs w:val="23"/>
                <w:color w:val="auto"/>
              </w:rPr>
            </w:pPr>
          </w:p>
        </w:tc>
      </w:tr>
      <w:tr>
        <w:trPr>
          <w:trHeight w:val="262"/>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$45,272</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200%</w:t>
            </w:r>
          </w:p>
        </w:tc>
      </w:tr>
      <w:tr>
        <w:trPr>
          <w:trHeight w:val="263"/>
        </w:trPr>
        <w:tc>
          <w:tcPr>
            <w:tcW w:w="3780" w:type="dxa"/>
            <w:vAlign w:val="bottom"/>
            <w:tcBorders>
              <w:left w:val="single" w:sz="8" w:color="auto"/>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9"/>
              </w:rPr>
              <w:t>$36,218</w:t>
            </w:r>
          </w:p>
        </w:tc>
        <w:tc>
          <w:tcPr>
            <w:tcW w:w="346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rPr>
              <w:t>100%</w:t>
            </w:r>
          </w:p>
        </w:tc>
      </w:tr>
      <w:tr>
        <w:trPr>
          <w:trHeight w:val="26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$28,974</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50%</w:t>
            </w:r>
          </w:p>
        </w:tc>
      </w:tr>
      <w:tr>
        <w:trPr>
          <w:trHeight w:val="264"/>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Less than $28,974</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9" w:right="339" w:bottom="1440" w:gutter="0" w:footer="0" w:header="0"/>
        </w:sectPr>
      </w:pPr>
    </w:p>
    <w:bookmarkStart w:id="79" w:name="page80"/>
    <w:bookmarkEnd w:id="79"/>
    <w:p>
      <w:pPr>
        <w:spacing w:after="0" w:line="349" w:lineRule="exact"/>
        <w:rPr>
          <w:sz w:val="20"/>
          <w:szCs w:val="20"/>
          <w:color w:val="auto"/>
        </w:rPr>
      </w:pPr>
    </w:p>
    <w:tbl>
      <w:tblPr>
        <w:tblLayout w:type="fixed"/>
        <w:tblInd w:w="1810" w:type="dxa"/>
        <w:tblCellMar>
          <w:top w:w="0" w:type="dxa"/>
          <w:left w:w="0" w:type="dxa"/>
          <w:bottom w:w="0" w:type="dxa"/>
          <w:right w:w="0" w:type="dxa"/>
        </w:tblCellMar>
      </w:tblPr>
      <w:tr>
        <w:trPr>
          <w:trHeight w:val="322"/>
        </w:trPr>
        <w:tc>
          <w:tcPr>
            <w:tcW w:w="5120" w:type="dxa"/>
            <w:vAlign w:val="bottom"/>
            <w:tcBorders>
              <w:bottom w:val="single" w:sz="8" w:color="auto"/>
            </w:tcBorders>
            <w:gridSpan w:val="2"/>
          </w:tcPr>
          <w:p>
            <w:pPr>
              <w:ind w:left="2980"/>
              <w:spacing w:after="0"/>
              <w:rPr>
                <w:sz w:val="20"/>
                <w:szCs w:val="20"/>
                <w:color w:val="auto"/>
              </w:rPr>
            </w:pPr>
            <w:r>
              <w:rPr>
                <w:rFonts w:ascii="Arial" w:cs="Arial" w:eastAsia="Arial" w:hAnsi="Arial"/>
                <w:sz w:val="22"/>
                <w:szCs w:val="22"/>
                <w:b w:val="1"/>
                <w:bCs w:val="1"/>
                <w:color w:val="auto"/>
              </w:rPr>
              <w:t>Free Cash Flow</w:t>
            </w:r>
            <w:r>
              <w:rPr>
                <w:rFonts w:ascii="Arial" w:cs="Arial" w:eastAsia="Arial" w:hAnsi="Arial"/>
                <w:sz w:val="28"/>
                <w:szCs w:val="28"/>
                <w:b w:val="1"/>
                <w:bCs w:val="1"/>
                <w:color w:val="auto"/>
                <w:vertAlign w:val="superscript"/>
              </w:rPr>
              <w:t>1</w:t>
            </w:r>
          </w:p>
        </w:tc>
        <w:tc>
          <w:tcPr>
            <w:tcW w:w="2560" w:type="dxa"/>
            <w:vAlign w:val="bottom"/>
            <w:tcBorders>
              <w:bottom w:val="single" w:sz="8" w:color="auto"/>
            </w:tcBorders>
          </w:tcPr>
          <w:p>
            <w:pPr>
              <w:spacing w:after="0"/>
              <w:rPr>
                <w:sz w:val="24"/>
                <w:szCs w:val="24"/>
                <w:color w:val="auto"/>
              </w:rPr>
            </w:pPr>
          </w:p>
        </w:tc>
      </w:tr>
      <w:tr>
        <w:trPr>
          <w:trHeight w:val="263"/>
        </w:trPr>
        <w:tc>
          <w:tcPr>
            <w:tcW w:w="4000" w:type="dxa"/>
            <w:vAlign w:val="bottom"/>
            <w:tcBorders>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color w:val="auto"/>
                <w:w w:val="97"/>
              </w:rPr>
              <w:t>Target Free Cash Flow</w:t>
            </w:r>
          </w:p>
        </w:tc>
        <w:tc>
          <w:tcPr>
            <w:tcW w:w="1120" w:type="dxa"/>
            <w:vAlign w:val="bottom"/>
            <w:tcBorders>
              <w:bottom w:val="single" w:sz="8" w:color="auto"/>
            </w:tcBorders>
            <w:shd w:val="clear" w:color="auto" w:fill="C6D9F1"/>
          </w:tcPr>
          <w:p>
            <w:pPr>
              <w:spacing w:after="0"/>
              <w:rPr>
                <w:sz w:val="22"/>
                <w:szCs w:val="22"/>
                <w:color w:val="auto"/>
              </w:rPr>
            </w:pPr>
          </w:p>
        </w:tc>
        <w:tc>
          <w:tcPr>
            <w:tcW w:w="2560" w:type="dxa"/>
            <w:vAlign w:val="bottom"/>
            <w:tcBorders>
              <w:bottom w:val="single" w:sz="8" w:color="auto"/>
              <w:right w:val="single" w:sz="8" w:color="auto"/>
            </w:tcBorders>
            <w:shd w:val="clear" w:color="auto" w:fill="C6D9F1"/>
          </w:tcPr>
          <w:p>
            <w:pPr>
              <w:spacing w:after="0"/>
              <w:rPr>
                <w:sz w:val="22"/>
                <w:szCs w:val="22"/>
                <w:color w:val="auto"/>
              </w:rPr>
            </w:pPr>
          </w:p>
        </w:tc>
      </w:tr>
      <w:tr>
        <w:trPr>
          <w:trHeight w:val="262"/>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$23,227</w:t>
            </w:r>
          </w:p>
        </w:tc>
        <w:tc>
          <w:tcPr>
            <w:tcW w:w="112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jc w:val="center"/>
              <w:ind w:right="1061"/>
              <w:spacing w:after="0"/>
              <w:rPr>
                <w:sz w:val="20"/>
                <w:szCs w:val="20"/>
                <w:color w:val="auto"/>
              </w:rPr>
            </w:pPr>
            <w:r>
              <w:rPr>
                <w:rFonts w:ascii="Arial" w:cs="Arial" w:eastAsia="Arial" w:hAnsi="Arial"/>
                <w:sz w:val="20"/>
                <w:szCs w:val="20"/>
                <w:color w:val="auto"/>
              </w:rPr>
              <w:t>200%</w:t>
            </w:r>
          </w:p>
        </w:tc>
      </w:tr>
      <w:tr>
        <w:trPr>
          <w:trHeight w:val="264"/>
        </w:trPr>
        <w:tc>
          <w:tcPr>
            <w:tcW w:w="4000" w:type="dxa"/>
            <w:vAlign w:val="bottom"/>
            <w:tcBorders>
              <w:left w:val="single" w:sz="8" w:color="auto"/>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9"/>
              </w:rPr>
              <w:t>$19,356</w:t>
            </w:r>
          </w:p>
        </w:tc>
        <w:tc>
          <w:tcPr>
            <w:tcW w:w="1120" w:type="dxa"/>
            <w:vAlign w:val="bottom"/>
            <w:tcBorders>
              <w:bottom w:val="single" w:sz="8" w:color="auto"/>
            </w:tcBorders>
            <w:shd w:val="clear" w:color="auto" w:fill="92D050"/>
          </w:tcPr>
          <w:p>
            <w:pPr>
              <w:spacing w:after="0"/>
              <w:rPr>
                <w:sz w:val="22"/>
                <w:szCs w:val="22"/>
                <w:color w:val="auto"/>
              </w:rPr>
            </w:pPr>
          </w:p>
        </w:tc>
        <w:tc>
          <w:tcPr>
            <w:tcW w:w="2560" w:type="dxa"/>
            <w:vAlign w:val="bottom"/>
            <w:tcBorders>
              <w:bottom w:val="single" w:sz="8" w:color="auto"/>
              <w:right w:val="single" w:sz="8" w:color="auto"/>
            </w:tcBorders>
            <w:shd w:val="clear" w:color="auto" w:fill="92D050"/>
          </w:tcPr>
          <w:p>
            <w:pPr>
              <w:jc w:val="center"/>
              <w:ind w:right="1061"/>
              <w:spacing w:after="0"/>
              <w:rPr>
                <w:sz w:val="20"/>
                <w:szCs w:val="20"/>
                <w:color w:val="auto"/>
              </w:rPr>
            </w:pPr>
            <w:r>
              <w:rPr>
                <w:rFonts w:ascii="Arial" w:cs="Arial" w:eastAsia="Arial" w:hAnsi="Arial"/>
                <w:sz w:val="20"/>
                <w:szCs w:val="20"/>
                <w:color w:val="auto"/>
              </w:rPr>
              <w:t>100%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$15,485</w:t>
            </w:r>
          </w:p>
        </w:tc>
        <w:tc>
          <w:tcPr>
            <w:tcW w:w="112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jc w:val="center"/>
              <w:ind w:right="1061"/>
              <w:spacing w:after="0"/>
              <w:rPr>
                <w:sz w:val="20"/>
                <w:szCs w:val="20"/>
                <w:color w:val="auto"/>
              </w:rPr>
            </w:pPr>
            <w:r>
              <w:rPr>
                <w:rFonts w:ascii="Arial" w:cs="Arial" w:eastAsia="Arial" w:hAnsi="Arial"/>
                <w:sz w:val="20"/>
                <w:szCs w:val="20"/>
                <w:color w:val="auto"/>
                <w:w w:val="99"/>
              </w:rPr>
              <w:t>50%</w:t>
            </w:r>
          </w:p>
        </w:tc>
      </w:tr>
      <w:tr>
        <w:trPr>
          <w:trHeight w:val="264"/>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Less than $15,485</w:t>
            </w:r>
          </w:p>
        </w:tc>
        <w:tc>
          <w:tcPr>
            <w:tcW w:w="112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jc w:val="center"/>
              <w:ind w:right="1061"/>
              <w:spacing w:after="0"/>
              <w:rPr>
                <w:sz w:val="20"/>
                <w:szCs w:val="20"/>
                <w:color w:val="auto"/>
              </w:rPr>
            </w:pPr>
            <w:r>
              <w:rPr>
                <w:rFonts w:ascii="Arial" w:cs="Arial" w:eastAsia="Arial" w:hAnsi="Arial"/>
                <w:sz w:val="20"/>
                <w:szCs w:val="20"/>
                <w:color w:val="auto"/>
                <w:w w:val="96"/>
              </w:rPr>
              <w:t>0%</w:t>
            </w:r>
          </w:p>
        </w:tc>
      </w:tr>
    </w:tbl>
    <w:p>
      <w:pPr>
        <w:spacing w:after="0" w:line="152" w:lineRule="exact"/>
        <w:rPr>
          <w:sz w:val="20"/>
          <w:szCs w:val="20"/>
          <w:color w:val="auto"/>
        </w:rPr>
      </w:pPr>
    </w:p>
    <w:p>
      <w:pPr>
        <w:ind w:left="1400" w:hanging="96"/>
        <w:spacing w:after="0"/>
        <w:tabs>
          <w:tab w:leader="none" w:pos="1400" w:val="left"/>
        </w:tabs>
        <w:numPr>
          <w:ilvl w:val="1"/>
          <w:numId w:val="2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Targets and Multipliers for Operating Units are shown on Exhibit A, on file with the Committee</w:t>
      </w:r>
    </w:p>
    <w:p>
      <w:pPr>
        <w:spacing w:after="0" w:line="211" w:lineRule="exact"/>
        <w:rPr>
          <w:rFonts w:ascii="Arial" w:cs="Arial" w:eastAsia="Arial" w:hAnsi="Arial"/>
          <w:sz w:val="19"/>
          <w:szCs w:val="19"/>
          <w:i w:val="1"/>
          <w:iCs w:val="1"/>
          <w:color w:val="auto"/>
          <w:vertAlign w:val="superscript"/>
        </w:rPr>
      </w:pPr>
    </w:p>
    <w:p>
      <w:pPr>
        <w:ind w:left="640" w:hanging="308"/>
        <w:spacing w:after="0"/>
        <w:tabs>
          <w:tab w:leader="none" w:pos="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Individual payout targets are shown on Exhibit B, on file with the Committee.</w:t>
      </w:r>
    </w:p>
    <w:p>
      <w:pPr>
        <w:spacing w:after="0" w:line="98" w:lineRule="exact"/>
        <w:rPr>
          <w:rFonts w:ascii="Arial" w:cs="Arial" w:eastAsia="Arial" w:hAnsi="Arial"/>
          <w:sz w:val="22"/>
          <w:szCs w:val="22"/>
          <w:color w:val="auto"/>
        </w:rPr>
      </w:pPr>
    </w:p>
    <w:p>
      <w:pPr>
        <w:ind w:left="660" w:hanging="328"/>
        <w:spacing w:after="0" w:line="246" w:lineRule="auto"/>
        <w:tabs>
          <w:tab w:leader="none" w:pos="651" w:val="left"/>
        </w:tabs>
        <w:numPr>
          <w:ilvl w:val="0"/>
          <w:numId w:val="20"/>
        </w:numPr>
        <w:rPr>
          <w:rFonts w:ascii="Arial" w:cs="Arial" w:eastAsia="Arial" w:hAnsi="Arial"/>
          <w:sz w:val="22"/>
          <w:szCs w:val="22"/>
          <w:color w:val="auto"/>
        </w:rPr>
      </w:pPr>
      <w:r>
        <w:rPr>
          <w:rFonts w:ascii="Arial" w:cs="Arial" w:eastAsia="Arial" w:hAnsi="Arial"/>
          <w:sz w:val="22"/>
          <w:szCs w:val="22"/>
          <w:color w:val="auto"/>
        </w:rPr>
        <w:t>Operating results of an acquisition will be immediately included in the financial results, with Committee approval.</w:t>
      </w:r>
    </w:p>
    <w:p>
      <w:pPr>
        <w:spacing w:after="0" w:line="61" w:lineRule="exact"/>
        <w:rPr>
          <w:rFonts w:ascii="Arial" w:cs="Arial" w:eastAsia="Arial" w:hAnsi="Arial"/>
          <w:sz w:val="22"/>
          <w:szCs w:val="22"/>
          <w:color w:val="auto"/>
        </w:rPr>
      </w:pPr>
    </w:p>
    <w:p>
      <w:pPr>
        <w:jc w:val="both"/>
        <w:ind w:left="660" w:hanging="328"/>
        <w:spacing w:after="0"/>
        <w:tabs>
          <w:tab w:leader="none" w:pos="65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Committee may make a further adjustment of up to plus or minus 15% to the payout described above based on operational and individual performance, as determined in the Committee’s sole discretion. For example, such adjustment may be made based on safety or quality results for any or all Plan Participants. Under no circumstances will the payout exceed 200% of an individual’s target.</w:t>
      </w:r>
    </w:p>
    <w:p>
      <w:pPr>
        <w:spacing w:after="0" w:line="68" w:lineRule="exact"/>
        <w:rPr>
          <w:rFonts w:ascii="Arial" w:cs="Arial" w:eastAsia="Arial" w:hAnsi="Arial"/>
          <w:sz w:val="22"/>
          <w:szCs w:val="22"/>
          <w:color w:val="auto"/>
        </w:rPr>
      </w:pPr>
    </w:p>
    <w:p>
      <w:pPr>
        <w:ind w:left="660" w:right="20" w:hanging="328"/>
        <w:spacing w:after="0" w:line="259" w:lineRule="auto"/>
        <w:tabs>
          <w:tab w:leader="none" w:pos="659"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Definitions of the Performance Measures and possible financial adjustments are noted on Schedule 1.0 attached hereto.</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b w:val="1"/>
          <w:bCs w:val="1"/>
          <w:u w:val="single" w:color="auto"/>
          <w:color w:val="auto"/>
        </w:rPr>
        <w:t>RECOUPMENT</w:t>
      </w:r>
    </w:p>
    <w:p>
      <w:pPr>
        <w:spacing w:after="0" w:line="1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All Awards granted hereunder shall be subject to the terms and conditions set forth in the Amended and Restated Executive Recoupment Policy (as may be amended and restated from time to time, the “Clawback Policy. To the extent the Clawback Policy is applicable to a Participant, it creates additional rights for the Company with respect to Awards provided to the Participant under the Program. Any Award granted under the Program will be subject to potential mandatory cancellation, forfeiture and/or repayment by the Participant to the Company to the extent the Participant is, or in the future becomes, subject to (a) any Company clawback or recoupment policy, including the Clawback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an Award under the Program, the Participant consents to be bound by the terms of the Clawback Policy, if applicable, and agrees and acknowledges that the Participant is obligated to cooperate with, and provide any and all assistance necessary to, the Company in its efforts to recover or recoup an Award, any gains or earnings related to an Award, or any other applicable compensation subject to clawback or recoupment pursuant to such laws, rules, regulations, stock exchange listing standards or Company policy. Such cooperation and assistance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0" w:name="page81"/>
    <w:bookmarkEnd w:id="80"/>
    <w:p>
      <w:pPr>
        <w:jc w:val="both"/>
        <w:spacing w:after="0" w:line="245" w:lineRule="auto"/>
        <w:rPr>
          <w:sz w:val="20"/>
          <w:szCs w:val="20"/>
          <w:color w:val="auto"/>
        </w:rPr>
      </w:pPr>
      <w:r>
        <w:rPr>
          <w:rFonts w:ascii="Arial" w:cs="Arial" w:eastAsia="Arial" w:hAnsi="Arial"/>
          <w:sz w:val="22"/>
          <w:szCs w:val="22"/>
          <w:color w:val="auto"/>
        </w:rPr>
        <w:t>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 </w:t>
      </w:r>
      <w:r>
        <w:rPr>
          <w:rFonts w:ascii="Arial" w:cs="Arial" w:eastAsia="Arial" w:hAnsi="Arial"/>
          <w:sz w:val="22"/>
          <w:szCs w:val="22"/>
          <w:b w:val="1"/>
          <w:bCs w:val="1"/>
          <w:u w:val="single" w:color="auto"/>
          <w:color w:val="auto"/>
        </w:rPr>
        <w:t>COMPENSATION COMMITTEE</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As set forth in the Master ExIP, the Committee retains all rights and discretion to modify, eliminate, or replace the ExIP and the Master ExIP at any time. The Committee will interpret the ExIP and the Master ExIP at its discretion, and may adjust financial Performance Measures, weighting, and/or multipliers as it deems appropriate in its sole discretion, or increase, decrease, or eliminate any Award or payout hereunder. All determinations with respect to any Award shall be made by the Committee and shall be final, conclusive and binding on the Company, the Participant and any and all interested parties.</w:t>
      </w:r>
    </w:p>
    <w:p>
      <w:pPr>
        <w:spacing w:after="0" w:line="20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E. Kunz</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Chairman, Compensation Committee</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Schedule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MEASURES AND ADJUSTMENTS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Adjusted Earnings Before Interest, Taxes, Depreciation and Amortization </w:t>
      </w:r>
      <w:r>
        <w:rPr>
          <w:rFonts w:ascii="Arial" w:cs="Arial" w:eastAsia="Arial" w:hAnsi="Arial"/>
          <w:sz w:val="22"/>
          <w:szCs w:val="22"/>
          <w:color w:val="auto"/>
        </w:rPr>
        <w:t>(Adjusted EBITDA): shall mean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Company or an Operating Unit, for the fiscal year (a) income from continuing operations; (b) plus income tax expense; (c) plus interest expense; (d) minus interest income; (e) plus depreciation expense; and (f) plus amortization expense; (g) plus and minus the adjustments below. Adjusted EBITDA is to be calculated including the effect of expense associated with the program.</w:t>
      </w:r>
    </w:p>
    <w:p>
      <w:pPr>
        <w:spacing w:after="0" w:line="19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Free Cash Flow </w:t>
      </w:r>
      <w:r>
        <w:rPr>
          <w:rFonts w:ascii="Arial" w:cs="Arial" w:eastAsia="Arial" w:hAnsi="Arial"/>
          <w:sz w:val="22"/>
          <w:szCs w:val="22"/>
          <w:color w:val="auto"/>
        </w:rPr>
        <w:t>(“Free Cash Flow”) for the Fiscal Year shall mean, with respect to the Company, cash flow from</w:t>
      </w:r>
      <w:r>
        <w:rPr>
          <w:rFonts w:ascii="Arial" w:cs="Arial" w:eastAsia="Arial" w:hAnsi="Arial"/>
          <w:sz w:val="22"/>
          <w:szCs w:val="22"/>
          <w:b w:val="1"/>
          <w:bCs w:val="1"/>
          <w:color w:val="auto"/>
        </w:rPr>
        <w:t xml:space="preserve"> </w:t>
      </w:r>
      <w:r>
        <w:rPr>
          <w:rFonts w:ascii="Arial" w:cs="Arial" w:eastAsia="Arial" w:hAnsi="Arial"/>
          <w:sz w:val="22"/>
          <w:szCs w:val="22"/>
          <w:color w:val="auto"/>
        </w:rPr>
        <w:t>operations, less cash used for capital expenditures, plus cash proceeds from capital asset disposals, if any, with all amounts per the Company’s consolidated statement of cash flows. Free Cash Flow for the Fiscal Year shall mean, with respect to any Operating Unit, Adjusted EBITDA, plus or minus the change in Working Capital, less cash used for capital expenditures, plus cash proceeds from capital asset disposals, with all amounts per the financial information for each respective Operating Unit. For purposes of Free Cash Flow determination for an Operating Unit, Working Capital is defined as the sum of Accounts Receivable, Contract Assets and Inventory, less Trade Accounts Payable and Deferred Revenue. For the avoidance of doubt, an increase in Working Capital shall be a reduction to the Operating Unit’s Free Cash Flow, and a reduction in Working Capital shall be an increase to the Operating Unit’s Free Cash Flow. Results shall be determined incorporating approved adjustments below.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adjustments are guidelines subject to board approval.</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8200" w:type="dxa"/>
            <w:vAlign w:val="bottom"/>
            <w:tcBorders>
              <w:top w:val="single" w:sz="8" w:color="auto"/>
              <w:left w:val="single" w:sz="8" w:color="auto"/>
              <w:right w:val="single" w:sz="8" w:color="auto"/>
            </w:tcBorders>
            <w:shd w:val="clear" w:color="auto" w:fill="FFFFCC"/>
          </w:tcPr>
          <w:p>
            <w:pPr>
              <w:ind w:left="40"/>
              <w:spacing w:after="0" w:line="234" w:lineRule="exact"/>
              <w:rPr>
                <w:sz w:val="20"/>
                <w:szCs w:val="20"/>
                <w:color w:val="auto"/>
              </w:rPr>
            </w:pPr>
            <w:r>
              <w:rPr>
                <w:rFonts w:ascii="Arial" w:cs="Arial" w:eastAsia="Arial" w:hAnsi="Arial"/>
                <w:sz w:val="22"/>
                <w:szCs w:val="22"/>
                <w:b w:val="1"/>
                <w:bCs w:val="1"/>
                <w:color w:val="auto"/>
              </w:rPr>
              <w:t>Adjustment Description</w:t>
            </w:r>
          </w:p>
        </w:tc>
        <w:tc>
          <w:tcPr>
            <w:tcW w:w="1500" w:type="dxa"/>
            <w:vAlign w:val="bottom"/>
            <w:tcBorders>
              <w:top w:val="single" w:sz="8" w:color="auto"/>
              <w:right w:val="single" w:sz="8" w:color="auto"/>
            </w:tcBorders>
            <w:shd w:val="clear" w:color="auto" w:fill="FFFFCC"/>
          </w:tcPr>
          <w:p>
            <w:pPr>
              <w:jc w:val="center"/>
              <w:spacing w:after="0" w:line="234" w:lineRule="exact"/>
              <w:rPr>
                <w:sz w:val="20"/>
                <w:szCs w:val="20"/>
                <w:color w:val="auto"/>
              </w:rPr>
            </w:pPr>
            <w:r>
              <w:rPr>
                <w:rFonts w:ascii="Arial" w:cs="Arial" w:eastAsia="Arial" w:hAnsi="Arial"/>
                <w:sz w:val="22"/>
                <w:szCs w:val="22"/>
                <w:color w:val="auto"/>
                <w:w w:val="98"/>
              </w:rPr>
              <w:t>Adjusted</w:t>
            </w:r>
          </w:p>
        </w:tc>
        <w:tc>
          <w:tcPr>
            <w:tcW w:w="1500" w:type="dxa"/>
            <w:vAlign w:val="bottom"/>
            <w:tcBorders>
              <w:top w:val="single" w:sz="8" w:color="auto"/>
              <w:right w:val="single" w:sz="8" w:color="auto"/>
            </w:tcBorders>
            <w:shd w:val="clear" w:color="auto" w:fill="FFFFCC"/>
          </w:tcPr>
          <w:p>
            <w:pPr>
              <w:jc w:val="center"/>
              <w:spacing w:after="0" w:line="234" w:lineRule="exact"/>
              <w:rPr>
                <w:sz w:val="20"/>
                <w:szCs w:val="20"/>
                <w:color w:val="auto"/>
              </w:rPr>
            </w:pPr>
            <w:r>
              <w:rPr>
                <w:rFonts w:ascii="Arial" w:cs="Arial" w:eastAsia="Arial" w:hAnsi="Arial"/>
                <w:sz w:val="22"/>
                <w:szCs w:val="22"/>
                <w:color w:val="auto"/>
                <w:w w:val="99"/>
              </w:rPr>
              <w:t>Free Cash</w:t>
            </w:r>
          </w:p>
        </w:tc>
      </w:tr>
      <w:tr>
        <w:trPr>
          <w:trHeight w:val="298"/>
        </w:trPr>
        <w:tc>
          <w:tcPr>
            <w:tcW w:w="8200" w:type="dxa"/>
            <w:vAlign w:val="bottom"/>
            <w:tcBorders>
              <w:left w:val="single" w:sz="8" w:color="auto"/>
              <w:bottom w:val="single" w:sz="8" w:color="auto"/>
              <w:right w:val="single" w:sz="8" w:color="auto"/>
            </w:tcBorders>
            <w:shd w:val="clear" w:color="auto" w:fill="FFFFCC"/>
          </w:tcPr>
          <w:p>
            <w:pPr>
              <w:ind w:left="40"/>
              <w:spacing w:after="0"/>
              <w:rPr>
                <w:sz w:val="20"/>
                <w:szCs w:val="20"/>
                <w:color w:val="auto"/>
              </w:rPr>
            </w:pPr>
            <w:r>
              <w:rPr>
                <w:rFonts w:ascii="Arial" w:cs="Arial" w:eastAsia="Arial" w:hAnsi="Arial"/>
                <w:sz w:val="22"/>
                <w:szCs w:val="22"/>
                <w:b w:val="1"/>
                <w:bCs w:val="1"/>
                <w:color w:val="auto"/>
              </w:rPr>
              <w:t>Unplanned reductions or add-backs to results for gains and losses</w:t>
            </w:r>
          </w:p>
        </w:tc>
        <w:tc>
          <w:tcPr>
            <w:tcW w:w="150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Arial" w:cs="Arial" w:eastAsia="Arial" w:hAnsi="Arial"/>
                <w:sz w:val="22"/>
                <w:szCs w:val="22"/>
                <w:color w:val="auto"/>
                <w:w w:val="98"/>
              </w:rPr>
              <w:t>EBITDA</w:t>
            </w:r>
          </w:p>
        </w:tc>
        <w:tc>
          <w:tcPr>
            <w:tcW w:w="150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Arial" w:cs="Arial" w:eastAsia="Arial" w:hAnsi="Arial"/>
                <w:sz w:val="22"/>
                <w:szCs w:val="22"/>
                <w:color w:val="auto"/>
                <w:w w:val="98"/>
              </w:rPr>
              <w:t>Flow</w:t>
            </w:r>
          </w:p>
        </w:tc>
      </w:tr>
      <w:tr>
        <w:trPr>
          <w:trHeight w:val="284"/>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Effects of changes in accounting or tax law</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X</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X</w:t>
            </w:r>
          </w:p>
        </w:tc>
      </w:tr>
      <w:tr>
        <w:trPr>
          <w:trHeight w:val="244"/>
        </w:trPr>
        <w:tc>
          <w:tcPr>
            <w:tcW w:w="8200" w:type="dxa"/>
            <w:vAlign w:val="bottom"/>
            <w:tcBorders>
              <w:left w:val="single" w:sz="8" w:color="auto"/>
              <w:right w:val="single" w:sz="8" w:color="auto"/>
            </w:tcBorders>
          </w:tcPr>
          <w:p>
            <w:pPr>
              <w:ind w:left="40"/>
              <w:spacing w:after="0" w:line="244" w:lineRule="exact"/>
              <w:rPr>
                <w:sz w:val="20"/>
                <w:szCs w:val="20"/>
                <w:color w:val="auto"/>
              </w:rPr>
            </w:pPr>
            <w:r>
              <w:rPr>
                <w:rFonts w:ascii="Arial" w:cs="Arial" w:eastAsia="Arial" w:hAnsi="Arial"/>
                <w:sz w:val="22"/>
                <w:szCs w:val="22"/>
                <w:color w:val="auto"/>
              </w:rPr>
              <w:t>Divestitures of properties, businesses, investments, equity in affiliates or held for</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r>
      <w:tr>
        <w:trPr>
          <w:trHeight w:val="290"/>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sale as discontinued operations</w:t>
            </w: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r>
        <w:trPr>
          <w:trHeight w:val="244"/>
        </w:trPr>
        <w:tc>
          <w:tcPr>
            <w:tcW w:w="8200" w:type="dxa"/>
            <w:vAlign w:val="bottom"/>
            <w:tcBorders>
              <w:left w:val="single" w:sz="8" w:color="auto"/>
              <w:right w:val="single" w:sz="8" w:color="auto"/>
            </w:tcBorders>
          </w:tcPr>
          <w:p>
            <w:pPr>
              <w:ind w:left="40"/>
              <w:spacing w:after="0" w:line="244" w:lineRule="exact"/>
              <w:rPr>
                <w:sz w:val="20"/>
                <w:szCs w:val="20"/>
                <w:color w:val="auto"/>
              </w:rPr>
            </w:pPr>
            <w:r>
              <w:rPr>
                <w:rFonts w:ascii="Arial" w:cs="Arial" w:eastAsia="Arial" w:hAnsi="Arial"/>
                <w:sz w:val="22"/>
                <w:szCs w:val="22"/>
                <w:color w:val="auto"/>
              </w:rPr>
              <w:t>Costs of an acquisition or potential acquisition, and purchase accounting of an</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r>
      <w:tr>
        <w:trPr>
          <w:trHeight w:val="290"/>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acquisition completed during the year.</w:t>
            </w: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r>
        <w:trPr>
          <w:trHeight w:val="244"/>
        </w:trPr>
        <w:tc>
          <w:tcPr>
            <w:tcW w:w="8200" w:type="dxa"/>
            <w:vAlign w:val="bottom"/>
            <w:tcBorders>
              <w:left w:val="single" w:sz="8" w:color="auto"/>
              <w:right w:val="single" w:sz="8" w:color="auto"/>
            </w:tcBorders>
          </w:tcPr>
          <w:p>
            <w:pPr>
              <w:ind w:left="40"/>
              <w:spacing w:after="0" w:line="244" w:lineRule="exact"/>
              <w:rPr>
                <w:sz w:val="20"/>
                <w:szCs w:val="20"/>
                <w:color w:val="auto"/>
              </w:rPr>
            </w:pPr>
            <w:r>
              <w:rPr>
                <w:rFonts w:ascii="Arial" w:cs="Arial" w:eastAsia="Arial" w:hAnsi="Arial"/>
                <w:sz w:val="22"/>
                <w:szCs w:val="22"/>
                <w:color w:val="auto"/>
              </w:rPr>
              <w:t>Any significant or non-recurring item(s) (these items include, but are not limited to a</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r>
      <w:tr>
        <w:trPr>
          <w:trHeight w:val="243"/>
        </w:trPr>
        <w:tc>
          <w:tcPr>
            <w:tcW w:w="82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restructuring, long-lived asset impairment, warranty costs, product liability, legal</w:t>
            </w: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43"/>
        </w:trPr>
        <w:tc>
          <w:tcPr>
            <w:tcW w:w="82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settlement, environmental charges) that in total exceed $200,000 in EBITDA</w:t>
            </w: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90"/>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(favorable or unfavorable)</w:t>
            </w: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r>
        <w:trPr>
          <w:trHeight w:val="244"/>
        </w:trPr>
        <w:tc>
          <w:tcPr>
            <w:tcW w:w="8200" w:type="dxa"/>
            <w:vAlign w:val="bottom"/>
            <w:tcBorders>
              <w:left w:val="single" w:sz="8" w:color="auto"/>
              <w:right w:val="single" w:sz="8" w:color="auto"/>
            </w:tcBorders>
          </w:tcPr>
          <w:p>
            <w:pPr>
              <w:ind w:left="40"/>
              <w:spacing w:after="0" w:line="244" w:lineRule="exact"/>
              <w:rPr>
                <w:sz w:val="20"/>
                <w:szCs w:val="20"/>
                <w:color w:val="auto"/>
              </w:rPr>
            </w:pPr>
            <w:r>
              <w:rPr>
                <w:rFonts w:ascii="Arial" w:cs="Arial" w:eastAsia="Arial" w:hAnsi="Arial"/>
                <w:sz w:val="22"/>
                <w:szCs w:val="22"/>
                <w:color w:val="auto"/>
              </w:rPr>
              <w:t>The impact on any Operating Unit attributable to any administrative intercompany</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r>
      <w:tr>
        <w:trPr>
          <w:trHeight w:val="290"/>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charges related to transfer pricing compliance where the consolidated impact is zero.</w:t>
            </w: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r>
        <w:trPr>
          <w:trHeight w:val="244"/>
        </w:trPr>
        <w:tc>
          <w:tcPr>
            <w:tcW w:w="8200" w:type="dxa"/>
            <w:vAlign w:val="bottom"/>
            <w:tcBorders>
              <w:left w:val="single" w:sz="8" w:color="auto"/>
              <w:right w:val="single" w:sz="8" w:color="auto"/>
            </w:tcBorders>
          </w:tcPr>
          <w:p>
            <w:pPr>
              <w:ind w:left="40"/>
              <w:spacing w:after="0" w:line="244" w:lineRule="exact"/>
              <w:rPr>
                <w:sz w:val="20"/>
                <w:szCs w:val="20"/>
                <w:color w:val="auto"/>
              </w:rPr>
            </w:pPr>
            <w:r>
              <w:rPr>
                <w:rFonts w:ascii="Arial" w:cs="Arial" w:eastAsia="Arial" w:hAnsi="Arial"/>
                <w:sz w:val="22"/>
                <w:szCs w:val="22"/>
                <w:color w:val="auto"/>
              </w:rPr>
              <w:t>Other adjustments for unforeseen extraordinary circumstances as deemed</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c>
          <w:tcPr>
            <w:tcW w:w="1500" w:type="dxa"/>
            <w:vAlign w:val="bottom"/>
            <w:tcBorders>
              <w:right w:val="single" w:sz="8" w:color="auto"/>
            </w:tcBorders>
          </w:tcPr>
          <w:p>
            <w:pPr>
              <w:jc w:val="center"/>
              <w:spacing w:after="0" w:line="244" w:lineRule="exact"/>
              <w:rPr>
                <w:sz w:val="20"/>
                <w:szCs w:val="20"/>
                <w:color w:val="auto"/>
              </w:rPr>
            </w:pPr>
            <w:r>
              <w:rPr>
                <w:rFonts w:ascii="Arial" w:cs="Arial" w:eastAsia="Arial" w:hAnsi="Arial"/>
                <w:sz w:val="22"/>
                <w:szCs w:val="22"/>
                <w:color w:val="auto"/>
                <w:w w:val="95"/>
              </w:rPr>
              <w:t>X</w:t>
            </w:r>
          </w:p>
        </w:tc>
      </w:tr>
      <w:tr>
        <w:trPr>
          <w:trHeight w:val="290"/>
        </w:trPr>
        <w:tc>
          <w:tcPr>
            <w:tcW w:w="8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appropriate in the sole discretion of the Committee</w:t>
            </w: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alibri" w:cs="Calibri" w:eastAsia="Calibri" w:hAnsi="Calibri"/>
          <w:sz w:val="31"/>
          <w:szCs w:val="31"/>
          <w:b w:val="1"/>
          <w:bCs w:val="1"/>
          <w:color w:val="1F487C"/>
        </w:rPr>
        <w:t>Policy Guide Document</w:t>
      </w:r>
    </w:p>
    <w:p>
      <w:pPr>
        <w:spacing w:after="0"/>
        <w:rPr>
          <w:sz w:val="20"/>
          <w:szCs w:val="20"/>
          <w:color w:val="auto"/>
        </w:rPr>
      </w:pPr>
      <w:r>
        <w:rPr>
          <w:rFonts w:ascii="Calibri" w:cs="Calibri" w:eastAsia="Calibri" w:hAnsi="Calibri"/>
          <w:sz w:val="31"/>
          <w:szCs w:val="31"/>
          <w:b w:val="1"/>
          <w:bCs w:val="1"/>
          <w:color w:val="008080"/>
        </w:rPr>
        <w:t>Insider Trading Policy</w:t>
      </w:r>
    </w:p>
    <w:p>
      <w:pPr>
        <w:spacing w:after="0" w:line="4" w:lineRule="exact"/>
        <w:rPr>
          <w:sz w:val="20"/>
          <w:szCs w:val="20"/>
          <w:color w:val="auto"/>
        </w:rPr>
      </w:pPr>
    </w:p>
    <w:p>
      <w:pPr>
        <w:spacing w:after="0"/>
        <w:rPr>
          <w:sz w:val="20"/>
          <w:szCs w:val="20"/>
          <w:color w:val="auto"/>
        </w:rPr>
      </w:pPr>
      <w:r>
        <w:rPr>
          <w:rFonts w:ascii="Calibri" w:cs="Calibri" w:eastAsia="Calibri" w:hAnsi="Calibri"/>
          <w:sz w:val="22"/>
          <w:szCs w:val="22"/>
          <w:color w:val="C0504D"/>
        </w:rPr>
        <w:t>Revised: February 14, 2023</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Purpose</w:t>
      </w:r>
    </w:p>
    <w:p>
      <w:pPr>
        <w:spacing w:after="0" w:line="12" w:lineRule="exact"/>
        <w:rPr>
          <w:sz w:val="20"/>
          <w:szCs w:val="20"/>
          <w:color w:val="auto"/>
        </w:rPr>
      </w:pPr>
    </w:p>
    <w:p>
      <w:pPr>
        <w:ind w:right="100"/>
        <w:spacing w:after="0" w:line="233" w:lineRule="auto"/>
        <w:rPr>
          <w:sz w:val="20"/>
          <w:szCs w:val="20"/>
          <w:color w:val="auto"/>
        </w:rPr>
      </w:pPr>
      <w:r>
        <w:rPr>
          <w:rFonts w:ascii="Calibri" w:cs="Calibri" w:eastAsia="Calibri" w:hAnsi="Calibri"/>
          <w:sz w:val="22"/>
          <w:szCs w:val="22"/>
          <w:color w:val="auto"/>
        </w:rPr>
        <w:t>This Insider Trading Policy (the “Policy”) provides guidelines with respect to transactons in the securites of L. B. Foster Company (the “Company”) and the handling of confdental informaton about the Company and the companies with which the Company does business. The Company’s Board of Directors has adopted this Policy to promote compliance with federal, state and foreign securites laws that prohibit certain persons who are aware of material nonpublic informaton about a company from: (i) trading in securites of that company; or (ii) providing material nonpublic informaton to other persons who may trade on the basis of that informaton.</w:t>
      </w:r>
    </w:p>
    <w:p>
      <w:pPr>
        <w:spacing w:after="0" w:line="24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Persons Subject to the Policy</w:t>
      </w:r>
    </w:p>
    <w:p>
      <w:pPr>
        <w:spacing w:after="0" w:line="1" w:lineRule="exact"/>
        <w:rPr>
          <w:sz w:val="20"/>
          <w:szCs w:val="20"/>
          <w:color w:val="auto"/>
        </w:rPr>
      </w:pPr>
    </w:p>
    <w:p>
      <w:pPr>
        <w:ind w:right="220"/>
        <w:spacing w:after="0" w:line="235" w:lineRule="auto"/>
        <w:rPr>
          <w:sz w:val="20"/>
          <w:szCs w:val="20"/>
          <w:color w:val="auto"/>
        </w:rPr>
      </w:pPr>
      <w:r>
        <w:rPr>
          <w:rFonts w:ascii="Calibri" w:cs="Calibri" w:eastAsia="Calibri" w:hAnsi="Calibri"/>
          <w:sz w:val="22"/>
          <w:szCs w:val="22"/>
          <w:color w:val="auto"/>
        </w:rPr>
        <w:t>This Policy applies to all ofcers of the Company (in each case, the term “ofcer” has the meaning set forth in Rule 16a-1(f) promulgated under the Securites Exchange Act of 1934 (the “Exchange Act”))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informaton about the Company and/or its securites. This Policy also applies to family members, other members of a person’s household and enttes controlled by a person covered by this Policy, as described below.</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 Subject to the Policy</w:t>
      </w:r>
    </w:p>
    <w:p>
      <w:pPr>
        <w:spacing w:after="0" w:line="12" w:lineRule="exact"/>
        <w:rPr>
          <w:sz w:val="20"/>
          <w:szCs w:val="20"/>
          <w:color w:val="auto"/>
        </w:rPr>
      </w:pPr>
    </w:p>
    <w:p>
      <w:pPr>
        <w:ind w:right="200"/>
        <w:spacing w:after="0" w:line="232" w:lineRule="auto"/>
        <w:rPr>
          <w:sz w:val="20"/>
          <w:szCs w:val="20"/>
          <w:color w:val="auto"/>
        </w:rPr>
      </w:pPr>
      <w:r>
        <w:rPr>
          <w:rFonts w:ascii="Calibri" w:cs="Calibri" w:eastAsia="Calibri" w:hAnsi="Calibri"/>
          <w:sz w:val="22"/>
          <w:szCs w:val="22"/>
          <w:color w:val="auto"/>
        </w:rPr>
        <w:t>This Policy applies to transactons in the Company’s securites (collectvely, “Company Securites”), including the Company’s common stock, optons to purchase common stock, or any other type of securites that the Company may issue, including (but not limited to) preferred stock, convertble debentures, senior notes and warrants, as well as derivatve securites that are not issued by the Company, such as exchange-traded put or call optons or swaps relatng to the Company’s Securites.</w:t>
      </w: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Individual Responsibility</w:t>
      </w:r>
    </w:p>
    <w:p>
      <w:pPr>
        <w:spacing w:after="0" w:line="12" w:lineRule="exact"/>
        <w:rPr>
          <w:sz w:val="20"/>
          <w:szCs w:val="20"/>
          <w:color w:val="auto"/>
        </w:rPr>
      </w:pPr>
    </w:p>
    <w:p>
      <w:pPr>
        <w:spacing w:after="0" w:line="233" w:lineRule="auto"/>
        <w:rPr>
          <w:sz w:val="20"/>
          <w:szCs w:val="20"/>
          <w:color w:val="auto"/>
        </w:rPr>
      </w:pPr>
      <w:r>
        <w:rPr>
          <w:rFonts w:ascii="Calibri" w:cs="Calibri" w:eastAsia="Calibri" w:hAnsi="Calibri"/>
          <w:sz w:val="22"/>
          <w:szCs w:val="22"/>
          <w:color w:val="auto"/>
        </w:rPr>
        <w:t>Persons subject to this Policy have ethical and legal obligatons to maintain the confdentality of informaton about the Company and not to engage in transactons in Company Securites while in possession of material nonpublic informaton. Each individual is responsible for making sure that he or she complies with this Policy, and that any family member, household member or entty whose transactons are subject to this Policy, as discussed below, also comply with this Policy. In all cases, the responsibility for determining whether an individual is in possession of material nonpublic informaton rests with that individual, and any acton on the part of the Company, the Compliance Ofcer (as hereinafer defned) or any other employee or director pursuant to this Policy (or otherwise) does not in any way consttute legal advice or insulate an individual from liability under applicable securites laws. You could be subject to severe legal</w:t>
      </w:r>
    </w:p>
    <w:p>
      <w:pPr>
        <w:sectPr>
          <w:pgSz w:w="11900" w:h="16838" w:orient="portrait"/>
          <w:cols w:equalWidth="0" w:num="1">
            <w:col w:w="11240"/>
          </w:cols>
          <w:pgMar w:left="320" w:top="125" w:right="339" w:bottom="1440" w:gutter="0" w:footer="0" w:header="0"/>
        </w:sectPr>
      </w:pPr>
    </w:p>
    <w:bookmarkStart w:id="83" w:name="page84"/>
    <w:bookmarkEnd w:id="83"/>
    <w:p>
      <w:pPr>
        <w:ind w:right="560"/>
        <w:spacing w:after="0" w:line="235" w:lineRule="auto"/>
        <w:rPr>
          <w:sz w:val="20"/>
          <w:szCs w:val="20"/>
          <w:color w:val="auto"/>
        </w:rPr>
      </w:pPr>
      <w:r>
        <w:rPr>
          <w:rFonts w:ascii="Calibri" w:cs="Calibri" w:eastAsia="Calibri" w:hAnsi="Calibri"/>
          <w:sz w:val="22"/>
          <w:szCs w:val="22"/>
          <w:color w:val="auto"/>
        </w:rPr>
        <w:t>penaltes and disciplinary acton by the Company for any conduct prohibited by this Policy or applicable securites laws, as described below in more detail under the heading “Consequences of Violatons.”</w:t>
      </w:r>
    </w:p>
    <w:p>
      <w:pPr>
        <w:spacing w:after="0" w:line="231" w:lineRule="auto"/>
        <w:rPr>
          <w:sz w:val="20"/>
          <w:szCs w:val="20"/>
          <w:color w:val="auto"/>
        </w:rPr>
      </w:pPr>
      <w:r>
        <w:rPr>
          <w:rFonts w:ascii="Calibri" w:cs="Calibri" w:eastAsia="Calibri" w:hAnsi="Calibri"/>
          <w:sz w:val="22"/>
          <w:szCs w:val="22"/>
          <w:b w:val="1"/>
          <w:bCs w:val="1"/>
          <w:color w:val="auto"/>
        </w:rPr>
        <w:t>Administraton of the Policy</w:t>
      </w:r>
    </w:p>
    <w:p>
      <w:pPr>
        <w:spacing w:after="0" w:line="12" w:lineRule="exact"/>
        <w:rPr>
          <w:sz w:val="20"/>
          <w:szCs w:val="20"/>
          <w:color w:val="auto"/>
        </w:rPr>
      </w:pPr>
    </w:p>
    <w:p>
      <w:pPr>
        <w:ind w:right="140"/>
        <w:spacing w:after="0" w:line="232" w:lineRule="auto"/>
        <w:rPr>
          <w:sz w:val="20"/>
          <w:szCs w:val="20"/>
          <w:color w:val="auto"/>
        </w:rPr>
      </w:pPr>
      <w:r>
        <w:rPr>
          <w:rFonts w:ascii="Calibri" w:cs="Calibri" w:eastAsia="Calibri" w:hAnsi="Calibri"/>
          <w:sz w:val="22"/>
          <w:szCs w:val="22"/>
          <w:color w:val="auto"/>
        </w:rPr>
        <w:t>The Company’s General Counsel shall serve as the Compliance Ofcer for the purposes of this Policy, and in his or her absence, another employee designated by the Compliance Ofcer or the Company’s Board of Directors shall be responsible for administraton of this Policy. All determinatons and interpretatons by the Compliance Ofcer shall be fnal and not subject to further review.</w:t>
      </w: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Statement of Policy</w:t>
      </w:r>
    </w:p>
    <w:p>
      <w:pPr>
        <w:jc w:val="both"/>
        <w:ind w:right="120"/>
        <w:spacing w:after="0" w:line="232" w:lineRule="auto"/>
        <w:rPr>
          <w:sz w:val="20"/>
          <w:szCs w:val="20"/>
          <w:color w:val="auto"/>
        </w:rPr>
      </w:pPr>
      <w:r>
        <w:rPr>
          <w:rFonts w:ascii="Calibri" w:cs="Calibri" w:eastAsia="Calibri" w:hAnsi="Calibri"/>
          <w:sz w:val="22"/>
          <w:szCs w:val="22"/>
          <w:color w:val="auto"/>
        </w:rPr>
        <w:t>It is the policy of the Company that no director, ofcer or other employee of the Company (or any other person designated by this Policy or by the Compliance Ofcer as subject to this Policy) who is aware of material nonpublic informaton relatng to the Company may, directly, or indirectly through family members or other persons or enttes:</w:t>
      </w:r>
    </w:p>
    <w:p>
      <w:pPr>
        <w:spacing w:after="0" w:line="259" w:lineRule="exact"/>
        <w:rPr>
          <w:sz w:val="20"/>
          <w:szCs w:val="20"/>
          <w:color w:val="auto"/>
        </w:rPr>
      </w:pPr>
    </w:p>
    <w:p>
      <w:pPr>
        <w:ind w:left="660" w:hanging="328"/>
        <w:spacing w:after="0" w:line="241" w:lineRule="auto"/>
        <w:tabs>
          <w:tab w:leader="none" w:pos="660" w:val="left"/>
        </w:tabs>
        <w:numPr>
          <w:ilvl w:val="0"/>
          <w:numId w:val="21"/>
        </w:numPr>
        <w:rPr>
          <w:rFonts w:ascii="Calibri" w:cs="Calibri" w:eastAsia="Calibri" w:hAnsi="Calibri"/>
          <w:sz w:val="21"/>
          <w:szCs w:val="21"/>
          <w:color w:val="auto"/>
        </w:rPr>
      </w:pPr>
      <w:r>
        <w:rPr>
          <w:rFonts w:ascii="Calibri" w:cs="Calibri" w:eastAsia="Calibri" w:hAnsi="Calibri"/>
          <w:sz w:val="21"/>
          <w:szCs w:val="21"/>
          <w:color w:val="auto"/>
        </w:rPr>
        <w:t>Engage in transactons in Company Securites, except as otherwise specifed and permited in this Policy under the headings “Transactons Under Company Plans,” “Transactons Not Involving a Purchase or Sale” and “Rule 10b5-1 Plans;”</w:t>
      </w:r>
    </w:p>
    <w:p>
      <w:pPr>
        <w:spacing w:after="0" w:line="242" w:lineRule="exact"/>
        <w:rPr>
          <w:rFonts w:ascii="Calibri" w:cs="Calibri" w:eastAsia="Calibri" w:hAnsi="Calibri"/>
          <w:sz w:val="21"/>
          <w:szCs w:val="21"/>
          <w:color w:val="auto"/>
        </w:rPr>
      </w:pPr>
    </w:p>
    <w:p>
      <w:pPr>
        <w:ind w:left="660" w:hanging="328"/>
        <w:spacing w:after="0"/>
        <w:tabs>
          <w:tab w:leader="none" w:pos="660" w:val="left"/>
        </w:tabs>
        <w:numPr>
          <w:ilvl w:val="0"/>
          <w:numId w:val="21"/>
        </w:numPr>
        <w:rPr>
          <w:rFonts w:ascii="Calibri" w:cs="Calibri" w:eastAsia="Calibri" w:hAnsi="Calibri"/>
          <w:sz w:val="22"/>
          <w:szCs w:val="22"/>
          <w:color w:val="auto"/>
        </w:rPr>
      </w:pPr>
      <w:r>
        <w:rPr>
          <w:rFonts w:ascii="Calibri" w:cs="Calibri" w:eastAsia="Calibri" w:hAnsi="Calibri"/>
          <w:sz w:val="22"/>
          <w:szCs w:val="22"/>
          <w:color w:val="auto"/>
        </w:rPr>
        <w:t>Recommend the purchase or sale of any Company Securites;</w:t>
      </w:r>
    </w:p>
    <w:p>
      <w:pPr>
        <w:spacing w:after="0" w:line="243" w:lineRule="exact"/>
        <w:rPr>
          <w:rFonts w:ascii="Calibri" w:cs="Calibri" w:eastAsia="Calibri" w:hAnsi="Calibri"/>
          <w:sz w:val="22"/>
          <w:szCs w:val="22"/>
          <w:color w:val="auto"/>
        </w:rPr>
      </w:pPr>
    </w:p>
    <w:p>
      <w:pPr>
        <w:ind w:left="660" w:right="180" w:hanging="328"/>
        <w:spacing w:after="0" w:line="249" w:lineRule="auto"/>
        <w:tabs>
          <w:tab w:leader="none" w:pos="660" w:val="left"/>
        </w:tabs>
        <w:numPr>
          <w:ilvl w:val="0"/>
          <w:numId w:val="21"/>
        </w:numPr>
        <w:rPr>
          <w:rFonts w:ascii="Calibri" w:cs="Calibri" w:eastAsia="Calibri" w:hAnsi="Calibri"/>
          <w:sz w:val="21"/>
          <w:szCs w:val="21"/>
          <w:color w:val="auto"/>
        </w:rPr>
      </w:pPr>
      <w:r>
        <w:rPr>
          <w:rFonts w:ascii="Calibri" w:cs="Calibri" w:eastAsia="Calibri" w:hAnsi="Calibri"/>
          <w:sz w:val="21"/>
          <w:szCs w:val="21"/>
          <w:color w:val="auto"/>
        </w:rPr>
        <w:t>Disclose material nonpublic informaton to persons within the Company whose jobs do not require them to have that informaton, or outside of the Company to other persons, including, but not limited to, family, friends, business associates, investors and expert consultng frms, unless any such disclosure is made in accordance with the Company’s policies regarding the protecton or authorized external disclosure of informaton regarding the Company; or</w:t>
      </w:r>
    </w:p>
    <w:p>
      <w:pPr>
        <w:spacing w:after="0" w:line="219" w:lineRule="exact"/>
        <w:rPr>
          <w:rFonts w:ascii="Calibri" w:cs="Calibri" w:eastAsia="Calibri" w:hAnsi="Calibri"/>
          <w:sz w:val="21"/>
          <w:szCs w:val="21"/>
          <w:color w:val="auto"/>
        </w:rPr>
      </w:pPr>
    </w:p>
    <w:p>
      <w:pPr>
        <w:ind w:left="660" w:hanging="328"/>
        <w:spacing w:after="0"/>
        <w:tabs>
          <w:tab w:leader="none" w:pos="660" w:val="left"/>
        </w:tabs>
        <w:numPr>
          <w:ilvl w:val="0"/>
          <w:numId w:val="21"/>
        </w:numPr>
        <w:rPr>
          <w:rFonts w:ascii="Calibri" w:cs="Calibri" w:eastAsia="Calibri" w:hAnsi="Calibri"/>
          <w:sz w:val="22"/>
          <w:szCs w:val="22"/>
          <w:color w:val="auto"/>
        </w:rPr>
      </w:pPr>
      <w:r>
        <w:rPr>
          <w:rFonts w:ascii="Calibri" w:cs="Calibri" w:eastAsia="Calibri" w:hAnsi="Calibri"/>
          <w:sz w:val="22"/>
          <w:szCs w:val="22"/>
          <w:color w:val="auto"/>
        </w:rPr>
        <w:t>Assist anyone engaged in the above actvites.</w:t>
      </w:r>
    </w:p>
    <w:p>
      <w:pPr>
        <w:spacing w:after="0" w:line="257" w:lineRule="exact"/>
        <w:rPr>
          <w:sz w:val="20"/>
          <w:szCs w:val="20"/>
          <w:color w:val="auto"/>
        </w:rPr>
      </w:pPr>
    </w:p>
    <w:p>
      <w:pPr>
        <w:ind w:right="40"/>
        <w:spacing w:after="0" w:line="234" w:lineRule="auto"/>
        <w:rPr>
          <w:sz w:val="20"/>
          <w:szCs w:val="20"/>
          <w:color w:val="auto"/>
        </w:rPr>
      </w:pPr>
      <w:r>
        <w:rPr>
          <w:rFonts w:ascii="Calibri" w:cs="Calibri" w:eastAsia="Calibri" w:hAnsi="Calibri"/>
          <w:sz w:val="22"/>
          <w:szCs w:val="22"/>
          <w:color w:val="auto"/>
        </w:rPr>
        <w:t>When a person who is subject to this Policy, in connecton with working for the Company, becomes aware of material nonpublic informaton of a company with which the Company does business, including customers and suppliers, this Policy also applies equally to transactons in the securites of such other company. Each person who is subject to this Policy must treat material nonpublic informaton about the Company’s business partners, customers and suppliers with the same care required with respect to the Company’s material nonpublic informaton.</w:t>
      </w:r>
    </w:p>
    <w:p>
      <w:pPr>
        <w:spacing w:after="0" w:line="243" w:lineRule="exact"/>
        <w:rPr>
          <w:sz w:val="20"/>
          <w:szCs w:val="20"/>
          <w:color w:val="auto"/>
        </w:rPr>
      </w:pPr>
    </w:p>
    <w:p>
      <w:pPr>
        <w:ind w:right="140"/>
        <w:spacing w:after="0" w:line="235" w:lineRule="auto"/>
        <w:rPr>
          <w:sz w:val="20"/>
          <w:szCs w:val="20"/>
          <w:color w:val="auto"/>
        </w:rPr>
      </w:pPr>
      <w:r>
        <w:rPr>
          <w:rFonts w:ascii="Calibri" w:cs="Calibri" w:eastAsia="Calibri" w:hAnsi="Calibri"/>
          <w:sz w:val="22"/>
          <w:szCs w:val="22"/>
          <w:color w:val="auto"/>
        </w:rPr>
        <w:t>In additon, it is the policy of the Company that no director, ofcer or other employee of the Company (or any other person designated as subject to this Policy) may communicate or tp material nonpublic informaton, as described more fully below, to any third party (a “Tippee”). Tippees inherit an insider’s dutes and may be liable for trading on material nonpublic informaton illegally tpped to them by an insider. Tippees can obtain material nonpublic</w:t>
      </w:r>
    </w:p>
    <w:p>
      <w:pPr>
        <w:sectPr>
          <w:pgSz w:w="11900" w:h="16838" w:orient="portrait"/>
          <w:cols w:equalWidth="0" w:num="1">
            <w:col w:w="11220"/>
          </w:cols>
          <w:pgMar w:left="320" w:top="1407" w:right="359" w:bottom="1440" w:gutter="0" w:footer="0" w:header="0"/>
        </w:sectPr>
      </w:pPr>
    </w:p>
    <w:bookmarkStart w:id="84" w:name="page85"/>
    <w:bookmarkEnd w:id="84"/>
    <w:p>
      <w:pPr>
        <w:ind w:right="620"/>
        <w:spacing w:after="0" w:line="233" w:lineRule="auto"/>
        <w:rPr>
          <w:sz w:val="20"/>
          <w:szCs w:val="20"/>
          <w:color w:val="auto"/>
        </w:rPr>
      </w:pPr>
      <w:r>
        <w:rPr>
          <w:rFonts w:ascii="Calibri" w:cs="Calibri" w:eastAsia="Calibri" w:hAnsi="Calibri"/>
          <w:sz w:val="22"/>
          <w:szCs w:val="22"/>
          <w:color w:val="auto"/>
        </w:rPr>
        <w:t>informaton by receiving overt tps from others or through, among other things, conversatons at social, business or other gatherings. Therefore, any person who is subject to this Policy must keep all material nonpublic informaton relatng the Company strictly confdental.</w:t>
      </w:r>
    </w:p>
    <w:p>
      <w:pPr>
        <w:spacing w:after="0" w:line="257" w:lineRule="exact"/>
        <w:rPr>
          <w:sz w:val="20"/>
          <w:szCs w:val="20"/>
          <w:color w:val="auto"/>
        </w:rPr>
      </w:pPr>
    </w:p>
    <w:p>
      <w:pPr>
        <w:spacing w:after="0" w:line="244" w:lineRule="auto"/>
        <w:rPr>
          <w:sz w:val="20"/>
          <w:szCs w:val="20"/>
          <w:color w:val="auto"/>
        </w:rPr>
      </w:pPr>
      <w:r>
        <w:rPr>
          <w:rFonts w:ascii="Calibri" w:cs="Calibri" w:eastAsia="Calibri" w:hAnsi="Calibri"/>
          <w:sz w:val="21"/>
          <w:szCs w:val="21"/>
          <w:color w:val="auto"/>
        </w:rPr>
        <w:t>There are no exceptons to this Policy, except as specifcally noted herein. Transactons that may be necessary or justfable for independent reasons (such as the need to raise money for an emergency expenditure), or small transactons, are not excepted from this Policy. The securites laws do not recognize any mitgatng circumstances, and, in any event, even the appearance of an improper transacton must be avoided to preserve the Company’s reputaton for adhering to the highest standards of conduct.</w:t>
      </w:r>
    </w:p>
    <w:p>
      <w:pPr>
        <w:spacing w:after="0" w:line="2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Defniton of Material Nonpublic Informaton</w:t>
      </w:r>
    </w:p>
    <w:p>
      <w:pPr>
        <w:spacing w:after="0" w:line="234" w:lineRule="auto"/>
        <w:rPr>
          <w:sz w:val="20"/>
          <w:szCs w:val="20"/>
          <w:color w:val="auto"/>
        </w:rPr>
      </w:pPr>
      <w:r>
        <w:rPr>
          <w:rFonts w:ascii="Calibri" w:cs="Calibri" w:eastAsia="Calibri" w:hAnsi="Calibri"/>
          <w:sz w:val="22"/>
          <w:szCs w:val="22"/>
          <w:u w:val="single" w:color="auto"/>
          <w:color w:val="auto"/>
        </w:rPr>
        <w:t>Material Informaton</w:t>
      </w:r>
      <w:r>
        <w:rPr>
          <w:rFonts w:ascii="Calibri" w:cs="Calibri" w:eastAsia="Calibri" w:hAnsi="Calibri"/>
          <w:sz w:val="22"/>
          <w:szCs w:val="22"/>
          <w:color w:val="auto"/>
        </w:rPr>
        <w:t>. Informaton is considered “material” if a reasonable investor would consider that informaton important in making a decision to buy, hold or sell securites. Any informaton that could be expected to afect the Company’s stock price, whether it is positve or negatve, should be considered material. There is no bright-line standard for assessing materiality; rather, materiality is based on an assessment of all of the facts and circumstances, and is ofen evaluated by enforcement authorites with the beneft of hindsight. While it is not possible to defne all categories of material informaton, some examples of Company informaton and informaton about the Company’s business partners, customers and suppliers that ordinarily would be regarded as material are:</w:t>
      </w:r>
    </w:p>
    <w:p>
      <w:pPr>
        <w:spacing w:after="0" w:line="234" w:lineRule="exact"/>
        <w:rPr>
          <w:sz w:val="20"/>
          <w:szCs w:val="20"/>
          <w:color w:val="auto"/>
        </w:rPr>
      </w:pPr>
    </w:p>
    <w:p>
      <w:pPr>
        <w:ind w:left="660" w:hanging="328"/>
        <w:spacing w:after="0"/>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Unpublished fnancial results or projectons of future earnings or losses, or other earnings guidance;</w:t>
      </w:r>
    </w:p>
    <w:p>
      <w:pPr>
        <w:ind w:left="660" w:hanging="328"/>
        <w:spacing w:after="0" w:line="205"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Changes to previously announced earnings guidance, or the decision to suspend earnings guidance;</w:t>
      </w: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pending or proposed merger, acquisiton or tender ofer;</w:t>
      </w: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pending or proposed acquisiton or dispositon of a signifcant asset;</w:t>
      </w:r>
    </w:p>
    <w:p>
      <w:pPr>
        <w:ind w:left="660" w:hanging="328"/>
        <w:spacing w:after="0" w:line="205"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pending or proposed joint venture;</w:t>
      </w: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company restructuring;</w:t>
      </w:r>
    </w:p>
    <w:p>
      <w:pPr>
        <w:ind w:left="660" w:hanging="328"/>
        <w:spacing w:after="0" w:line="205"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Signifcant related party transactons;</w:t>
      </w: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change in dividend policy, the declaraton of a stock split, or an ofering of additonal securites;</w:t>
      </w:r>
    </w:p>
    <w:p>
      <w:pPr>
        <w:ind w:left="660" w:hanging="328"/>
        <w:spacing w:after="0" w:line="203"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Bank borrowings or other fnancing transactons out of the ordinary course;</w:t>
      </w:r>
    </w:p>
    <w:p>
      <w:pPr>
        <w:ind w:left="660" w:hanging="328"/>
        <w:spacing w:after="0" w:line="218"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The establishment of a repurchase program for company securites;</w:t>
      </w:r>
    </w:p>
    <w:p>
      <w:pPr>
        <w:spacing w:after="0" w:line="1" w:lineRule="exact"/>
        <w:rPr>
          <w:rFonts w:ascii="Calibri" w:cs="Calibri" w:eastAsia="Calibri" w:hAnsi="Calibri"/>
          <w:sz w:val="22"/>
          <w:szCs w:val="22"/>
          <w:color w:val="auto"/>
        </w:rPr>
      </w:pP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change in a company’s pricing or cost structure;</w:t>
      </w:r>
    </w:p>
    <w:p>
      <w:pPr>
        <w:ind w:left="660" w:hanging="328"/>
        <w:spacing w:after="0" w:line="205"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Major marketng changes;</w:t>
      </w: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change in management;</w:t>
      </w:r>
    </w:p>
    <w:p>
      <w:pPr>
        <w:ind w:left="660" w:hanging="328"/>
        <w:spacing w:after="0" w:line="203"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A change in auditors or notfcaton that the auditor’s reports may no longer be relied upon;</w:t>
      </w:r>
    </w:p>
    <w:p>
      <w:pPr>
        <w:ind w:left="660" w:hanging="328"/>
        <w:spacing w:after="0" w:line="218"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Development of a signifcant new product, process, or service;</w:t>
      </w:r>
    </w:p>
    <w:p>
      <w:pPr>
        <w:spacing w:after="0" w:line="1" w:lineRule="exact"/>
        <w:rPr>
          <w:rFonts w:ascii="Calibri" w:cs="Calibri" w:eastAsia="Calibri" w:hAnsi="Calibri"/>
          <w:sz w:val="22"/>
          <w:szCs w:val="22"/>
          <w:color w:val="auto"/>
        </w:rPr>
      </w:pPr>
    </w:p>
    <w:p>
      <w:pPr>
        <w:ind w:left="660" w:hanging="328"/>
        <w:spacing w:after="0" w:line="217"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Pending or threatened signifcant litgaton, or the resoluton of such litgaton;</w:t>
      </w:r>
    </w:p>
    <w:p>
      <w:pPr>
        <w:ind w:left="660" w:hanging="328"/>
        <w:spacing w:after="0" w:line="203"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Impending bankruptcy or the existence of severe liquidity problems;</w:t>
      </w:r>
    </w:p>
    <w:p>
      <w:pPr>
        <w:ind w:left="660" w:hanging="328"/>
        <w:spacing w:after="0" w:line="218"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The gain or loss of a signifcant customer or supplier;</w:t>
      </w:r>
    </w:p>
    <w:p>
      <w:pPr>
        <w:spacing w:after="0" w:line="1" w:lineRule="exact"/>
        <w:rPr>
          <w:rFonts w:ascii="Calibri" w:cs="Calibri" w:eastAsia="Calibri" w:hAnsi="Calibri"/>
          <w:sz w:val="22"/>
          <w:szCs w:val="22"/>
          <w:color w:val="auto"/>
        </w:rPr>
      </w:pPr>
    </w:p>
    <w:p>
      <w:pPr>
        <w:ind w:left="660" w:hanging="328"/>
        <w:spacing w:after="0" w:line="203" w:lineRule="auto"/>
        <w:tabs>
          <w:tab w:leader="none" w:pos="660" w:val="left"/>
        </w:tabs>
        <w:numPr>
          <w:ilvl w:val="0"/>
          <w:numId w:val="22"/>
        </w:numPr>
        <w:rPr>
          <w:rFonts w:ascii="Calibri" w:cs="Calibri" w:eastAsia="Calibri" w:hAnsi="Calibri"/>
          <w:sz w:val="22"/>
          <w:szCs w:val="22"/>
          <w:color w:val="auto"/>
        </w:rPr>
      </w:pPr>
      <w:r>
        <w:rPr>
          <w:rFonts w:ascii="Calibri" w:cs="Calibri" w:eastAsia="Calibri" w:hAnsi="Calibri"/>
          <w:sz w:val="22"/>
          <w:szCs w:val="22"/>
          <w:color w:val="auto"/>
        </w:rPr>
        <w:t>The impositon of a ban on trading in Company Securites or the securites of another company;</w:t>
      </w:r>
    </w:p>
    <w:p>
      <w:pPr>
        <w:sectPr>
          <w:pgSz w:w="11900" w:h="16838" w:orient="portrait"/>
          <w:cols w:equalWidth="0" w:num="1">
            <w:col w:w="11220"/>
          </w:cols>
          <w:pgMar w:left="320" w:top="1407" w:right="359" w:bottom="1440" w:gutter="0" w:footer="0" w:header="0"/>
        </w:sectPr>
      </w:pPr>
    </w:p>
    <w:bookmarkStart w:id="85" w:name="page86"/>
    <w:bookmarkEnd w:id="85"/>
    <w:p>
      <w:pPr>
        <w:ind w:left="660" w:hanging="328"/>
        <w:spacing w:after="0"/>
        <w:tabs>
          <w:tab w:leader="none" w:pos="660" w:val="left"/>
        </w:tabs>
        <w:numPr>
          <w:ilvl w:val="0"/>
          <w:numId w:val="23"/>
        </w:numPr>
        <w:rPr>
          <w:rFonts w:ascii="Calibri" w:cs="Calibri" w:eastAsia="Calibri" w:hAnsi="Calibri"/>
          <w:sz w:val="22"/>
          <w:szCs w:val="22"/>
          <w:color w:val="auto"/>
        </w:rPr>
      </w:pPr>
      <w:r>
        <w:rPr>
          <w:rFonts w:ascii="Calibri" w:cs="Calibri" w:eastAsia="Calibri" w:hAnsi="Calibri"/>
          <w:sz w:val="22"/>
          <w:szCs w:val="22"/>
          <w:color w:val="auto"/>
        </w:rPr>
        <w:t>Changes in credit ratngs, whether positve or negatve;</w:t>
      </w:r>
    </w:p>
    <w:p>
      <w:pPr>
        <w:ind w:left="660" w:hanging="328"/>
        <w:spacing w:after="0" w:line="217" w:lineRule="auto"/>
        <w:tabs>
          <w:tab w:leader="none" w:pos="660" w:val="left"/>
        </w:tabs>
        <w:numPr>
          <w:ilvl w:val="0"/>
          <w:numId w:val="23"/>
        </w:numPr>
        <w:rPr>
          <w:rFonts w:ascii="Calibri" w:cs="Calibri" w:eastAsia="Calibri" w:hAnsi="Calibri"/>
          <w:sz w:val="22"/>
          <w:szCs w:val="22"/>
          <w:color w:val="auto"/>
        </w:rPr>
      </w:pPr>
      <w:r>
        <w:rPr>
          <w:rFonts w:ascii="Calibri" w:cs="Calibri" w:eastAsia="Calibri" w:hAnsi="Calibri"/>
          <w:sz w:val="22"/>
          <w:szCs w:val="22"/>
          <w:color w:val="auto"/>
        </w:rPr>
        <w:t>A signifcant cybersecurity breach or incident;</w:t>
      </w:r>
    </w:p>
    <w:p>
      <w:pPr>
        <w:ind w:left="660" w:hanging="328"/>
        <w:spacing w:after="0" w:line="205" w:lineRule="auto"/>
        <w:tabs>
          <w:tab w:leader="none" w:pos="660" w:val="left"/>
        </w:tabs>
        <w:numPr>
          <w:ilvl w:val="0"/>
          <w:numId w:val="23"/>
        </w:numPr>
        <w:rPr>
          <w:rFonts w:ascii="Calibri" w:cs="Calibri" w:eastAsia="Calibri" w:hAnsi="Calibri"/>
          <w:sz w:val="22"/>
          <w:szCs w:val="22"/>
          <w:color w:val="auto"/>
        </w:rPr>
      </w:pPr>
      <w:r>
        <w:rPr>
          <w:rFonts w:ascii="Calibri" w:cs="Calibri" w:eastAsia="Calibri" w:hAnsi="Calibri"/>
          <w:sz w:val="22"/>
          <w:szCs w:val="22"/>
          <w:color w:val="auto"/>
        </w:rPr>
        <w:t>A signifcant impairment of, or write-down in, assets.</w:t>
      </w:r>
    </w:p>
    <w:p>
      <w:pPr>
        <w:spacing w:after="0" w:line="234" w:lineRule="auto"/>
        <w:rPr>
          <w:sz w:val="20"/>
          <w:szCs w:val="20"/>
          <w:color w:val="auto"/>
        </w:rPr>
      </w:pPr>
      <w:r>
        <w:rPr>
          <w:rFonts w:ascii="Calibri" w:cs="Calibri" w:eastAsia="Calibri" w:hAnsi="Calibri"/>
          <w:sz w:val="22"/>
          <w:szCs w:val="22"/>
          <w:u w:val="single" w:color="auto"/>
          <w:color w:val="auto"/>
        </w:rPr>
        <w:t>When Informaton is Considered Public</w:t>
      </w:r>
      <w:r>
        <w:rPr>
          <w:rFonts w:ascii="Calibri" w:cs="Calibri" w:eastAsia="Calibri" w:hAnsi="Calibri"/>
          <w:sz w:val="22"/>
          <w:szCs w:val="22"/>
          <w:color w:val="auto"/>
        </w:rPr>
        <w:t>. Informaton that has not been disclosed to the public is generally considered to be nonpublic informaton. In order to establish that the informaton has been disclosed to the public, it may be necessary to demonstrate that the informaton has been widely disseminated. Informaton generally would be considered widely disseminated if it has been disclosed through the Dow Jones “broad tape,” newswire services, a broadcast on widely-available radio or television programs, publicaton in a widely-available newspaper, magazine or news website, or public disclosure documents fled with the U.S. Securites and Exchange Commission (the “SEC”) that are available on the SEC’s website. By contrast, informaton would likely not be considered widely disseminated if it is available only to the Company’s employees, or if it is only available to a select group of analysts, brokers and insttutonal investors. Once informaton is widely disseminated, it is stll necessary to aford the investng public with sufcient tme to absorb the informaton. As a general rule, informaton should not be considered fully absorbed by the marketplace untl afer the frst business day afer the day on which the informaton is released. If, for example, the Company were to make an announcement on a Monday, you should not trade in Company Securites untl Wednesday. Depending on the partcular circumstances, the Company may determine that a longer or shorter period should apply to the release of specifc material nonpublic informaton.</w:t>
      </w:r>
    </w:p>
    <w:p>
      <w:pPr>
        <w:spacing w:after="0" w:line="2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 by Family Members and Others</w:t>
      </w:r>
    </w:p>
    <w:p>
      <w:pPr>
        <w:spacing w:after="0" w:line="12" w:lineRule="exact"/>
        <w:rPr>
          <w:sz w:val="20"/>
          <w:szCs w:val="20"/>
          <w:color w:val="auto"/>
        </w:rPr>
      </w:pPr>
    </w:p>
    <w:p>
      <w:pPr>
        <w:ind w:right="60"/>
        <w:spacing w:after="0" w:line="246" w:lineRule="auto"/>
        <w:rPr>
          <w:sz w:val="20"/>
          <w:szCs w:val="20"/>
          <w:color w:val="auto"/>
        </w:rPr>
      </w:pPr>
      <w:r>
        <w:rPr>
          <w:rFonts w:ascii="Calibri" w:cs="Calibri" w:eastAsia="Calibri" w:hAnsi="Calibri"/>
          <w:sz w:val="21"/>
          <w:szCs w:val="21"/>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transactons in Company Securites are directed by you or are subject to your infuence or control, such as parents or children who consult with you before they trade in Company Securites (collectvely referred to as “Family Members”). You are responsible for the transactons of these Family Members and therefore should make them aware of the need to confer with you before they trade in Company Securites, and you should treat all such transactons for the purposes of this Policy and applicable securites laws as if the transactons were for your own account. This Policy does not, however, apply to personal securites transactons of Family Members where the purchase or sale decision is made by a third party not controlled by, infuenced by or related to you or your Family Members.</w:t>
      </w:r>
    </w:p>
    <w:p>
      <w:pPr>
        <w:spacing w:after="0" w:line="24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 by Enttes that You Infuence or Control</w:t>
      </w:r>
    </w:p>
    <w:p>
      <w:pPr>
        <w:ind w:right="300"/>
        <w:spacing w:after="0" w:line="233" w:lineRule="auto"/>
        <w:rPr>
          <w:sz w:val="20"/>
          <w:szCs w:val="20"/>
          <w:color w:val="auto"/>
        </w:rPr>
      </w:pPr>
      <w:r>
        <w:rPr>
          <w:rFonts w:ascii="Calibri" w:cs="Calibri" w:eastAsia="Calibri" w:hAnsi="Calibri"/>
          <w:sz w:val="22"/>
          <w:szCs w:val="22"/>
          <w:color w:val="auto"/>
        </w:rPr>
        <w:t>This Policy applies to any enttes that you infuence or control, including any corporatons, partnerships or trusts (collectvely referred to as “Controlled Enttes”), and transactons by these Controlled Enttes should be treated for the purposes of this Policy and applicable securites laws as if they were for your own account.</w:t>
      </w:r>
    </w:p>
    <w:p>
      <w:pPr>
        <w:spacing w:after="0" w:line="24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 Under Company Plans</w:t>
      </w:r>
    </w:p>
    <w:p>
      <w:pPr>
        <w:spacing w:after="0" w:line="231" w:lineRule="auto"/>
        <w:rPr>
          <w:sz w:val="20"/>
          <w:szCs w:val="20"/>
          <w:color w:val="auto"/>
        </w:rPr>
      </w:pPr>
      <w:r>
        <w:rPr>
          <w:rFonts w:ascii="Calibri" w:cs="Calibri" w:eastAsia="Calibri" w:hAnsi="Calibri"/>
          <w:sz w:val="22"/>
          <w:szCs w:val="22"/>
          <w:color w:val="auto"/>
        </w:rPr>
        <w:t>This Policy does not apply in the case of the following transactons, except as specifcally noted:</w:t>
      </w:r>
    </w:p>
    <w:p>
      <w:pPr>
        <w:sectPr>
          <w:pgSz w:w="11900" w:h="16838" w:orient="portrait"/>
          <w:cols w:equalWidth="0" w:num="1">
            <w:col w:w="11220"/>
          </w:cols>
          <w:pgMar w:left="320" w:top="1383" w:right="359" w:bottom="1440" w:gutter="0" w:footer="0" w:header="0"/>
        </w:sectPr>
      </w:pPr>
    </w:p>
    <w:bookmarkStart w:id="86" w:name="page87"/>
    <w:bookmarkEnd w:id="86"/>
    <w:p>
      <w:pPr>
        <w:ind w:left="660" w:right="100" w:hanging="328"/>
        <w:spacing w:after="0" w:line="234" w:lineRule="auto"/>
        <w:tabs>
          <w:tab w:leader="none" w:pos="648"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2"/>
          <w:szCs w:val="22"/>
          <w:i w:val="1"/>
          <w:iCs w:val="1"/>
          <w:color w:val="auto"/>
        </w:rPr>
        <w:t xml:space="preserve">Restricted Stock and Restricted Stock Unit Awards. </w:t>
      </w:r>
      <w:r>
        <w:rPr>
          <w:rFonts w:ascii="Calibri" w:cs="Calibri" w:eastAsia="Calibri" w:hAnsi="Calibri"/>
          <w:sz w:val="22"/>
          <w:szCs w:val="22"/>
          <w:color w:val="auto"/>
        </w:rPr>
        <w:t>This Policy does not apply to the acquisiton of shares of common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stock upon vestng of restricted stock or restricted stock unit awards, or the exercise of a tax withholding right pursuant to which the Company withholds shares of stock to satsfy tax withholding requirements upon the vestng of any restricted stock or restricted stock unit award. The Policy does apply, however, to any market sale of vested shares of restricted stock or restricted stock unit awards.</w:t>
      </w:r>
    </w:p>
    <w:p>
      <w:pPr>
        <w:spacing w:after="0" w:line="256" w:lineRule="exact"/>
        <w:rPr>
          <w:rFonts w:ascii="Times New Roman" w:cs="Times New Roman" w:eastAsia="Times New Roman" w:hAnsi="Times New Roman"/>
          <w:sz w:val="20"/>
          <w:szCs w:val="20"/>
          <w:color w:val="auto"/>
        </w:rPr>
      </w:pPr>
    </w:p>
    <w:p>
      <w:pPr>
        <w:ind w:left="660" w:hanging="328"/>
        <w:spacing w:after="0" w:line="234" w:lineRule="auto"/>
        <w:tabs>
          <w:tab w:leader="none" w:pos="660" w:val="left"/>
        </w:tabs>
        <w:numPr>
          <w:ilvl w:val="0"/>
          <w:numId w:val="24"/>
        </w:numPr>
        <w:rPr>
          <w:rFonts w:ascii="Calibri" w:cs="Calibri" w:eastAsia="Calibri" w:hAnsi="Calibri"/>
          <w:sz w:val="22"/>
          <w:szCs w:val="22"/>
          <w:color w:val="auto"/>
        </w:rPr>
      </w:pPr>
      <w:r>
        <w:rPr>
          <w:rFonts w:ascii="Calibri" w:cs="Calibri" w:eastAsia="Calibri" w:hAnsi="Calibri"/>
          <w:sz w:val="22"/>
          <w:szCs w:val="22"/>
          <w:i w:val="1"/>
          <w:iCs w:val="1"/>
          <w:color w:val="auto"/>
        </w:rPr>
        <w:t xml:space="preserve">Stock Opton Exercises. </w:t>
      </w:r>
      <w:r>
        <w:rPr>
          <w:rFonts w:ascii="Calibri" w:cs="Calibri" w:eastAsia="Calibri" w:hAnsi="Calibri"/>
          <w:sz w:val="22"/>
          <w:szCs w:val="22"/>
          <w:color w:val="auto"/>
        </w:rPr>
        <w:t>This Policy does not apply to the exercise of stock optons acquired pursuant to the Company’s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plans, or to the exercise of a tax withholding right pursuant to which the Company withholds shares subject to an opton to satsfy tax withholding requirements. This Policy does apply, however, to any sale of stock as part of a broker-assisted cashless exercise of an opton, or any other market sale for the purpose of generatng the cash needed to pay the exercise price of an opton.</w:t>
      </w:r>
    </w:p>
    <w:p>
      <w:pPr>
        <w:spacing w:after="0" w:line="243" w:lineRule="exact"/>
        <w:rPr>
          <w:rFonts w:ascii="Calibri" w:cs="Calibri" w:eastAsia="Calibri" w:hAnsi="Calibri"/>
          <w:sz w:val="22"/>
          <w:szCs w:val="22"/>
          <w:color w:val="auto"/>
        </w:rPr>
      </w:pPr>
    </w:p>
    <w:p>
      <w:pPr>
        <w:ind w:left="660" w:right="120" w:hanging="328"/>
        <w:spacing w:after="0" w:line="233" w:lineRule="auto"/>
        <w:tabs>
          <w:tab w:leader="none" w:pos="660" w:val="left"/>
        </w:tabs>
        <w:numPr>
          <w:ilvl w:val="0"/>
          <w:numId w:val="24"/>
        </w:numPr>
        <w:rPr>
          <w:rFonts w:ascii="Calibri" w:cs="Calibri" w:eastAsia="Calibri" w:hAnsi="Calibri"/>
          <w:sz w:val="22"/>
          <w:szCs w:val="22"/>
          <w:color w:val="auto"/>
        </w:rPr>
      </w:pPr>
      <w:r>
        <w:rPr>
          <w:rFonts w:ascii="Calibri" w:cs="Calibri" w:eastAsia="Calibri" w:hAnsi="Calibri"/>
          <w:sz w:val="22"/>
          <w:szCs w:val="22"/>
          <w:i w:val="1"/>
          <w:iCs w:val="1"/>
          <w:color w:val="auto"/>
        </w:rPr>
        <w:t xml:space="preserve">401(k) Plan. </w:t>
      </w:r>
      <w:r>
        <w:rPr>
          <w:rFonts w:ascii="Calibri" w:cs="Calibri" w:eastAsia="Calibri" w:hAnsi="Calibri"/>
          <w:sz w:val="22"/>
          <w:szCs w:val="22"/>
          <w:color w:val="auto"/>
        </w:rPr>
        <w:t>This Policy does not apply to purchases of Company Securites in the Company’s 401(k) plan resultng from</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your periodic contributon of money to the plan pursuant to your payroll deducton electon. This Policy does apply, however, to certain electons you may make under the 401(k) plan, including:</w:t>
      </w:r>
    </w:p>
    <w:p>
      <w:pPr>
        <w:spacing w:after="0" w:line="14" w:lineRule="exact"/>
        <w:rPr>
          <w:rFonts w:ascii="Calibri" w:cs="Calibri" w:eastAsia="Calibri" w:hAnsi="Calibri"/>
          <w:sz w:val="22"/>
          <w:szCs w:val="22"/>
          <w:color w:val="auto"/>
        </w:rPr>
      </w:pPr>
    </w:p>
    <w:p>
      <w:pPr>
        <w:ind w:left="1300" w:right="340" w:hanging="320"/>
        <w:spacing w:after="0" w:line="229" w:lineRule="auto"/>
        <w:tabs>
          <w:tab w:leader="none" w:pos="1296" w:val="left"/>
        </w:tabs>
        <w:numPr>
          <w:ilvl w:val="1"/>
          <w:numId w:val="24"/>
        </w:numPr>
        <w:rPr>
          <w:rFonts w:ascii="Arial" w:cs="Arial" w:eastAsia="Arial" w:hAnsi="Arial"/>
          <w:sz w:val="22"/>
          <w:szCs w:val="22"/>
          <w:color w:val="auto"/>
        </w:rPr>
      </w:pPr>
      <w:r>
        <w:rPr>
          <w:rFonts w:ascii="Calibri" w:cs="Calibri" w:eastAsia="Calibri" w:hAnsi="Calibri"/>
          <w:sz w:val="22"/>
          <w:szCs w:val="22"/>
          <w:color w:val="auto"/>
        </w:rPr>
        <w:t>an electon to increase or decrease the percentage of your periodic contributons that will be allocated to the Company stock fund;</w:t>
      </w:r>
    </w:p>
    <w:p>
      <w:pPr>
        <w:spacing w:after="0" w:line="14" w:lineRule="exact"/>
        <w:rPr>
          <w:rFonts w:ascii="Arial" w:cs="Arial" w:eastAsia="Arial" w:hAnsi="Arial"/>
          <w:sz w:val="22"/>
          <w:szCs w:val="22"/>
          <w:color w:val="auto"/>
        </w:rPr>
      </w:pPr>
    </w:p>
    <w:p>
      <w:pPr>
        <w:ind w:left="1300" w:hanging="320"/>
        <w:spacing w:after="0"/>
        <w:tabs>
          <w:tab w:leader="none" w:pos="1300" w:val="left"/>
        </w:tabs>
        <w:numPr>
          <w:ilvl w:val="1"/>
          <w:numId w:val="24"/>
        </w:numPr>
        <w:rPr>
          <w:rFonts w:ascii="Arial" w:cs="Arial" w:eastAsia="Arial" w:hAnsi="Arial"/>
          <w:sz w:val="21"/>
          <w:szCs w:val="21"/>
          <w:color w:val="auto"/>
        </w:rPr>
      </w:pPr>
      <w:r>
        <w:rPr>
          <w:rFonts w:ascii="Calibri" w:cs="Calibri" w:eastAsia="Calibri" w:hAnsi="Calibri"/>
          <w:sz w:val="21"/>
          <w:szCs w:val="21"/>
          <w:color w:val="auto"/>
        </w:rPr>
        <w:t>an electon to make an intra-plan transfer of an existng account balance into or out of the Company stock fund;</w:t>
      </w:r>
    </w:p>
    <w:p>
      <w:pPr>
        <w:spacing w:after="0" w:line="15" w:lineRule="exact"/>
        <w:rPr>
          <w:rFonts w:ascii="Arial" w:cs="Arial" w:eastAsia="Arial" w:hAnsi="Arial"/>
          <w:sz w:val="21"/>
          <w:szCs w:val="21"/>
          <w:color w:val="auto"/>
        </w:rPr>
      </w:pPr>
    </w:p>
    <w:p>
      <w:pPr>
        <w:ind w:left="1300" w:hanging="320"/>
        <w:spacing w:after="0" w:line="228" w:lineRule="auto"/>
        <w:tabs>
          <w:tab w:leader="none" w:pos="1296" w:val="left"/>
        </w:tabs>
        <w:numPr>
          <w:ilvl w:val="1"/>
          <w:numId w:val="24"/>
        </w:numPr>
        <w:rPr>
          <w:rFonts w:ascii="Arial" w:cs="Arial" w:eastAsia="Arial" w:hAnsi="Arial"/>
          <w:sz w:val="22"/>
          <w:szCs w:val="22"/>
          <w:color w:val="auto"/>
        </w:rPr>
      </w:pPr>
      <w:r>
        <w:rPr>
          <w:rFonts w:ascii="Calibri" w:cs="Calibri" w:eastAsia="Calibri" w:hAnsi="Calibri"/>
          <w:sz w:val="22"/>
          <w:szCs w:val="22"/>
          <w:color w:val="auto"/>
        </w:rPr>
        <w:t>an electon to borrow money against your 401(k) plan account if the loan will result in a liquidaton of some or all of your Company stock fund balance; and</w:t>
      </w:r>
    </w:p>
    <w:p>
      <w:pPr>
        <w:ind w:left="1300" w:right="280" w:hanging="320"/>
        <w:spacing w:after="0" w:line="235" w:lineRule="auto"/>
        <w:tabs>
          <w:tab w:leader="none" w:pos="1296" w:val="left"/>
        </w:tabs>
        <w:numPr>
          <w:ilvl w:val="1"/>
          <w:numId w:val="24"/>
        </w:numPr>
        <w:rPr>
          <w:rFonts w:ascii="Arial" w:cs="Arial" w:eastAsia="Arial" w:hAnsi="Arial"/>
          <w:sz w:val="22"/>
          <w:szCs w:val="22"/>
          <w:color w:val="auto"/>
        </w:rPr>
      </w:pPr>
      <w:r>
        <w:rPr>
          <w:rFonts w:ascii="Calibri" w:cs="Calibri" w:eastAsia="Calibri" w:hAnsi="Calibri"/>
          <w:sz w:val="22"/>
          <w:szCs w:val="22"/>
          <w:color w:val="auto"/>
        </w:rPr>
        <w:t>an electon to pre-pay a plan loan if the pre-payment will result in allocaton of loan proceeds to the Company stock fund.</w:t>
      </w:r>
    </w:p>
    <w:p>
      <w:pPr>
        <w:spacing w:after="0" w:line="24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24"/>
        </w:numPr>
        <w:rPr>
          <w:rFonts w:ascii="Calibri" w:cs="Calibri" w:eastAsia="Calibri" w:hAnsi="Calibri"/>
          <w:sz w:val="22"/>
          <w:szCs w:val="22"/>
          <w:color w:val="auto"/>
        </w:rPr>
      </w:pPr>
      <w:r>
        <w:rPr>
          <w:rFonts w:ascii="Calibri" w:cs="Calibri" w:eastAsia="Calibri" w:hAnsi="Calibri"/>
          <w:sz w:val="22"/>
          <w:szCs w:val="22"/>
          <w:i w:val="1"/>
          <w:iCs w:val="1"/>
          <w:color w:val="auto"/>
        </w:rPr>
        <w:t xml:space="preserve">Other Similar Transactons. </w:t>
      </w:r>
      <w:r>
        <w:rPr>
          <w:rFonts w:ascii="Calibri" w:cs="Calibri" w:eastAsia="Calibri" w:hAnsi="Calibri"/>
          <w:sz w:val="22"/>
          <w:szCs w:val="22"/>
          <w:color w:val="auto"/>
        </w:rPr>
        <w:t>Any other purchase of Company Securites from the Company or sales of Company Securites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to the Company are not subject to this Policy.</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 Not Involving a Purchase or Sale</w:t>
      </w:r>
    </w:p>
    <w:p>
      <w:pPr>
        <w:spacing w:after="0" w:line="12" w:lineRule="exact"/>
        <w:rPr>
          <w:sz w:val="20"/>
          <w:szCs w:val="20"/>
          <w:color w:val="auto"/>
        </w:rPr>
      </w:pPr>
    </w:p>
    <w:p>
      <w:pPr>
        <w:ind w:right="100"/>
        <w:spacing w:after="0" w:line="229" w:lineRule="auto"/>
        <w:rPr>
          <w:sz w:val="20"/>
          <w:szCs w:val="20"/>
          <w:color w:val="auto"/>
        </w:rPr>
      </w:pPr>
      <w:r>
        <w:rPr>
          <w:rFonts w:ascii="Calibri" w:cs="Calibri" w:eastAsia="Calibri" w:hAnsi="Calibri"/>
          <w:sz w:val="22"/>
          <w:szCs w:val="22"/>
          <w:color w:val="auto"/>
        </w:rPr>
        <w:t xml:space="preserve">Transactons in mutual funds that are invested in Company Securites are not transactons subject to this Policy. </w:t>
      </w:r>
      <w:r>
        <w:rPr>
          <w:rFonts w:ascii="Calibri" w:cs="Calibri" w:eastAsia="Calibri" w:hAnsi="Calibri"/>
          <w:sz w:val="22"/>
          <w:szCs w:val="22"/>
          <w:i w:val="1"/>
          <w:iCs w:val="1"/>
          <w:u w:val="single" w:color="auto"/>
          <w:color w:val="auto"/>
        </w:rPr>
        <w:t>However</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bona</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 xml:space="preserve">fde </w:t>
      </w:r>
      <w:r>
        <w:rPr>
          <w:rFonts w:ascii="Calibri" w:cs="Calibri" w:eastAsia="Calibri" w:hAnsi="Calibri"/>
          <w:sz w:val="22"/>
          <w:szCs w:val="22"/>
          <w:color w:val="auto"/>
        </w:rPr>
        <w:t>gifs of securites are subject to this Policy.</w:t>
      </w:r>
    </w:p>
    <w:p>
      <w:pPr>
        <w:spacing w:after="0" w:line="24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Special and Prohibited Transactons</w:t>
      </w:r>
    </w:p>
    <w:p>
      <w:pPr>
        <w:spacing w:after="0" w:line="235" w:lineRule="auto"/>
        <w:rPr>
          <w:sz w:val="20"/>
          <w:szCs w:val="20"/>
          <w:color w:val="auto"/>
        </w:rPr>
      </w:pPr>
      <w:r>
        <w:rPr>
          <w:rFonts w:ascii="Calibri" w:cs="Calibri" w:eastAsia="Calibri" w:hAnsi="Calibri"/>
          <w:sz w:val="22"/>
          <w:szCs w:val="22"/>
          <w:color w:val="auto"/>
        </w:rPr>
        <w:t>The Company has determined that there is a heightened legal risk and/or the appearance of improper or inappropriate conduct if the persons subject to this Policy engage in certain types of transactons. It therefore is the Company’s policy that any persons covered by this Policy may not engage in any of the following transactons, or should otherwise consider the Company’s preferences as described below:</w:t>
      </w:r>
    </w:p>
    <w:p>
      <w:pPr>
        <w:spacing w:after="0" w:line="1" w:lineRule="exact"/>
        <w:rPr>
          <w:sz w:val="20"/>
          <w:szCs w:val="20"/>
          <w:color w:val="auto"/>
        </w:rPr>
      </w:pPr>
    </w:p>
    <w:p>
      <w:pPr>
        <w:ind w:left="660" w:right="260" w:hanging="328"/>
        <w:spacing w:after="0" w:line="237" w:lineRule="auto"/>
        <w:tabs>
          <w:tab w:leader="none" w:pos="660" w:val="left"/>
        </w:tabs>
        <w:numPr>
          <w:ilvl w:val="0"/>
          <w:numId w:val="25"/>
        </w:numPr>
        <w:rPr>
          <w:rFonts w:ascii="Calibri" w:cs="Calibri" w:eastAsia="Calibri" w:hAnsi="Calibri"/>
          <w:sz w:val="22"/>
          <w:szCs w:val="22"/>
          <w:color w:val="auto"/>
        </w:rPr>
      </w:pPr>
      <w:r>
        <w:rPr>
          <w:rFonts w:ascii="Calibri" w:cs="Calibri" w:eastAsia="Calibri" w:hAnsi="Calibri"/>
          <w:sz w:val="22"/>
          <w:szCs w:val="22"/>
          <w:i w:val="1"/>
          <w:iCs w:val="1"/>
          <w:color w:val="auto"/>
        </w:rPr>
        <w:t xml:space="preserve">Short-Term Trading. </w:t>
      </w:r>
      <w:r>
        <w:rPr>
          <w:rFonts w:ascii="Calibri" w:cs="Calibri" w:eastAsia="Calibri" w:hAnsi="Calibri"/>
          <w:sz w:val="22"/>
          <w:szCs w:val="22"/>
          <w:color w:val="auto"/>
        </w:rPr>
        <w:t>Short-term trading of Company Securites may be distractng to the person and may unduly focus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the person on the Company’s short-term stock market performance instead of the Company’s long-term business objectves. For these</w:t>
      </w:r>
    </w:p>
    <w:p>
      <w:pPr>
        <w:sectPr>
          <w:pgSz w:w="11900" w:h="16838" w:orient="portrait"/>
          <w:cols w:equalWidth="0" w:num="1">
            <w:col w:w="11180"/>
          </w:cols>
          <w:pgMar w:left="320" w:top="1407" w:right="399" w:bottom="1440" w:gutter="0" w:footer="0" w:header="0"/>
        </w:sectPr>
      </w:pPr>
    </w:p>
    <w:bookmarkStart w:id="87" w:name="page88"/>
    <w:bookmarkEnd w:id="87"/>
    <w:p>
      <w:pPr>
        <w:ind w:left="328" w:right="120"/>
        <w:spacing w:after="0" w:line="254" w:lineRule="auto"/>
        <w:rPr>
          <w:sz w:val="20"/>
          <w:szCs w:val="20"/>
          <w:color w:val="auto"/>
        </w:rPr>
      </w:pPr>
      <w:r>
        <w:rPr>
          <w:rFonts w:ascii="Calibri" w:cs="Calibri" w:eastAsia="Calibri" w:hAnsi="Calibri"/>
          <w:sz w:val="21"/>
          <w:szCs w:val="21"/>
          <w:color w:val="auto"/>
        </w:rPr>
        <w:t>reasons, any director, ofcer or other employee of the Company who purchases Company Securites in the open market may not sell any Company Securites of the same class during the six months following the purchase (or vice versa).</w:t>
      </w:r>
    </w:p>
    <w:p>
      <w:pPr>
        <w:spacing w:after="0" w:line="227" w:lineRule="exact"/>
        <w:rPr>
          <w:sz w:val="20"/>
          <w:szCs w:val="20"/>
          <w:color w:val="auto"/>
        </w:rPr>
      </w:pPr>
    </w:p>
    <w:p>
      <w:pPr>
        <w:ind w:left="328" w:right="60" w:hanging="328"/>
        <w:spacing w:after="0" w:line="234" w:lineRule="auto"/>
        <w:tabs>
          <w:tab w:leader="none" w:pos="328" w:val="left"/>
        </w:tabs>
        <w:numPr>
          <w:ilvl w:val="0"/>
          <w:numId w:val="26"/>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Short Sales. </w:t>
      </w:r>
      <w:r>
        <w:rPr>
          <w:rFonts w:ascii="Calibri" w:cs="Calibri" w:eastAsia="Calibri" w:hAnsi="Calibri"/>
          <w:sz w:val="22"/>
          <w:szCs w:val="22"/>
          <w:color w:val="auto"/>
        </w:rPr>
        <w:t>Short sales of Company Securites (</w:t>
      </w:r>
      <w:r>
        <w:rPr>
          <w:rFonts w:ascii="Calibri" w:cs="Calibri" w:eastAsia="Calibri" w:hAnsi="Calibri"/>
          <w:sz w:val="22"/>
          <w:szCs w:val="22"/>
          <w:i w:val="1"/>
          <w:iCs w:val="1"/>
          <w:color w:val="auto"/>
        </w:rPr>
        <w:t xml:space="preserve">i.e., </w:t>
      </w:r>
      <w:r>
        <w:rPr>
          <w:rFonts w:ascii="Calibri" w:cs="Calibri" w:eastAsia="Calibri" w:hAnsi="Calibri"/>
          <w:sz w:val="22"/>
          <w:szCs w:val="22"/>
          <w:color w:val="auto"/>
        </w:rPr>
        <w:t>the sale of a security that the seller does not own) may evidence an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expectaton on the part of the seller that the securites will decline in value, and therefore have the potental to signal to the market that the seller lacks confdence in the Company’s prospects. In additon, short sales may reduce a seller’s incentve to seek to improve the Company’s performance. For these reasons, short sales of Company Securites are prohibited. In additon, Secton 16(c) of the Exchange Act prohibits ofcers and directors from engaging in short sales. (Short sales arising from certain types of hedging transactons are governed by the paragraph below captoned “Hedging Transactons.”)</w:t>
      </w:r>
    </w:p>
    <w:p>
      <w:pPr>
        <w:spacing w:after="0" w:line="259" w:lineRule="exact"/>
        <w:rPr>
          <w:rFonts w:ascii="Calibri" w:cs="Calibri" w:eastAsia="Calibri" w:hAnsi="Calibri"/>
          <w:sz w:val="22"/>
          <w:szCs w:val="22"/>
          <w:i w:val="1"/>
          <w:iCs w:val="1"/>
          <w:color w:val="auto"/>
        </w:rPr>
      </w:pPr>
    </w:p>
    <w:p>
      <w:pPr>
        <w:ind w:left="328" w:hanging="328"/>
        <w:spacing w:after="0" w:line="233" w:lineRule="auto"/>
        <w:tabs>
          <w:tab w:leader="none" w:pos="328" w:val="left"/>
        </w:tabs>
        <w:numPr>
          <w:ilvl w:val="0"/>
          <w:numId w:val="26"/>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Publicly-Traded Optons. </w:t>
      </w:r>
      <w:r>
        <w:rPr>
          <w:rFonts w:ascii="Calibri" w:cs="Calibri" w:eastAsia="Calibri" w:hAnsi="Calibri"/>
          <w:sz w:val="22"/>
          <w:szCs w:val="22"/>
          <w:color w:val="auto"/>
        </w:rPr>
        <w:t>Given the relatvely short term of publicly-traded optons, transactons in optons may create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the appearance that a director, ofcer or employee is trading based on material nonpublic informaton and focus a director’s, ofcer’s or other employee’s atenton on short-term performance at the expense of the Company’s long-term objectves. Accordingly, transactons in put optons, call optons or other derivatve securites, on an exchange or in any other organized market, are prohibited by this Policy. (Opton positons arising from certain types of hedging transactons are governed by the next paragraph below.)</w:t>
      </w:r>
    </w:p>
    <w:p>
      <w:pPr>
        <w:spacing w:after="0" w:line="258" w:lineRule="exact"/>
        <w:rPr>
          <w:rFonts w:ascii="Calibri" w:cs="Calibri" w:eastAsia="Calibri" w:hAnsi="Calibri"/>
          <w:sz w:val="22"/>
          <w:szCs w:val="22"/>
          <w:i w:val="1"/>
          <w:iCs w:val="1"/>
          <w:color w:val="auto"/>
        </w:rPr>
      </w:pPr>
    </w:p>
    <w:p>
      <w:pPr>
        <w:ind w:left="328" w:right="120" w:hanging="328"/>
        <w:spacing w:after="0" w:line="245" w:lineRule="auto"/>
        <w:tabs>
          <w:tab w:leader="none" w:pos="328" w:val="left"/>
        </w:tabs>
        <w:numPr>
          <w:ilvl w:val="0"/>
          <w:numId w:val="26"/>
        </w:numPr>
        <w:rPr>
          <w:rFonts w:ascii="Calibri" w:cs="Calibri" w:eastAsia="Calibri" w:hAnsi="Calibri"/>
          <w:sz w:val="21"/>
          <w:szCs w:val="21"/>
          <w:i w:val="1"/>
          <w:iCs w:val="1"/>
          <w:color w:val="auto"/>
        </w:rPr>
      </w:pPr>
      <w:r>
        <w:rPr>
          <w:rFonts w:ascii="Calibri" w:cs="Calibri" w:eastAsia="Calibri" w:hAnsi="Calibri"/>
          <w:sz w:val="21"/>
          <w:szCs w:val="21"/>
          <w:i w:val="1"/>
          <w:iCs w:val="1"/>
          <w:color w:val="auto"/>
        </w:rPr>
        <w:t xml:space="preserve">Hedging Transactons. </w:t>
      </w:r>
      <w:r>
        <w:rPr>
          <w:rFonts w:ascii="Calibri" w:cs="Calibri" w:eastAsia="Calibri" w:hAnsi="Calibri"/>
          <w:sz w:val="21"/>
          <w:szCs w:val="21"/>
          <w:color w:val="auto"/>
        </w:rPr>
        <w:t>Hedging or monetzaton transactons can be accomplished through a number of possible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mechanisms, including through the use of fnancial instruments such as prepaid variable forwards, equity swaps, collars and exchange funds. Such hedging transactons may permit a director, ofcer or employee to contnue to own Company Securites obtained through employee beneft plans or otherwise, but without the full risks and rewards of ownership. When that occurs, the director, ofcer or employee may no longer have the same objectves as the Company’s other shareholders. Therefore, directors, ofcers and employees are prohibited from engaging in any such transactons.</w:t>
      </w:r>
    </w:p>
    <w:p>
      <w:pPr>
        <w:spacing w:after="0" w:line="252" w:lineRule="exact"/>
        <w:rPr>
          <w:rFonts w:ascii="Calibri" w:cs="Calibri" w:eastAsia="Calibri" w:hAnsi="Calibri"/>
          <w:sz w:val="21"/>
          <w:szCs w:val="21"/>
          <w:i w:val="1"/>
          <w:iCs w:val="1"/>
          <w:color w:val="auto"/>
        </w:rPr>
      </w:pPr>
    </w:p>
    <w:p>
      <w:pPr>
        <w:ind w:left="328" w:right="60" w:hanging="328"/>
        <w:spacing w:after="0" w:line="233" w:lineRule="auto"/>
        <w:tabs>
          <w:tab w:leader="none" w:pos="328" w:val="left"/>
        </w:tabs>
        <w:numPr>
          <w:ilvl w:val="0"/>
          <w:numId w:val="26"/>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Margin Accounts and Pledged Securites. </w:t>
      </w:r>
      <w:r>
        <w:rPr>
          <w:rFonts w:ascii="Calibri" w:cs="Calibri" w:eastAsia="Calibri" w:hAnsi="Calibri"/>
          <w:sz w:val="22"/>
          <w:szCs w:val="22"/>
          <w:color w:val="auto"/>
        </w:rPr>
        <w:t>Securites held in a margin account as collateral for a margin loan may be sold</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by the broker without the customer’s consent if the customer fails to meet a margin call. Similarly, securites pledged (or hypothecated) as collateral for a loan may be sold in foreclosure if the borrower defaults on the loan. Because a margin sale or foreclosure sale may occur at a tme when the pledgor is aware of material nonpublic informaton or otherwise is not permited to trade in Company Securites, directors, ofcers and other employees are prohibited from holding Company Securites in a margin account or otherwise pledging Company Securites as collateral for a loan. (Pledges of Company Securites arising from certain types of hedging transactons are governed by the paragraph above captoned “Hedging Transactons.”)</w:t>
      </w:r>
    </w:p>
    <w:p>
      <w:pPr>
        <w:sectPr>
          <w:pgSz w:w="11900" w:h="16838" w:orient="portrait"/>
          <w:cols w:equalWidth="0" w:num="1">
            <w:col w:w="10908"/>
          </w:cols>
          <w:pgMar w:left="652" w:top="1407" w:right="339" w:bottom="1440" w:gutter="0" w:footer="0" w:header="0"/>
        </w:sectPr>
      </w:pPr>
    </w:p>
    <w:bookmarkStart w:id="88" w:name="page89"/>
    <w:bookmarkEnd w:id="88"/>
    <w:p>
      <w:pPr>
        <w:ind w:left="660" w:hanging="328"/>
        <w:spacing w:after="0" w:line="235" w:lineRule="auto"/>
        <w:tabs>
          <w:tab w:leader="none" w:pos="660" w:val="left"/>
        </w:tabs>
        <w:numPr>
          <w:ilvl w:val="0"/>
          <w:numId w:val="27"/>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Standing and Limit Orders. </w:t>
      </w:r>
      <w:r>
        <w:rPr>
          <w:rFonts w:ascii="Calibri" w:cs="Calibri" w:eastAsia="Calibri" w:hAnsi="Calibri"/>
          <w:sz w:val="22"/>
          <w:szCs w:val="22"/>
          <w:color w:val="auto"/>
        </w:rPr>
        <w:t>Standing and limit orders (except standing and limit orders under approved Rule 10b5-1</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Plans, as described below) create heightened risks for insider trading violatons similar to the use of margin accounts. There is no control over the tming of purchases or sales that result from standing instructons to a broker, and as a result the broker could execute a transacton when a director, ofcer or other employee is in possession of material nonpublic informaton. The Company therefore discourages placing standing or limit orders on Company Securites. If a person subject to this Policy determines that they must use a standing order or limit order, the order should be limited to short duraton and should otherwise comply with the restrictons and procedures outlined below under the heading “Additonal Procedures.”</w:t>
      </w:r>
    </w:p>
    <w:p>
      <w:pPr>
        <w:spacing w:after="0" w:line="23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Additonal Procedures</w:t>
      </w:r>
    </w:p>
    <w:p>
      <w:pPr>
        <w:spacing w:after="0" w:line="12" w:lineRule="exact"/>
        <w:rPr>
          <w:sz w:val="20"/>
          <w:szCs w:val="20"/>
          <w:color w:val="auto"/>
        </w:rPr>
      </w:pPr>
    </w:p>
    <w:p>
      <w:pPr>
        <w:ind w:right="280"/>
        <w:spacing w:after="0" w:line="244" w:lineRule="auto"/>
        <w:rPr>
          <w:sz w:val="20"/>
          <w:szCs w:val="20"/>
          <w:color w:val="auto"/>
        </w:rPr>
      </w:pPr>
      <w:r>
        <w:rPr>
          <w:rFonts w:ascii="Calibri" w:cs="Calibri" w:eastAsia="Calibri" w:hAnsi="Calibri"/>
          <w:sz w:val="21"/>
          <w:szCs w:val="21"/>
          <w:color w:val="auto"/>
        </w:rPr>
        <w:t>The Company has established additonal procedures in order to assist the Company in the administraton of this Policy, to facilitate compliance with laws prohibitng insider trading while in possession of material nonpublic informaton, and to avoid the appearance of any impropriety. These additonal procedures are applicable only to those individuals described below:</w:t>
      </w:r>
    </w:p>
    <w:p>
      <w:pPr>
        <w:spacing w:after="0" w:line="3" w:lineRule="exact"/>
        <w:rPr>
          <w:sz w:val="20"/>
          <w:szCs w:val="20"/>
          <w:color w:val="auto"/>
        </w:rPr>
      </w:pPr>
    </w:p>
    <w:p>
      <w:pPr>
        <w:ind w:left="660" w:right="20" w:hanging="328"/>
        <w:spacing w:after="0" w:line="234" w:lineRule="auto"/>
        <w:tabs>
          <w:tab w:leader="none" w:pos="660" w:val="left"/>
        </w:tabs>
        <w:numPr>
          <w:ilvl w:val="0"/>
          <w:numId w:val="28"/>
        </w:numPr>
        <w:rPr>
          <w:rFonts w:ascii="Calibri" w:cs="Calibri" w:eastAsia="Calibri" w:hAnsi="Calibri"/>
          <w:sz w:val="22"/>
          <w:szCs w:val="22"/>
          <w:color w:val="auto"/>
        </w:rPr>
      </w:pPr>
      <w:r>
        <w:rPr>
          <w:rFonts w:ascii="Calibri" w:cs="Calibri" w:eastAsia="Calibri" w:hAnsi="Calibri"/>
          <w:sz w:val="22"/>
          <w:szCs w:val="22"/>
          <w:i w:val="1"/>
          <w:iCs w:val="1"/>
          <w:color w:val="auto"/>
        </w:rPr>
        <w:t xml:space="preserve">Pre-Clearance Procedures. </w:t>
      </w:r>
      <w:r>
        <w:rPr>
          <w:rFonts w:ascii="Calibri" w:cs="Calibri" w:eastAsia="Calibri" w:hAnsi="Calibri"/>
          <w:sz w:val="22"/>
          <w:szCs w:val="22"/>
          <w:color w:val="auto"/>
        </w:rPr>
        <w:t>The persons designated by the Compliance Ofcer as being subject to these procedures, as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well as the Family Members and Controlled Enttes of such persons, may not engage in any transacton in Company Securites without frst obtaining pre-clearance of the transacton from the Compliance Ofcer. A request for pre-clearance should be submited to the Compliance Ofcer at least three business days in advance of the proposed transacton. The Compliance Ofcer is under no obligaton to approve a transacton submited for pre-clearance, and may determine not to permit the transacton. If a person seeks pre-clearance and permission to engage in the transacton is denied, then he or she should refrain from initatng any transacton in Company Securites, and should not inform any other person of the restricton. When a request for pre-clearance is made, the requestor should carefully consider whether he or she may be aware of any material nonpublic informaton about the Company and/or its securites, and should describe fully those circumstances to the Compliance Ofcer. The requestor should also indicate whether he or she has efected any non-exempt “opposite-way” transactons within the past six months, and should be prepared to report the proposed transacton on an appropriate Form 4 or Form 5. The requestor should also be prepared to comply with SEC Rule 144 and fle Form 144, if necessary, at the tme of any sale.</w:t>
      </w:r>
    </w:p>
    <w:p>
      <w:pPr>
        <w:spacing w:after="0" w:line="266" w:lineRule="exact"/>
        <w:rPr>
          <w:rFonts w:ascii="Calibri" w:cs="Calibri" w:eastAsia="Calibri" w:hAnsi="Calibri"/>
          <w:sz w:val="22"/>
          <w:szCs w:val="22"/>
          <w:color w:val="auto"/>
        </w:rPr>
      </w:pPr>
    </w:p>
    <w:p>
      <w:pPr>
        <w:ind w:left="660" w:right="220" w:hanging="328"/>
        <w:spacing w:after="0" w:line="233" w:lineRule="auto"/>
        <w:tabs>
          <w:tab w:leader="none" w:pos="660" w:val="left"/>
        </w:tabs>
        <w:numPr>
          <w:ilvl w:val="0"/>
          <w:numId w:val="28"/>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Quarterly Trading Restrictons. </w:t>
      </w:r>
      <w:r>
        <w:rPr>
          <w:rFonts w:ascii="Calibri" w:cs="Calibri" w:eastAsia="Calibri" w:hAnsi="Calibri"/>
          <w:sz w:val="22"/>
          <w:szCs w:val="22"/>
          <w:color w:val="auto"/>
        </w:rPr>
        <w:t>All ofcers of the Company and its subsidiaries, all members of the Company’s Board of</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Directors may not conduct any transactons involving the Company’s Securites (other than as specifed by this Policy), during a “Blackout Period” beginning on the 15</w:t>
      </w:r>
      <w:r>
        <w:rPr>
          <w:rFonts w:ascii="Calibri" w:cs="Calibri" w:eastAsia="Calibri" w:hAnsi="Calibri"/>
          <w:sz w:val="11"/>
          <w:szCs w:val="11"/>
          <w:color w:val="auto"/>
        </w:rPr>
        <w:t>th</w:t>
      </w:r>
      <w:r>
        <w:rPr>
          <w:rFonts w:ascii="Calibri" w:cs="Calibri" w:eastAsia="Calibri" w:hAnsi="Calibri"/>
          <w:sz w:val="22"/>
          <w:szCs w:val="22"/>
          <w:color w:val="auto"/>
        </w:rPr>
        <w:t xml:space="preserve"> day of the last month of each fscal quarter and ending at the close of business on the 1</w:t>
      </w:r>
      <w:r>
        <w:rPr>
          <w:rFonts w:ascii="Calibri" w:cs="Calibri" w:eastAsia="Calibri" w:hAnsi="Calibri"/>
          <w:sz w:val="11"/>
          <w:szCs w:val="11"/>
          <w:color w:val="auto"/>
        </w:rPr>
        <w:t>st</w:t>
      </w:r>
      <w:r>
        <w:rPr>
          <w:rFonts w:ascii="Calibri" w:cs="Calibri" w:eastAsia="Calibri" w:hAnsi="Calibri"/>
          <w:sz w:val="22"/>
          <w:szCs w:val="22"/>
          <w:color w:val="auto"/>
        </w:rPr>
        <w:t xml:space="preserve"> business day following the date of the public release of the Company’s earnings results for that quarter. In other words, these persons may only conduct transactons in Company Securites during the “Window Period” beginning on the 2</w:t>
      </w:r>
      <w:r>
        <w:rPr>
          <w:rFonts w:ascii="Calibri" w:cs="Calibri" w:eastAsia="Calibri" w:hAnsi="Calibri"/>
          <w:sz w:val="11"/>
          <w:szCs w:val="11"/>
          <w:color w:val="auto"/>
        </w:rPr>
        <w:t>nd</w:t>
      </w:r>
      <w:r>
        <w:rPr>
          <w:rFonts w:ascii="Calibri" w:cs="Calibri" w:eastAsia="Calibri" w:hAnsi="Calibri"/>
          <w:sz w:val="22"/>
          <w:szCs w:val="22"/>
          <w:color w:val="auto"/>
        </w:rPr>
        <w:t xml:space="preserve"> business day following the public release of the Company’s</w:t>
      </w:r>
    </w:p>
    <w:p>
      <w:pPr>
        <w:sectPr>
          <w:pgSz w:w="11900" w:h="16838" w:orient="portrait"/>
          <w:cols w:equalWidth="0" w:num="1">
            <w:col w:w="11220"/>
          </w:cols>
          <w:pgMar w:left="320" w:top="1407" w:right="359" w:bottom="1440" w:gutter="0" w:footer="0" w:header="0"/>
        </w:sectPr>
      </w:pPr>
    </w:p>
    <w:bookmarkStart w:id="89" w:name="page90"/>
    <w:bookmarkEnd w:id="89"/>
    <w:p>
      <w:pPr>
        <w:ind w:left="660"/>
        <w:spacing w:after="0"/>
        <w:rPr>
          <w:sz w:val="20"/>
          <w:szCs w:val="20"/>
          <w:color w:val="auto"/>
        </w:rPr>
      </w:pPr>
      <w:r>
        <w:rPr>
          <w:rFonts w:ascii="Calibri" w:cs="Calibri" w:eastAsia="Calibri" w:hAnsi="Calibri"/>
          <w:sz w:val="22"/>
          <w:szCs w:val="22"/>
          <w:color w:val="auto"/>
        </w:rPr>
        <w:t>quarterly earnings and ending on the 14</w:t>
      </w:r>
      <w:r>
        <w:rPr>
          <w:rFonts w:ascii="Calibri" w:cs="Calibri" w:eastAsia="Calibri" w:hAnsi="Calibri"/>
          <w:sz w:val="11"/>
          <w:szCs w:val="11"/>
          <w:color w:val="auto"/>
        </w:rPr>
        <w:t>th</w:t>
      </w:r>
      <w:r>
        <w:rPr>
          <w:rFonts w:ascii="Calibri" w:cs="Calibri" w:eastAsia="Calibri" w:hAnsi="Calibri"/>
          <w:sz w:val="22"/>
          <w:szCs w:val="22"/>
          <w:color w:val="auto"/>
        </w:rPr>
        <w:t xml:space="preserve"> day of the last month of the next fscal quarter.</w:t>
      </w:r>
    </w:p>
    <w:p>
      <w:pPr>
        <w:spacing w:after="0" w:line="257" w:lineRule="exact"/>
        <w:rPr>
          <w:sz w:val="20"/>
          <w:szCs w:val="20"/>
          <w:color w:val="auto"/>
        </w:rPr>
      </w:pPr>
    </w:p>
    <w:p>
      <w:pPr>
        <w:ind w:left="660" w:right="20" w:hanging="328"/>
        <w:spacing w:after="0" w:line="234" w:lineRule="auto"/>
        <w:tabs>
          <w:tab w:leader="none" w:pos="660" w:val="left"/>
        </w:tabs>
        <w:numPr>
          <w:ilvl w:val="0"/>
          <w:numId w:val="29"/>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Event-Specifc Trading Restricton Periods. </w:t>
      </w:r>
      <w:r>
        <w:rPr>
          <w:rFonts w:ascii="Calibri" w:cs="Calibri" w:eastAsia="Calibri" w:hAnsi="Calibri"/>
          <w:sz w:val="22"/>
          <w:szCs w:val="22"/>
          <w:color w:val="auto"/>
        </w:rPr>
        <w:t>From tme to tme, an event may occur that is material to the Company and is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known by only a few directors, ofcers and/or employees. So long as the event remains material and nonpublic, the persons designated by the Compliance Ofcer may not trade Company Securites. In additon, the Company’s fnancial results may be sufciently material in a partcular fscal quarter that, in the judgment of the Compliance Ofcer, designated persons should refrain from trading in Company Securites even sooner than the typical Blackout Period described above. In that situaton, the Compliance Ofcer may notfy these persons that they should not trade in the Company’s Securites, without disclosing the reason for the restricton. The existence of an event-specifc trading restricton period or extension of a Blackout Period will not be announced to the Company as a whole, and should not be communicated to any other person. Even if the Compliance Ofcer has not designated you as a person who should not trade due to an event-specifc restricton, you should not trade while aware of material nonpublic informaton. Exceptons will not be granted during an event-specifc trading restricton period.</w:t>
      </w:r>
    </w:p>
    <w:p>
      <w:pPr>
        <w:spacing w:after="0" w:line="251" w:lineRule="exact"/>
        <w:rPr>
          <w:rFonts w:ascii="Calibri" w:cs="Calibri" w:eastAsia="Calibri" w:hAnsi="Calibri"/>
          <w:sz w:val="22"/>
          <w:szCs w:val="22"/>
          <w:i w:val="1"/>
          <w:iCs w:val="1"/>
          <w:color w:val="auto"/>
        </w:rPr>
      </w:pPr>
    </w:p>
    <w:p>
      <w:pPr>
        <w:ind w:left="660" w:right="160" w:hanging="328"/>
        <w:spacing w:after="0" w:line="233" w:lineRule="auto"/>
        <w:tabs>
          <w:tab w:leader="none" w:pos="660" w:val="left"/>
        </w:tabs>
        <w:numPr>
          <w:ilvl w:val="0"/>
          <w:numId w:val="29"/>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 xml:space="preserve">Exceptons. </w:t>
      </w:r>
      <w:r>
        <w:rPr>
          <w:rFonts w:ascii="Calibri" w:cs="Calibri" w:eastAsia="Calibri" w:hAnsi="Calibri"/>
          <w:sz w:val="22"/>
          <w:szCs w:val="22"/>
          <w:color w:val="auto"/>
        </w:rPr>
        <w:t>The quarterly trading restrictons and event-driven trading restrictons do not apply to those transactons to</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which this Policy does not apply, as described above under the headings “Transactons Under Company Plans” and “Transactons Not Involving a Purchase or Sale.” Further, the requirement for preclearance,­ the quarterly trading restrictons and event-driven trading restrictons do not apply to transactons conducted pursuant to approved Rule 10b5-1 plans, described under the heading “Rule 10b5-1 Plans.”</w:t>
      </w:r>
    </w:p>
    <w:p>
      <w:pPr>
        <w:spacing w:after="0" w:line="25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Rule 10b5-1 Plans</w:t>
      </w:r>
    </w:p>
    <w:p>
      <w:pPr>
        <w:ind w:right="40"/>
        <w:spacing w:after="0" w:line="246" w:lineRule="auto"/>
        <w:rPr>
          <w:sz w:val="20"/>
          <w:szCs w:val="20"/>
          <w:color w:val="auto"/>
        </w:rPr>
      </w:pPr>
      <w:r>
        <w:rPr>
          <w:rFonts w:ascii="Calibri" w:cs="Calibri" w:eastAsia="Calibri" w:hAnsi="Calibri"/>
          <w:sz w:val="21"/>
          <w:szCs w:val="21"/>
          <w:color w:val="auto"/>
        </w:rPr>
        <w:t>Rule 10b5-1 under the Exchange Act provides an afrmatve defense from insider trading liability under Rule 10b-5. In order to be eligible to rely on this defense, a person subject to this Policy must enter into a Rule 10b5-1 plan for transactons in Company Securites that meets certain conditons specifed in the Rule (a “Rule 10b5-1 Plan”). If the plan meets the requirements of Rule 10b5-1, Company Securites may be purchased or sold without regard to certain insider trading restrictons. To comply with this Policy, a Rule 10b5-1 Plan must be reviewed and approved by the Compliance Ofcer and meet the requirements of Rule 10b5-</w:t>
      </w:r>
    </w:p>
    <w:p>
      <w:pPr>
        <w:spacing w:after="0" w:line="8" w:lineRule="exact"/>
        <w:rPr>
          <w:sz w:val="20"/>
          <w:szCs w:val="20"/>
          <w:color w:val="auto"/>
        </w:rPr>
      </w:pPr>
    </w:p>
    <w:p>
      <w:pPr>
        <w:ind w:right="200" w:firstLine="8"/>
        <w:spacing w:after="0" w:line="229" w:lineRule="auto"/>
        <w:tabs>
          <w:tab w:leader="none" w:pos="213" w:val="left"/>
        </w:tabs>
        <w:numPr>
          <w:ilvl w:val="0"/>
          <w:numId w:val="30"/>
        </w:numPr>
        <w:rPr>
          <w:rFonts w:ascii="Calibri" w:cs="Calibri" w:eastAsia="Calibri" w:hAnsi="Calibri"/>
          <w:sz w:val="22"/>
          <w:szCs w:val="22"/>
          <w:color w:val="auto"/>
        </w:rPr>
      </w:pPr>
      <w:r>
        <w:rPr>
          <w:rFonts w:ascii="Calibri" w:cs="Calibri" w:eastAsia="Calibri" w:hAnsi="Calibri"/>
          <w:sz w:val="22"/>
          <w:szCs w:val="22"/>
          <w:color w:val="auto"/>
        </w:rPr>
        <w:t>Any Rule 10b5-1 Plan must be submited for approval to the Compliance Ofcer at least fve business days prior to the entry into the Rule 10b5-1 Plan.</w:t>
      </w:r>
    </w:p>
    <w:p>
      <w:pPr>
        <w:spacing w:after="0" w:line="257"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A 10b5-1 Plan may not be amended, modifed or terminated by the person that entered into the plan without the prior approval of the Compliance Ofcer.</w:t>
      </w:r>
    </w:p>
    <w:p>
      <w:pPr>
        <w:spacing w:after="0" w:line="24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Post-Terminaton Transactons</w:t>
      </w:r>
    </w:p>
    <w:p>
      <w:pPr>
        <w:ind w:right="640"/>
        <w:spacing w:after="0" w:line="234" w:lineRule="auto"/>
        <w:rPr>
          <w:sz w:val="20"/>
          <w:szCs w:val="20"/>
          <w:color w:val="auto"/>
        </w:rPr>
      </w:pPr>
      <w:r>
        <w:rPr>
          <w:rFonts w:ascii="Calibri" w:cs="Calibri" w:eastAsia="Calibri" w:hAnsi="Calibri"/>
          <w:sz w:val="22"/>
          <w:szCs w:val="22"/>
          <w:color w:val="auto"/>
        </w:rPr>
        <w:t>This Policy contnues to apply to transactons in Company Securites even afer terminaton of service to the Company: an individual is in possession of material nonpublic informaton when</w:t>
      </w:r>
    </w:p>
    <w:p>
      <w:pPr>
        <w:sectPr>
          <w:pgSz w:w="11900" w:h="16838" w:orient="portrait"/>
          <w:cols w:equalWidth="0" w:num="1">
            <w:col w:w="11240"/>
          </w:cols>
          <w:pgMar w:left="320" w:top="1394" w:right="339" w:bottom="1440" w:gutter="0" w:footer="0" w:header="0"/>
        </w:sectPr>
      </w:pPr>
    </w:p>
    <w:bookmarkStart w:id="90" w:name="page91"/>
    <w:bookmarkEnd w:id="90"/>
    <w:p>
      <w:pPr>
        <w:ind w:right="40"/>
        <w:spacing w:after="0" w:line="235" w:lineRule="auto"/>
        <w:rPr>
          <w:sz w:val="20"/>
          <w:szCs w:val="20"/>
          <w:color w:val="auto"/>
        </w:rPr>
      </w:pPr>
      <w:r>
        <w:rPr>
          <w:rFonts w:ascii="Calibri" w:cs="Calibri" w:eastAsia="Calibri" w:hAnsi="Calibri"/>
          <w:sz w:val="22"/>
          <w:szCs w:val="22"/>
          <w:color w:val="auto"/>
        </w:rPr>
        <w:t>his or her service terminates, that individual may not trade in Company Securites untl that informaton has become public or is no longer material. The pre-clearance procedures specifed under the heading “Additonal Procedures” above, however, will cease to apply to transactons in Company Securites upon the expiraton of any Blackout Period or other Company-imposed trading restrictons applicable at the tme of the terminaton of service.</w:t>
      </w:r>
    </w:p>
    <w:p>
      <w:pPr>
        <w:spacing w:after="0" w:line="23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Consequences of Violatons</w:t>
      </w:r>
    </w:p>
    <w:p>
      <w:pPr>
        <w:spacing w:after="0" w:line="14" w:lineRule="exact"/>
        <w:rPr>
          <w:sz w:val="20"/>
          <w:szCs w:val="20"/>
          <w:color w:val="auto"/>
        </w:rPr>
      </w:pPr>
    </w:p>
    <w:p>
      <w:pPr>
        <w:spacing w:after="0" w:line="234" w:lineRule="auto"/>
        <w:rPr>
          <w:sz w:val="20"/>
          <w:szCs w:val="20"/>
          <w:color w:val="auto"/>
        </w:rPr>
      </w:pPr>
      <w:r>
        <w:rPr>
          <w:rFonts w:ascii="Calibri" w:cs="Calibri" w:eastAsia="Calibri" w:hAnsi="Calibri"/>
          <w:sz w:val="22"/>
          <w:szCs w:val="22"/>
          <w:color w:val="auto"/>
        </w:rPr>
        <w:t>The purchase or sale of securites while aware of material nonpublic informaton, or the disclosure of material nonpublic informaton to others who then trade in the Company’s Securites, is prohibited by federal and state laws. Insider trading violatons are pursued vigorously by the SEC, U.S. Atorneys and state enforcement authorites as well as the laws of foreign jurisdictons. Punishment for insider trading violatons is severe, and could include signifcant fnes and imprisonment. While the regulatory authorites concentrate their eforts on the individuals who trade, or who tp inside informaton to others who trade, the federal securites laws also impose potental liability on companies and other “controlling persons” if they fail to take reasonable steps to prevent insider trading by company personnel. In additon, an individual’s failure to comply with this Policy may subject the individual to Company imposed sanctons, including dismissal for cause, whether or not the employee’s failure to comply results in a violaton of law. Needless to say, a violaton of law, or even an SEC investgaton that does not result in prosecuton, can tarnish a person’s reputaton and irreparably damage a career.</w:t>
      </w: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Company Assistance</w:t>
      </w:r>
    </w:p>
    <w:p>
      <w:pPr>
        <w:ind w:right="380"/>
        <w:spacing w:after="0" w:line="251" w:lineRule="auto"/>
        <w:rPr>
          <w:sz w:val="20"/>
          <w:szCs w:val="20"/>
          <w:color w:val="auto"/>
        </w:rPr>
      </w:pPr>
      <w:r>
        <w:rPr>
          <w:rFonts w:ascii="Calibri" w:cs="Calibri" w:eastAsia="Calibri" w:hAnsi="Calibri"/>
          <w:sz w:val="21"/>
          <w:szCs w:val="21"/>
          <w:color w:val="auto"/>
        </w:rPr>
        <w:t>Any person who has a queston about this Policy (including Rule 10b5-1 Plans) or its applicaton to any proposed transacton may obtain additonal guidance from the Compliance Ofcer, who can be reached by telephone at 412.928.3400.</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Certfcaton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All persons subject to this Policy must certfy their understanding of, and intent to comply with, this Policy.</w:t>
      </w:r>
    </w:p>
    <w:p>
      <w:pPr>
        <w:sectPr>
          <w:pgSz w:w="11900" w:h="16838" w:orient="portrait"/>
          <w:cols w:equalWidth="0" w:num="1">
            <w:col w:w="11220"/>
          </w:cols>
          <w:pgMar w:left="320" w:top="1407" w:right="3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L.B. FOSTER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Corporation</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w w:val="99"/>
              </w:rPr>
              <w:t>Jurisdiction of Incorporation</w:t>
            </w:r>
          </w:p>
        </w:tc>
      </w:tr>
      <w:tr>
        <w:trPr>
          <w:trHeight w:val="475"/>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CXT Incorporated</w:t>
            </w:r>
          </w:p>
        </w:tc>
        <w:tc>
          <w:tcPr>
            <w:tcW w:w="6320" w:type="dxa"/>
            <w:vAlign w:val="bottom"/>
          </w:tcPr>
          <w:p>
            <w:pPr>
              <w:spacing w:after="0"/>
              <w:rPr>
                <w:sz w:val="24"/>
                <w:szCs w:val="24"/>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IOS Holdings, LLC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GmbH</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India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International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Latin America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Produtos Ferroviários do Brasil Ltda.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Canada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Quebec, Canada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Corp.</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Inc.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(UK)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Technologies (Beijing),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Portec Rail Nova Scotia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Salient Systems, Inc.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Skratch Enterprises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TEW Engineering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TEW Plus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 S-8:</w:t>
      </w:r>
    </w:p>
    <w:p>
      <w:pPr>
        <w:spacing w:after="0" w:line="239" w:lineRule="exact"/>
        <w:rPr>
          <w:sz w:val="20"/>
          <w:szCs w:val="20"/>
          <w:color w:val="auto"/>
        </w:rPr>
      </w:pPr>
    </w:p>
    <w:p>
      <w:pPr>
        <w:ind w:left="660" w:right="300" w:hanging="328"/>
        <w:spacing w:after="0" w:line="238"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333-279648 pertaining to the L.B. Foster Company 2022 Equity and Incentive Compensation Plan as Amended and Restated May 23, 2024,</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333-265362 pertaining to the L.B. Foster Company 2022 Equity and Incentive Compensation Plan,</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333-226502 pertaining to the L.B. Foster Company 401(k) and Profit Sharing Plan,</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333-226501 pertaining to the L.B. Foster Company 2006 Omnibus Incentive Plan, as Amended and Restated,</w:t>
      </w:r>
    </w:p>
    <w:p>
      <w:pPr>
        <w:ind w:left="660" w:right="820" w:hanging="328"/>
        <w:spacing w:after="0" w:line="234"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333-222213 pertaining to the L.B. Foster Company 401(k) and Profit Sharing Plan, and L.B. Foster Company Savings Plan for Bargaining Unit Employees,</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333-211749 pertaining to the L.B. Foster Company 2006 Omnibus Incentive Plan, as Amended and Restated,</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333-208812 pertaining to Chemtec Energy Services 401(k) Plan,</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333-180118 pertaining to the L.B. Foster Company 2006 Omnibus Incentive Plan,</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333-159470 pertaining to the L.B. Foster Company Savings Plan for Bargaining Unit Employees,</w:t>
      </w:r>
    </w:p>
    <w:p>
      <w:pPr>
        <w:ind w:left="640" w:hanging="308"/>
        <w:spacing w:after="0" w:line="234"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333-135002 pertaining to the L.B. Foster Company 2006 Omnibus Incentive Plan as Amended and Restated, and</w:t>
      </w:r>
    </w:p>
    <w:p>
      <w:pPr>
        <w:ind w:left="660" w:right="540" w:hanging="328"/>
        <w:spacing w:after="0" w:line="243" w:lineRule="auto"/>
        <w:tabs>
          <w:tab w:leader="none" w:pos="6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333-65885 pertaining to the L.B. Foster Company Voluntary Investment Plan, and Retirement Savings Plan for Non-Union Hourly Employees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reports dated March 7, 2025, with respect to the consolidated financial statements and schedule of L.B. Foster Company and subsidiaries and the effectiveness of internal control over financial reporting of L.B. Foster Company and subsidiaries included in this Annual Report (Form 10-K) of L.B. Foster Company and subsidiaries for the year ended December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50" w:lineRule="exact"/>
        <w:rPr>
          <w:sz w:val="20"/>
          <w:szCs w:val="20"/>
          <w:color w:val="auto"/>
        </w:rPr>
      </w:pPr>
    </w:p>
    <w:p>
      <w:pPr>
        <w:ind w:left="540" w:hanging="51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 Foster Company;</w:t>
      </w:r>
    </w:p>
    <w:p>
      <w:pPr>
        <w:spacing w:after="0" w:line="144" w:lineRule="exact"/>
        <w:rPr>
          <w:rFonts w:ascii="Times New Roman" w:cs="Times New Roman" w:eastAsia="Times New Roman" w:hAnsi="Times New Roman"/>
          <w:sz w:val="18"/>
          <w:szCs w:val="18"/>
          <w:color w:val="auto"/>
        </w:rPr>
      </w:pPr>
    </w:p>
    <w:p>
      <w:pPr>
        <w:ind w:left="540" w:right="700" w:hanging="514"/>
        <w:spacing w:after="0" w:line="22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980" w:hanging="514"/>
        <w:spacing w:after="0" w:line="279" w:lineRule="auto"/>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540" w:right="840" w:hanging="514"/>
        <w:spacing w:after="0" w:line="236" w:lineRule="auto"/>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4" w:lineRule="exact"/>
        <w:rPr>
          <w:rFonts w:ascii="Times New Roman" w:cs="Times New Roman" w:eastAsia="Times New Roman" w:hAnsi="Times New Roman"/>
          <w:sz w:val="17"/>
          <w:szCs w:val="17"/>
          <w:color w:val="auto"/>
        </w:rPr>
      </w:pPr>
    </w:p>
    <w:p>
      <w:pPr>
        <w:ind w:right="340" w:firstLine="440"/>
        <w:spacing w:after="0" w:line="266" w:lineRule="auto"/>
        <w:tabs>
          <w:tab w:leader="none" w:pos="6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60" w:firstLine="440"/>
        <w:spacing w:after="0" w:line="282" w:lineRule="auto"/>
        <w:tabs>
          <w:tab w:leader="none" w:pos="6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40" w:firstLine="440"/>
        <w:spacing w:after="0" w:line="266" w:lineRule="auto"/>
        <w:tabs>
          <w:tab w:leader="none" w:pos="6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900" w:hanging="514"/>
        <w:spacing w:after="0" w:line="23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right="240" w:firstLine="440"/>
        <w:spacing w:after="0" w:line="282" w:lineRule="auto"/>
        <w:tabs>
          <w:tab w:leader="none" w:pos="6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00" w:firstLine="440"/>
        <w:spacing w:after="0" w:line="282" w:lineRule="auto"/>
        <w:tabs>
          <w:tab w:leader="none" w:pos="6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March 7, 2025</w:t>
      </w:r>
      <w:r>
        <w:rPr>
          <w:sz w:val="20"/>
          <w:szCs w:val="20"/>
          <w:color w:val="auto"/>
        </w:rPr>
        <w:tab/>
      </w:r>
      <w:r>
        <w:rPr>
          <w:rFonts w:ascii="Times New Roman" w:cs="Times New Roman" w:eastAsia="Times New Roman" w:hAnsi="Times New Roman"/>
          <w:sz w:val="17"/>
          <w:szCs w:val="17"/>
          <w:b w:val="1"/>
          <w:bCs w:val="1"/>
          <w:u w:val="single" w:color="auto"/>
          <w:color w:val="auto"/>
        </w:rPr>
        <w:t>/s/ John F. Kasel</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John F. Kasel</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50" w:lineRule="exact"/>
        <w:rPr>
          <w:sz w:val="20"/>
          <w:szCs w:val="20"/>
          <w:color w:val="auto"/>
        </w:rPr>
      </w:pPr>
    </w:p>
    <w:p>
      <w:pPr>
        <w:ind w:left="540" w:hanging="51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 Foster Company;</w:t>
      </w:r>
    </w:p>
    <w:p>
      <w:pPr>
        <w:spacing w:after="0" w:line="144" w:lineRule="exact"/>
        <w:rPr>
          <w:rFonts w:ascii="Times New Roman" w:cs="Times New Roman" w:eastAsia="Times New Roman" w:hAnsi="Times New Roman"/>
          <w:sz w:val="18"/>
          <w:szCs w:val="18"/>
          <w:color w:val="auto"/>
        </w:rPr>
      </w:pPr>
    </w:p>
    <w:p>
      <w:pPr>
        <w:ind w:left="540" w:right="700" w:hanging="514"/>
        <w:spacing w:after="0" w:line="22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980" w:hanging="514"/>
        <w:spacing w:after="0" w:line="279" w:lineRule="auto"/>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540" w:right="840" w:hanging="514"/>
        <w:spacing w:after="0" w:line="236" w:lineRule="auto"/>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4" w:lineRule="exact"/>
        <w:rPr>
          <w:rFonts w:ascii="Times New Roman" w:cs="Times New Roman" w:eastAsia="Times New Roman" w:hAnsi="Times New Roman"/>
          <w:sz w:val="17"/>
          <w:szCs w:val="17"/>
          <w:color w:val="auto"/>
        </w:rPr>
      </w:pPr>
    </w:p>
    <w:p>
      <w:pPr>
        <w:ind w:right="340" w:firstLine="440"/>
        <w:spacing w:after="0" w:line="266" w:lineRule="auto"/>
        <w:tabs>
          <w:tab w:leader="none" w:pos="6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60" w:firstLine="440"/>
        <w:spacing w:after="0" w:line="282" w:lineRule="auto"/>
        <w:tabs>
          <w:tab w:leader="none" w:pos="6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40" w:firstLine="440"/>
        <w:spacing w:after="0" w:line="266" w:lineRule="auto"/>
        <w:tabs>
          <w:tab w:leader="none" w:pos="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900" w:hanging="514"/>
        <w:spacing w:after="0" w:line="23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right="240" w:firstLine="440"/>
        <w:spacing w:after="0" w:line="282" w:lineRule="auto"/>
        <w:tabs>
          <w:tab w:leader="none" w:pos="6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00" w:firstLine="440"/>
        <w:spacing w:after="0" w:line="282" w:lineRule="auto"/>
        <w:tabs>
          <w:tab w:leader="none" w:pos="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March 7, 2025</w:t>
      </w:r>
      <w:r>
        <w:rPr>
          <w:sz w:val="20"/>
          <w:szCs w:val="20"/>
          <w:color w:val="auto"/>
        </w:rPr>
        <w:tab/>
      </w:r>
      <w:r>
        <w:rPr>
          <w:rFonts w:ascii="Times New Roman" w:cs="Times New Roman" w:eastAsia="Times New Roman" w:hAnsi="Times New Roman"/>
          <w:sz w:val="17"/>
          <w:szCs w:val="17"/>
          <w:b w:val="1"/>
          <w:bCs w:val="1"/>
          <w:u w:val="single" w:color="auto"/>
          <w:color w:val="auto"/>
        </w:rPr>
        <w:t>/s/ William M. Thalman</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Executive Vice President</w:t>
      </w:r>
    </w:p>
    <w:p>
      <w:pPr>
        <w:ind w:left="746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L. B. Foster Company (the “Company”) on Form 10-K for the period ended December 31, 2024,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820" w:right="720" w:hanging="326"/>
        <w:spacing w:after="0" w:line="260"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Date: </w:t>
            </w:r>
            <w:r>
              <w:rPr>
                <w:rFonts w:ascii="Times New Roman" w:cs="Times New Roman" w:eastAsia="Times New Roman" w:hAnsi="Times New Roman"/>
                <w:sz w:val="18"/>
                <w:szCs w:val="18"/>
                <w:b w:val="1"/>
                <w:bCs w:val="1"/>
                <w:color w:val="auto"/>
                <w:w w:val="98"/>
              </w:rPr>
              <w:t>March 7, 2025</w:t>
            </w: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Date: </w:t>
            </w:r>
            <w:r>
              <w:rPr>
                <w:rFonts w:ascii="Times New Roman" w:cs="Times New Roman" w:eastAsia="Times New Roman" w:hAnsi="Times New Roman"/>
                <w:sz w:val="18"/>
                <w:szCs w:val="18"/>
                <w:b w:val="1"/>
                <w:bCs w:val="1"/>
                <w:color w:val="auto"/>
                <w:w w:val="98"/>
              </w:rPr>
              <w:t>March 7, 2025</w:t>
            </w: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180"/>
        </w:trPr>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gridSpan w:val="4"/>
          </w:tcPr>
          <w:p>
            <w:pPr>
              <w:ind w:left="5740"/>
              <w:spacing w:after="0" w:line="181" w:lineRule="exact"/>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920" w:type="dxa"/>
            <w:vAlign w:val="bottom"/>
            <w:gridSpan w:val="4"/>
          </w:tcPr>
          <w:p>
            <w:pPr>
              <w:ind w:left="5740"/>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Amended and Restated Executive Recoupment Policy</w:t>
      </w: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October 2,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required pursuant to the listing standards of the Nasdaq Stock Market LLC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Section 10D of the Securities Exchange Act of</w:t>
      </w:r>
    </w:p>
    <w:p>
      <w:pPr>
        <w:spacing w:after="0" w:line="6"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under the Exchange Act,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L.B. Foster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Amended and Restated Executive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empower the Company to recover Covered Compensation (as defined below) erroneously awarded to a Covered Officer (as defined below) in the event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Accounting Restatement (as defined below).</w:t>
      </w:r>
    </w:p>
    <w:p>
      <w:pPr>
        <w:spacing w:after="0" w:line="19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the final listing standards adopted by the Stock</w:t>
      </w:r>
    </w:p>
    <w:p>
      <w:pPr>
        <w:spacing w:after="0" w:line="218" w:lineRule="auto"/>
        <w:rPr>
          <w:sz w:val="20"/>
          <w:szCs w:val="20"/>
          <w:color w:val="auto"/>
        </w:rPr>
      </w:pPr>
      <w:r>
        <w:rPr>
          <w:rFonts w:ascii="Times New Roman" w:cs="Times New Roman" w:eastAsia="Times New Roman" w:hAnsi="Times New Roman"/>
          <w:sz w:val="18"/>
          <w:szCs w:val="18"/>
          <w:color w:val="auto"/>
        </w:rPr>
        <w:t>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8"/>
          <w:szCs w:val="18"/>
          <w:b w:val="1"/>
          <w:bCs w:val="1"/>
          <w:i w:val="1"/>
          <w:iCs w:val="1"/>
          <w:color w:val="auto"/>
        </w:rPr>
        <w:t>Final Guidance</w:t>
      </w:r>
      <w:r>
        <w:rPr>
          <w:rFonts w:ascii="Times New Roman" w:cs="Times New Roman" w:eastAsia="Times New Roman" w:hAnsi="Times New Roman"/>
          <w:sz w:val="18"/>
          <w:szCs w:val="18"/>
          <w:color w:val="auto"/>
        </w:rPr>
        <w:t>”). Questions regarding this Policy should be directed to the Executive Vice President, Human Resources and Administration.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ind w:right="80" w:firstLine="180"/>
        <w:spacing w:after="0" w:line="223" w:lineRule="auto"/>
        <w:rPr>
          <w:sz w:val="20"/>
          <w:szCs w:val="20"/>
          <w:color w:val="auto"/>
        </w:rPr>
      </w:pPr>
      <w:r>
        <w:rPr>
          <w:rFonts w:ascii="Times New Roman" w:cs="Times New Roman" w:eastAsia="Times New Roman" w:hAnsi="Times New Roman"/>
          <w:sz w:val="17"/>
          <w:szCs w:val="17"/>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w:t>
      </w:r>
    </w:p>
    <w:p>
      <w:pPr>
        <w:spacing w:after="0" w:line="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Clawback Exception applies with respect to a Covered Officer, the Company may forgo such recovery under this Policy from such Covered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ind w:left="180"/>
        <w:spacing w:after="0" w:line="219"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is defined as any current or former “Section 16 officer” of the Company within the meaning of Rule 16a-</w:t>
      </w:r>
    </w:p>
    <w:p>
      <w:pPr>
        <w:ind w:right="320"/>
        <w:spacing w:after="0" w:line="226" w:lineRule="auto"/>
        <w:rPr>
          <w:sz w:val="20"/>
          <w:szCs w:val="20"/>
          <w:color w:val="auto"/>
        </w:rPr>
      </w:pPr>
      <w:r>
        <w:rPr>
          <w:rFonts w:ascii="Times New Roman" w:cs="Times New Roman" w:eastAsia="Times New Roman" w:hAnsi="Times New Roman"/>
          <w:sz w:val="18"/>
          <w:szCs w:val="18"/>
          <w:color w:val="auto"/>
        </w:rPr>
        <w:t>1(f) under the Exchange Act, as determined by the Board or the Committee. Covered Officers include, at a minimum, “executive officers” as defined in Rule 3b-7 under the Exchange Act and identified under Item 401(b)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188" w:lineRule="exact"/>
        <w:rPr>
          <w:sz w:val="20"/>
          <w:szCs w:val="20"/>
          <w:color w:val="auto"/>
        </w:rPr>
      </w:pPr>
    </w:p>
    <w:p>
      <w:pPr>
        <w:ind w:left="980" w:right="140" w:hanging="324"/>
        <w:spacing w:after="0" w:line="250" w:lineRule="auto"/>
        <w:tabs>
          <w:tab w:leader="none" w:pos="9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Compensation</w:t>
      </w:r>
      <w:r>
        <w:rPr>
          <w:rFonts w:ascii="Times New Roman" w:cs="Times New Roman" w:eastAsia="Times New Roman" w:hAnsi="Times New Roman"/>
          <w:sz w:val="17"/>
          <w:szCs w:val="17"/>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76" w:lineRule="exact"/>
        <w:rPr>
          <w:rFonts w:ascii="Times New Roman" w:cs="Times New Roman" w:eastAsia="Times New Roman" w:hAnsi="Times New Roman"/>
          <w:sz w:val="17"/>
          <w:szCs w:val="17"/>
          <w:color w:val="auto"/>
        </w:rPr>
      </w:pPr>
    </w:p>
    <w:p>
      <w:pPr>
        <w:ind w:left="980" w:right="260"/>
        <w:spacing w:after="0" w:line="22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spacing w:after="0" w:line="185" w:lineRule="exact"/>
        <w:rPr>
          <w:rFonts w:ascii="Times New Roman" w:cs="Times New Roman" w:eastAsia="Times New Roman" w:hAnsi="Times New Roman"/>
          <w:sz w:val="17"/>
          <w:szCs w:val="17"/>
          <w:color w:val="auto"/>
        </w:rPr>
      </w:pPr>
    </w:p>
    <w:p>
      <w:pPr>
        <w:ind w:left="980" w:right="140"/>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ectPr>
          <w:pgSz w:w="11900" w:h="16838" w:orient="portrait"/>
          <w:cols w:equalWidth="0" w:num="1">
            <w:col w:w="11240"/>
          </w:cols>
          <w:pgMar w:left="320" w:top="104" w:right="339" w:bottom="1440" w:gutter="0" w:footer="0" w:header="0"/>
        </w:sectPr>
      </w:pPr>
    </w:p>
    <w:bookmarkStart w:id="97" w:name="page98"/>
    <w:bookmarkEnd w:id="97"/>
    <w:p>
      <w:pPr>
        <w:ind w:left="980" w:right="300" w:hanging="324"/>
        <w:spacing w:after="0" w:line="221"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94" w:lineRule="exact"/>
        <w:rPr>
          <w:rFonts w:ascii="Times New Roman" w:cs="Times New Roman" w:eastAsia="Times New Roman" w:hAnsi="Times New Roman"/>
          <w:sz w:val="18"/>
          <w:szCs w:val="18"/>
          <w:color w:val="auto"/>
        </w:rPr>
      </w:pPr>
    </w:p>
    <w:p>
      <w:pPr>
        <w:ind w:left="980" w:right="160" w:hanging="324"/>
        <w:spacing w:after="0" w:line="227"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95" w:lineRule="exact"/>
        <w:rPr>
          <w:rFonts w:ascii="Times New Roman" w:cs="Times New Roman" w:eastAsia="Times New Roman" w:hAnsi="Times New Roman"/>
          <w:sz w:val="18"/>
          <w:szCs w:val="18"/>
          <w:color w:val="auto"/>
        </w:rPr>
      </w:pPr>
    </w:p>
    <w:p>
      <w:pPr>
        <w:ind w:left="980" w:hanging="324"/>
        <w:spacing w:after="0" w:line="227"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212" w:lineRule="exact"/>
        <w:rPr>
          <w:sz w:val="20"/>
          <w:szCs w:val="20"/>
          <w:color w:val="auto"/>
        </w:rPr>
      </w:pPr>
    </w:p>
    <w:p>
      <w:pPr>
        <w:ind w:right="140" w:firstLine="180"/>
        <w:spacing w:after="0" w:line="238" w:lineRule="auto"/>
        <w:rPr>
          <w:sz w:val="20"/>
          <w:szCs w:val="20"/>
          <w:color w:val="auto"/>
        </w:rPr>
      </w:pPr>
      <w:r>
        <w:rPr>
          <w:rFonts w:ascii="Times New Roman" w:cs="Times New Roman" w:eastAsia="Times New Roman" w:hAnsi="Times New Roman"/>
          <w:sz w:val="17"/>
          <w:szCs w:val="17"/>
          <w:color w:val="auto"/>
        </w:rPr>
        <w:t>For purposes of this Policy, the applicable “</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is defined as the three completed fiscal years immediately preceding the Trigger Date (as defined below) and, if applicable, any transition period resulting from a change in the Company’s fiscal year within or immediately following those three</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as of which the Company is required to prepare an Accounting Restatement is the earlier to occur of: (i)</w:t>
      </w:r>
    </w:p>
    <w:p>
      <w:pPr>
        <w:spacing w:after="0" w:line="6"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216" w:lineRule="exact"/>
        <w:rPr>
          <w:sz w:val="20"/>
          <w:szCs w:val="20"/>
          <w:color w:val="auto"/>
        </w:rPr>
      </w:pPr>
    </w:p>
    <w:p>
      <w:pPr>
        <w:ind w:right="60" w:firstLine="180"/>
        <w:spacing w:after="0" w:line="236" w:lineRule="auto"/>
        <w:rPr>
          <w:sz w:val="20"/>
          <w:szCs w:val="20"/>
          <w:color w:val="auto"/>
        </w:rPr>
      </w:pPr>
      <w:r>
        <w:rPr>
          <w:rFonts w:ascii="Times New Roman" w:cs="Times New Roman" w:eastAsia="Times New Roman" w:hAnsi="Times New Roman"/>
          <w:sz w:val="17"/>
          <w:szCs w:val="17"/>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w:t>
      </w:r>
    </w:p>
    <w:p>
      <w:pPr>
        <w:spacing w:after="0"/>
        <w:rPr>
          <w:sz w:val="20"/>
          <w:szCs w:val="20"/>
          <w:color w:val="auto"/>
        </w:rPr>
      </w:pPr>
      <w:r>
        <w:rPr>
          <w:rFonts w:ascii="Times New Roman" w:cs="Times New Roman" w:eastAsia="Times New Roman" w:hAnsi="Times New Roman"/>
          <w:sz w:val="18"/>
          <w:szCs w:val="18"/>
          <w:color w:val="auto"/>
        </w:rPr>
        <w:t>under the Exchange Act (under such circumstances, a “</w:t>
      </w:r>
      <w:r>
        <w:rPr>
          <w:rFonts w:ascii="Times New Roman" w:cs="Times New Roman" w:eastAsia="Times New Roman" w:hAnsi="Times New Roman"/>
          <w:sz w:val="18"/>
          <w:szCs w:val="18"/>
          <w:b w:val="1"/>
          <w:bCs w:val="1"/>
          <w:i w:val="1"/>
          <w:iCs w:val="1"/>
          <w:color w:val="auto"/>
        </w:rPr>
        <w:t>Clawback Exception</w:t>
      </w:r>
      <w:r>
        <w:rPr>
          <w:rFonts w:ascii="Times New Roman" w:cs="Times New Roman" w:eastAsia="Times New Roman" w:hAnsi="Times New Roman"/>
          <w:sz w:val="18"/>
          <w:szCs w:val="18"/>
          <w:color w:val="auto"/>
        </w:rPr>
        <w:t>” applies):</w:t>
      </w:r>
    </w:p>
    <w:p>
      <w:pPr>
        <w:spacing w:after="0" w:line="192" w:lineRule="exact"/>
        <w:rPr>
          <w:sz w:val="20"/>
          <w:szCs w:val="20"/>
          <w:color w:val="auto"/>
        </w:rPr>
      </w:pPr>
    </w:p>
    <w:p>
      <w:pPr>
        <w:ind w:left="980" w:right="80" w:hanging="324"/>
        <w:spacing w:after="0" w:line="231"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85" w:lineRule="exact"/>
        <w:rPr>
          <w:rFonts w:ascii="Times New Roman" w:cs="Times New Roman" w:eastAsia="Times New Roman" w:hAnsi="Times New Roman"/>
          <w:sz w:val="18"/>
          <w:szCs w:val="18"/>
          <w:color w:val="auto"/>
        </w:rPr>
      </w:pPr>
    </w:p>
    <w:p>
      <w:pPr>
        <w:ind w:left="980" w:right="20" w:hanging="324"/>
        <w:spacing w:after="0" w:line="231"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5" w:lineRule="exact"/>
        <w:rPr>
          <w:rFonts w:ascii="Times New Roman" w:cs="Times New Roman" w:eastAsia="Times New Roman" w:hAnsi="Times New Roman"/>
          <w:sz w:val="18"/>
          <w:szCs w:val="18"/>
          <w:color w:val="auto"/>
        </w:rPr>
      </w:pPr>
    </w:p>
    <w:p>
      <w:pPr>
        <w:ind w:left="980" w:right="100" w:hanging="324"/>
        <w:spacing w:after="0" w:line="233" w:lineRule="auto"/>
        <w:tabs>
          <w:tab w:leader="none" w:pos="97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29" w:lineRule="exact"/>
        <w:rPr>
          <w:sz w:val="20"/>
          <w:szCs w:val="20"/>
          <w:color w:val="auto"/>
        </w:rPr>
      </w:pPr>
    </w:p>
    <w:p>
      <w:pPr>
        <w:ind w:right="180" w:firstLine="180"/>
        <w:spacing w:after="0" w:line="237"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00" w:right="359" w:bottom="1440" w:gutter="0" w:footer="0" w:header="0"/>
        </w:sectPr>
      </w:pPr>
    </w:p>
    <w:bookmarkStart w:id="98" w:name="page99"/>
    <w:bookmarkEnd w:id="98"/>
    <w:p>
      <w:pPr>
        <w:ind w:right="60" w:firstLine="177"/>
        <w:spacing w:after="0" w:line="236" w:lineRule="auto"/>
        <w:rPr>
          <w:sz w:val="20"/>
          <w:szCs w:val="20"/>
          <w:color w:val="auto"/>
        </w:rPr>
      </w:pPr>
      <w:r>
        <w:rPr>
          <w:rFonts w:ascii="Times New Roman" w:cs="Times New Roman" w:eastAsia="Times New Roman" w:hAnsi="Times New Roman"/>
          <w:sz w:val="17"/>
          <w:szCs w:val="17"/>
          <w:color w:val="auto"/>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w:t>
      </w:r>
    </w:p>
    <w:p>
      <w:pPr>
        <w:ind w:right="40"/>
        <w:spacing w:after="0" w:line="220" w:lineRule="auto"/>
        <w:rPr>
          <w:sz w:val="20"/>
          <w:szCs w:val="20"/>
          <w:color w:val="auto"/>
        </w:rPr>
      </w:pPr>
      <w:r>
        <w:rPr>
          <w:rFonts w:ascii="Times New Roman" w:cs="Times New Roman" w:eastAsia="Times New Roman" w:hAnsi="Times New Roman"/>
          <w:sz w:val="17"/>
          <w:szCs w:val="17"/>
          <w:color w:val="auto"/>
        </w:rPr>
        <w:t>any defect, supply any omission or reconcile any ambiguity, inconsistency or conflict in the Policy, subject to the Final Guidance. This Policy is in addition to and is not intended to change or interpret any federal or state law or regulation, including the Pennsylvania Business Corporation Law, the Articles of Incorporation of the Company, or the Bylaws of the Company. The Committee will review the Policy from time to time and will have full and exclusive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to take any action it deems appropriate.</w:t>
      </w:r>
    </w:p>
    <w:p>
      <w:pPr>
        <w:spacing w:after="0" w:line="192" w:lineRule="exact"/>
        <w:rPr>
          <w:sz w:val="20"/>
          <w:szCs w:val="20"/>
          <w:color w:val="auto"/>
        </w:rPr>
      </w:pPr>
    </w:p>
    <w:p>
      <w:pPr>
        <w:ind w:right="180" w:firstLine="177"/>
        <w:spacing w:after="0" w:line="236" w:lineRule="auto"/>
        <w:rPr>
          <w:sz w:val="20"/>
          <w:szCs w:val="20"/>
          <w:color w:val="auto"/>
        </w:rPr>
      </w:pPr>
      <w:r>
        <w:rPr>
          <w:rFonts w:ascii="Times New Roman" w:cs="Times New Roman" w:eastAsia="Times New Roman" w:hAnsi="Times New Roman"/>
          <w:sz w:val="17"/>
          <w:szCs w:val="17"/>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w:t>
      </w: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192" w:lineRule="exact"/>
        <w:rPr>
          <w:sz w:val="20"/>
          <w:szCs w:val="20"/>
          <w:color w:val="auto"/>
        </w:rPr>
      </w:pPr>
    </w:p>
    <w:p>
      <w:pPr>
        <w:ind w:right="220" w:firstLine="180"/>
        <w:spacing w:after="0" w:line="236" w:lineRule="auto"/>
        <w:rPr>
          <w:sz w:val="20"/>
          <w:szCs w:val="20"/>
          <w:color w:val="auto"/>
        </w:rPr>
      </w:pPr>
      <w:r>
        <w:rPr>
          <w:rFonts w:ascii="Times New Roman" w:cs="Times New Roman" w:eastAsia="Times New Roman" w:hAnsi="Times New Roman"/>
          <w:sz w:val="17"/>
          <w:szCs w:val="17"/>
          <w:color w:val="auto"/>
        </w:rPr>
        <w:t>Each Covered Officer, upon being so designated or assuming such position, is required to execute and deliver to the Executive Vice President, Human Resources and Administration a signature page to this Policy (i) acknowledging and consenting to be bound by the terms of this Policy, (ii) agreeing to</w:t>
      </w:r>
    </w:p>
    <w:p>
      <w:pPr>
        <w:ind w:right="140"/>
        <w:spacing w:after="0" w:line="218" w:lineRule="auto"/>
        <w:rPr>
          <w:sz w:val="20"/>
          <w:szCs w:val="20"/>
          <w:color w:val="auto"/>
        </w:rPr>
      </w:pPr>
      <w:r>
        <w:rPr>
          <w:rFonts w:ascii="Times New Roman" w:cs="Times New Roman" w:eastAsia="Times New Roman" w:hAnsi="Times New Roman"/>
          <w:sz w:val="18"/>
          <w:szCs w:val="18"/>
          <w:color w:val="auto"/>
        </w:rPr>
        <w:t>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16" w:lineRule="exact"/>
        <w:rPr>
          <w:sz w:val="20"/>
          <w:szCs w:val="20"/>
          <w:color w:val="auto"/>
        </w:rPr>
      </w:pPr>
    </w:p>
    <w:p>
      <w:pPr>
        <w:ind w:firstLine="180"/>
        <w:spacing w:after="0" w:line="236" w:lineRule="auto"/>
        <w:rPr>
          <w:sz w:val="20"/>
          <w:szCs w:val="20"/>
          <w:color w:val="auto"/>
        </w:rPr>
      </w:pPr>
      <w:r>
        <w:rPr>
          <w:rFonts w:ascii="Times New Roman" w:cs="Times New Roman" w:eastAsia="Times New Roman" w:hAnsi="Times New Roman"/>
          <w:sz w:val="17"/>
          <w:szCs w:val="17"/>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w:t>
      </w:r>
    </w:p>
    <w:p>
      <w:pPr>
        <w:spacing w:after="0"/>
        <w:rPr>
          <w:sz w:val="20"/>
          <w:szCs w:val="20"/>
          <w:color w:val="auto"/>
        </w:rPr>
      </w:pPr>
      <w:r>
        <w:rPr>
          <w:rFonts w:ascii="Times New Roman" w:cs="Times New Roman" w:eastAsia="Times New Roman" w:hAnsi="Times New Roman"/>
          <w:sz w:val="18"/>
          <w:szCs w:val="18"/>
          <w:color w:val="auto"/>
        </w:rPr>
        <w:t>Final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04" w:right="35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Executive Recoupment Policy Acknowledgment and Consent</w:t>
      </w:r>
    </w:p>
    <w:p>
      <w:pPr>
        <w:spacing w:after="0" w:line="229" w:lineRule="exact"/>
        <w:rPr>
          <w:sz w:val="20"/>
          <w:szCs w:val="20"/>
          <w:color w:val="auto"/>
        </w:rPr>
      </w:pPr>
    </w:p>
    <w:p>
      <w:pPr>
        <w:jc w:val="both"/>
        <w:ind w:firstLine="183"/>
        <w:spacing w:after="0" w:line="226" w:lineRule="auto"/>
        <w:rPr>
          <w:sz w:val="20"/>
          <w:szCs w:val="20"/>
          <w:color w:val="auto"/>
        </w:rPr>
      </w:pPr>
      <w:r>
        <w:rPr>
          <w:rFonts w:ascii="Times New Roman" w:cs="Times New Roman" w:eastAsia="Times New Roman" w:hAnsi="Times New Roman"/>
          <w:sz w:val="18"/>
          <w:szCs w:val="18"/>
          <w:color w:val="auto"/>
        </w:rPr>
        <w:t>The undersigned hereby acknowledges that he or she has received and reviewed a copy of the Amended and Restated Executive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L.B. Foster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December 1, 2023, as adopted by the Compensation Committee of the Company’s Board of Directors.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Pursuant to such Policy, the undersigned hereby:</w:t>
      </w:r>
    </w:p>
    <w:p>
      <w:pPr>
        <w:spacing w:after="0" w:line="21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he or she has been designated as (or assumed the position of) a Covered Officer (as defined in the Policy);</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the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be bound by the terms of the Policy;</w:t>
      </w:r>
    </w:p>
    <w:p>
      <w:pPr>
        <w:spacing w:after="0" w:line="211" w:lineRule="exact"/>
        <w:rPr>
          <w:rFonts w:ascii="Times New Roman" w:cs="Times New Roman" w:eastAsia="Times New Roman" w:hAnsi="Times New Roman"/>
          <w:sz w:val="18"/>
          <w:szCs w:val="18"/>
          <w:color w:val="auto"/>
        </w:rPr>
      </w:pPr>
    </w:p>
    <w:p>
      <w:pPr>
        <w:jc w:val="both"/>
        <w:ind w:left="980" w:right="240" w:hanging="324"/>
        <w:spacing w:after="0" w:line="263" w:lineRule="auto"/>
        <w:tabs>
          <w:tab w:leader="none" w:pos="9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spacing w:after="0" w:line="179" w:lineRule="exact"/>
        <w:rPr>
          <w:rFonts w:ascii="Times New Roman" w:cs="Times New Roman" w:eastAsia="Times New Roman" w:hAnsi="Times New Roman"/>
          <w:sz w:val="17"/>
          <w:szCs w:val="17"/>
          <w:color w:val="auto"/>
        </w:rPr>
      </w:pPr>
    </w:p>
    <w:p>
      <w:pPr>
        <w:ind w:left="980" w:right="160" w:hanging="324"/>
        <w:spacing w:after="0" w:line="237"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Company may enforce its rights under the Policy through any and all reasonable means permitted under applicable law as the Company deems necessary or desirable under the Policy.</w:t>
      </w: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-119380</wp:posOffset>
            </wp:positionV>
            <wp:extent cx="6858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L.B. Foster Company Amended and Restated Executive Recoupment Policy Acknowledgement and Consent</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upperLetter"/>
      <w:start w:val="9"/>
    </w:lvl>
    <w:lvl w:ilvl="1">
      <w:lvlJc w:val="left"/>
      <w:lvlText w:val="%2."/>
      <w:numFmt w:val="lowerLetter"/>
      <w:start w:val="1"/>
    </w:lvl>
  </w:abstractNum>
  <w:abstractNum w:abstractNumId="16">
    <w:nsid w:val="71F32454"/>
    <w:multiLevelType w:val="hybridMultilevel"/>
    <w:lvl w:ilvl="0">
      <w:lvlJc w:val="left"/>
      <w:lvlText w:val="%1."/>
      <w:numFmt w:val="upperLetter"/>
      <w:start w:val="35"/>
    </w:lvl>
    <w:lvl w:ilvl="1">
      <w:lvlJc w:val="left"/>
      <w:lvlText w:val="%2."/>
      <w:numFmt w:val="lowerLetter"/>
      <w:start w:val="1"/>
    </w:lvl>
  </w:abstractNum>
  <w:abstractNum w:abstractNumId="17">
    <w:nsid w:val="2CA88611"/>
    <w:multiLevelType w:val="hybridMultilevel"/>
    <w:lvl w:ilvl="0">
      <w:lvlJc w:val="left"/>
      <w:lvlText w:val="%1."/>
      <w:numFmt w:val="upperLetter"/>
      <w:start w:val="61"/>
    </w:lvl>
  </w:abstractNum>
  <w:abstractNum w:abstractNumId="18">
    <w:nsid w:val="836C40E"/>
    <w:multiLevelType w:val="hybridMultilevel"/>
    <w:lvl w:ilvl="0">
      <w:lvlJc w:val="left"/>
      <w:lvlText w:val="%1."/>
      <w:numFmt w:val="lowerLetter"/>
      <w:start w:val="2"/>
    </w:lvl>
  </w:abstractNum>
  <w:abstractNum w:abstractNumId="19">
    <w:nsid w:val="2901D82"/>
    <w:multiLevelType w:val="hybridMultilevel"/>
    <w:lvl w:ilvl="0">
      <w:lvlJc w:val="left"/>
      <w:lvlText w:val="%1."/>
      <w:numFmt w:val="lowerLetter"/>
      <w:start w:val="2"/>
    </w:lvl>
    <w:lvl w:ilvl="1">
      <w:lvlJc w:val="left"/>
      <w:lvlText w:val="1"/>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lvl w:ilvl="1">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3"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85" Type="http://schemas.openxmlformats.org/officeDocument/2006/relationships/hyperlink" Target="https://www.sec.gov/Archives/edgar/data/352825/000035282503000006/ex31.txt" TargetMode="External"/><Relationship Id="rId86" Type="http://schemas.openxmlformats.org/officeDocument/2006/relationships/hyperlink" Target="https://www.sec.gov/Archives/edgar/data/352825/000035282512000037/fstr-20120930ex312f7afb1.htm" TargetMode="External"/><Relationship Id="rId87" Type="http://schemas.openxmlformats.org/officeDocument/2006/relationships/hyperlink" Target="https://www.sec.gov/Archives/edgar/data/352825/000035282521000003/ex-103242021.htm" TargetMode="External"/><Relationship Id="rId88" Type="http://schemas.openxmlformats.org/officeDocument/2006/relationships/hyperlink" Target="https://www.sec.gov/Archives/edgar/data/0000352825/000035282521000054/ex-10182021creditfacility.htm" TargetMode="External"/><Relationship Id="rId89" Type="http://schemas.openxmlformats.org/officeDocument/2006/relationships/hyperlink" Target="https://www.sec.gov/Archives/edgar/data/352825/000035282522000046/ex-102vhc82022.htm" TargetMode="External"/><Relationship Id="rId90" Type="http://schemas.openxmlformats.org/officeDocument/2006/relationships/hyperlink" Target="https://www.sec.gov/Archives/edgar/data/352825/000119312516606254/d200569dex991.htm" TargetMode="External"/><Relationship Id="rId91" Type="http://schemas.openxmlformats.org/officeDocument/2006/relationships/hyperlink" Target="https://www.sec.gov/Archives/edgar/data/352825/000035282511000038/exh102.htm" TargetMode="External"/><Relationship Id="rId92" Type="http://schemas.openxmlformats.org/officeDocument/2006/relationships/hyperlink" Target="https://www.sec.gov/Archives/edgar/data/352825/000035282512000025/exh101.htm" TargetMode="External"/><Relationship Id="rId93" Type="http://schemas.openxmlformats.org/officeDocument/2006/relationships/hyperlink" Target="https://www.sec.gov/Archives/edgar/data/352825/000035282511000008/exh1046.htm" TargetMode="External"/><Relationship Id="rId94" Type="http://schemas.openxmlformats.org/officeDocument/2006/relationships/hyperlink" Target="https://www.sec.gov/Archives/edgar/data/352825/000035282518000015/ex-107q12018.htm" TargetMode="External"/><Relationship Id="rId95" Type="http://schemas.openxmlformats.org/officeDocument/2006/relationships/hyperlink" Target="https://www.sec.gov/Archives/edgar/data/352825/000035282518000034/ex-101q22018.htm" TargetMode="External"/><Relationship Id="rId96" Type="http://schemas.openxmlformats.org/officeDocument/2006/relationships/hyperlink" Target="https://www.sec.gov/Archives/edgar/data/352825/000035282521000021/ex-101q12021.htm" TargetMode="External"/><Relationship Id="rId97" Type="http://schemas.openxmlformats.org/officeDocument/2006/relationships/hyperlink" Target="https://www.sec.gov/Archives/edgar/data/352825/000035282521000021/ex-102q12021.htm" TargetMode="External"/><Relationship Id="rId98" Type="http://schemas.openxmlformats.org/officeDocument/2006/relationships/hyperlink" Target="https://www.sec.gov/Archives/edgar/data/352825/000035282521000021/ex-103q12021.htm" TargetMode="External"/><Relationship Id="rId99" Type="http://schemas.openxmlformats.org/officeDocument/2006/relationships/hyperlink" Target="https://www.sec.gov/Archives/edgar/data/352825/000035282521000021/ex-104q12021.htm" TargetMode="External"/><Relationship Id="rId100" Type="http://schemas.openxmlformats.org/officeDocument/2006/relationships/hyperlink" Target="https://www.sec.gov/Archives/edgar/data/352825/000035282521000021/ex-105q12021.htm" TargetMode="External"/><Relationship Id="rId101" Type="http://schemas.openxmlformats.org/officeDocument/2006/relationships/hyperlink" Target="https://www.sec.gov/Archives/edgar/data/352825/000035282521000021/ex-106q12021.htm" TargetMode="External"/><Relationship Id="rId102" Type="http://schemas.openxmlformats.org/officeDocument/2006/relationships/hyperlink" Target="https://www.sec.gov/Archives/edgar/data/352825/000035282522000014/ex-101q12022.htm" TargetMode="External"/><Relationship Id="rId104" Type="http://schemas.openxmlformats.org/officeDocument/2006/relationships/hyperlink" Target="https://www.sec.gov/Archives/edgar/data/352825/000035282522000014/ex-102q12022.htm" TargetMode="External"/><Relationship Id="rId105" Type="http://schemas.openxmlformats.org/officeDocument/2006/relationships/hyperlink" Target="https://www.sec.gov/Archives/edgar/data/352825/000035282522000014/ex-103q12022.htm" TargetMode="External"/><Relationship Id="rId106" Type="http://schemas.openxmlformats.org/officeDocument/2006/relationships/hyperlink" Target="https://www.sec.gov/Archives/edgar/data/352825/000035282522000039/ex-102q22022.htm" TargetMode="External"/><Relationship Id="rId107" Type="http://schemas.openxmlformats.org/officeDocument/2006/relationships/hyperlink" Target="https://www.sec.gov/Archives/edgar/data/352825/000035282522000039/ex-101q22022.htm" TargetMode="External"/><Relationship Id="rId108" Type="http://schemas.openxmlformats.org/officeDocument/2006/relationships/hyperlink" Target="https://www.sec.gov/Archives/edgar/data/352825/000035282523000034/a202210kex-1027.htm" TargetMode="External"/><Relationship Id="rId109" Type="http://schemas.openxmlformats.org/officeDocument/2006/relationships/hyperlink" Target="https://www.sec.gov/Archives/edgar/data/352825/000035282523000057/ex-101q12023.htm" TargetMode="External"/><Relationship Id="rId110" Type="http://schemas.openxmlformats.org/officeDocument/2006/relationships/hyperlink" Target="https://www.sec.gov/Archives/edgar/data/352825/000035282523000057/ex-102q12023.htm" TargetMode="External"/><Relationship Id="rId111" Type="http://schemas.openxmlformats.org/officeDocument/2006/relationships/hyperlink" Target="https://www.sec.gov/Archives/edgar/data/352825/000035282523000057/ex-103q12023.htm" TargetMode="External"/><Relationship Id="rId112" Type="http://schemas.openxmlformats.org/officeDocument/2006/relationships/hyperlink" Target="https://www.sec.gov/Archives/edgar/data/352825/000035282523000109/ex-101q32023.htm" TargetMode="External"/><Relationship Id="rId113" Type="http://schemas.openxmlformats.org/officeDocument/2006/relationships/hyperlink" Target="https://www.sec.gov/Archives/edgar/data/352825/000035282523000109/ex-102q32023.htm" TargetMode="External"/><Relationship Id="rId114" Type="http://schemas.openxmlformats.org/officeDocument/2006/relationships/hyperlink" Target="https://www.sec.gov/Archives/edgar/data/352825/000035282523000109/ex-103q32023.htm" TargetMode="External"/><Relationship Id="rId115" Type="http://schemas.openxmlformats.org/officeDocument/2006/relationships/hyperlink" Target="https://www.sec.gov/Archives/edgar/data/352825/000035282523000109/ex-106q32023.htm" TargetMode="External"/><Relationship Id="rId116" Type="http://schemas.openxmlformats.org/officeDocument/2006/relationships/hyperlink" Target="https://www.sec.gov/Archives/edgar/data/352825/000035282524000010/ex-101012024.htm" TargetMode="External"/><Relationship Id="rId117" Type="http://schemas.openxmlformats.org/officeDocument/2006/relationships/hyperlink" Target="https://www.sec.gov/Archives/edgar/data/352825/000035282524000210/ex-101q2a2024.htm" TargetMode="External"/><Relationship Id="rId118" Type="http://schemas.openxmlformats.org/officeDocument/2006/relationships/hyperlink" Target="https://www.sec.gov/Archives/edgar/data/352825/000119312524145605/d83995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2025-03-07T12:34:49Z</dcterms:created>
  <dcterms:modified xsi:type="dcterms:W3CDTF">2025-03-07T12:34:49Z</dcterms:modified>
</cp:coreProperties>
</file>