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jc w:val="right"/>
        <w:ind w:left="3840" w:right="3820" w:hanging="3814"/>
        <w:spacing w:after="0" w:line="414" w:lineRule="auto"/>
        <w:tabs>
          <w:tab w:leader="none" w:pos="65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4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L.B. Foster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jc w:val="center"/>
              <w:ind w:left="135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(State of Incorporation)</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4"/>
                <w:szCs w:val="14"/>
                <w:color w:val="auto"/>
              </w:rPr>
              <w:t>(I. R. S. Employer Identification No.)</w:t>
            </w:r>
          </w:p>
        </w:tc>
      </w:tr>
      <w:tr>
        <w:trPr>
          <w:trHeight w:val="352"/>
        </w:trPr>
        <w:tc>
          <w:tcPr>
            <w:tcW w:w="750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415 Holiday Drive, Suite 100, Pittsburgh, Pennsylvania</w:t>
            </w: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4"/>
                <w:szCs w:val="14"/>
                <w:color w:val="auto"/>
              </w:rPr>
              <w:t>(Zip Code)</w:t>
            </w:r>
          </w:p>
        </w:tc>
      </w:tr>
      <w:tr>
        <w:trPr>
          <w:trHeight w:val="311"/>
        </w:trPr>
        <w:tc>
          <w:tcPr>
            <w:tcW w:w="3820" w:type="dxa"/>
            <w:vAlign w:val="bottom"/>
          </w:tcPr>
          <w:p>
            <w:pPr>
              <w:spacing w:after="0"/>
              <w:rPr>
                <w:sz w:val="24"/>
                <w:szCs w:val="24"/>
                <w:color w:val="auto"/>
              </w:rPr>
            </w:pPr>
          </w:p>
        </w:tc>
        <w:tc>
          <w:tcPr>
            <w:tcW w:w="3220" w:type="dxa"/>
            <w:vAlign w:val="bottom"/>
            <w:gridSpan w:val="3"/>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8"/>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36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18"/>
                <w:szCs w:val="18"/>
                <w:color w:val="auto"/>
              </w:rPr>
            </w:pPr>
          </w:p>
        </w:tc>
      </w:tr>
      <w:tr>
        <w:trPr>
          <w:trHeight w:val="203"/>
        </w:trPr>
        <w:tc>
          <w:tcPr>
            <w:tcW w:w="3820" w:type="dxa"/>
            <w:vAlign w:val="bottom"/>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r>
      <w:tr>
        <w:trPr>
          <w:trHeight w:val="228"/>
        </w:trPr>
        <w:tc>
          <w:tcPr>
            <w:tcW w:w="3820" w:type="dxa"/>
            <w:vAlign w:val="bottom"/>
            <w:tcBorders>
              <w:top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FSTR</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w:t>
      </w:r>
    </w:p>
    <w:p>
      <w:pPr>
        <w:spacing w:after="0" w:line="207" w:lineRule="exact"/>
        <w:tabs>
          <w:tab w:leader="none" w:pos="1180" w:val="left"/>
        </w:tabs>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41" w:orient="portrait"/>
          <w:cols w:equalWidth="0" w:num="1">
            <w:col w:w="11240"/>
          </w:cols>
          <w:pgMar w:left="320" w:top="862" w:right="339" w:bottom="0" w:gutter="0" w:footer="0" w:header="0"/>
        </w:sectPr>
      </w:pPr>
    </w:p>
    <w:p>
      <w:pPr>
        <w:spacing w:after="0" w:line="162"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941" w:orient="portrait"/>
          <w:cols w:equalWidth="0" w:num="2">
            <w:col w:w="7860" w:space="720"/>
            <w:col w:w="2660"/>
          </w:cols>
          <w:pgMar w:left="320" w:top="862" w:right="339" w:bottom="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941" w:orient="portrait"/>
          <w:cols w:equalWidth="0" w:num="2">
            <w:col w:w="7860" w:space="720"/>
            <w:col w:w="2660"/>
          </w:cols>
          <w:pgMar w:left="320" w:top="862" w:right="339" w:bottom="0" w:gutter="0" w:footer="0" w:header="0"/>
          <w:type w:val="continuous"/>
        </w:sectPr>
      </w:pPr>
    </w:p>
    <w:p>
      <w:pPr>
        <w:spacing w:after="0" w:line="5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4"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 2024, there were 10,963,711 shares of the registrant’s common stock, par value $0.01 per share, outstanding.</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L.B. Foster Company (the “Company”) is filing this Amendment No. 1 on Form 10-Q/A (the “Amended Form 10-Q”) to amend and restate certain items in the Company’s Quarterly Report on Form 10-Q for the quarterly period ended March 31, 2024, which was originally filed with the Securities and Exchange Commission (the “SEC”) on May 7, 2024 (the “Original Form 10-Q”). This Amended Form 10-Q includes the restated Unaudited Condensed Consolidated Financial Statements for the three months ended March 31, 2024.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Background</w:t>
      </w:r>
    </w:p>
    <w:p>
      <w:pPr>
        <w:spacing w:after="0" w:line="25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disclosed in the Company’s Item 4.02 Current Report on Form 8-K filed with the SEC on October 8, 2024, subsequent to the filing of the Original Form 10-Q, the Company identified an error related to the classification of the $3,477 thousand gain on the sale of the former joint venture facility located in</w:t>
      </w:r>
    </w:p>
    <w:p>
      <w:pPr>
        <w:sectPr>
          <w:pgSz w:w="11900" w:h="16941" w:orient="portrait"/>
          <w:cols w:equalWidth="0" w:num="1">
            <w:col w:w="11240"/>
          </w:cols>
          <w:pgMar w:left="320" w:top="862" w:right="339" w:bottom="0" w:gutter="0" w:footer="0" w:header="0"/>
          <w:type w:val="continuous"/>
        </w:sectPr>
      </w:pPr>
    </w:p>
    <w:bookmarkStart w:id="1" w:name="page2"/>
    <w:bookmarkEnd w:id="1"/>
    <w:p>
      <w:pPr>
        <w:jc w:val="both"/>
        <w:spacing w:after="0" w:line="254" w:lineRule="auto"/>
        <w:rPr>
          <w:sz w:val="20"/>
          <w:szCs w:val="20"/>
          <w:color w:val="auto"/>
        </w:rPr>
      </w:pPr>
      <w:r>
        <w:rPr>
          <w:rFonts w:ascii="Times New Roman" w:cs="Times New Roman" w:eastAsia="Times New Roman" w:hAnsi="Times New Roman"/>
          <w:sz w:val="18"/>
          <w:szCs w:val="18"/>
          <w:color w:val="auto"/>
        </w:rPr>
        <w:t>Magnolia, Texas, which sale was completed in the first quarter of 2024 (the “Magnolia Sale”) and reflected in the Company’s Unaudited Condensed Consolidated Statement of Operations for the three month period ended March 31, 2024. Upon completion of the Magnolia Sale, the Company recorded the $3,477 thousand gain in “Other (income) expense - net” in the Unaudited Condensed Consolidated Statement of Operations. The Company had concluded that such classification was appropriate, as the facility was built for the purpose of a direct financing lease from the Company to the joint venture and such facility was not utilized by the Company in its operating activities. However, in accordance with ASC 360-10-45-5, the $3,477 thousand gain on the Magnolia Sale should have been recorded as a component of “Operating income” and not “Other (income) expense - net.” As a result of this classification error, “Operating income” was understated by $3,477 thousand and “Other (income) expense - net” was overstated by $3,477 thousand in the Company’s Unaudited Condensed Consolidated Statement of Operations for the three months ended March 31, 2024 included within the Original Form 10-Q.</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Accordingly, on October 7, 2024 (the “Determination Date”), the Audit Committee of the Board of Directors of the Company (the “Audit Committee”), based on the recommendation of the Company’s management, concluded that the classification of the Magnolia Sale gain described in the preceding paragraph was an error in the Company’s previously issued Unaudited Condensed Consolidated Statement of Operations for the three months ended March 31, 2024, as filed within the Original Form 10-Q, and that such statement should be restated to correct such error. Accordingly, the Audit Committee concluded as of the Determination Date that the previously issued Unaudited Condensed Consolidated Financial Statements for the three months ended March 31, 2024, as included in the Original Form 10-Q, should no longer be relied upon.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has also concluded that its disclosure controls and procedures as of March 31, 2024 were not effective because of a material weakness in internal control over financial reporting due to the lack of an effectively designed control related to the accounting for, and disclosure of, non-recurring complex transactions. A discussion of the Company’s plans to remediate this material weakness is set forth in the revised Part I - Item 4. Controls and Procedures of this Amended Form 10-Q. Additionally, for the three months ended March 31, 2024, the Company identified other immaterial errors that have also been corrected with this filing.</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in this Amended Form 10-Q updated certifications executed by the Company’s principal executive officer and principal financial officer as of the date of this Amended 10-Q as required by Sections 302 and 906 of the Sarbanes-Oxley Act of 2002. The updated certifications are included hereto as Exhibits 31.1, 31.2, and 32.0.</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classification error in the Unaudited Condensed Consolidated Statement of Operations for the three months ended March 31, 2024 does not impact “Total net sales,” “Income before income taxes,” “Income tax expense,” “Net income,” “Basic earnings per common share,” “Diluted earnings per common share,” management incentive compensation or the Company’s credit facility covenants, or any disclosed non-GAAP metrics, including Adjusted EBITDA and organic sales.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filing this Amended Form 10-Q for the three months ended March 31, 2024 to amend and restate the following items included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Form 10-Q:</w:t>
      </w:r>
    </w:p>
    <w:p>
      <w:pPr>
        <w:spacing w:after="0" w:line="23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 Item 1. Condensed Consolidated Financial Statements (Unaudited);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 Item 2. Management’s Discussion and Analysis of Financial Condition and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 Item 4. Controls and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 Item 1A.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 Item 6. Exhibits.</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Rule 12b-15, this Amended Form 10-Q sets forth the complete text of each item listed above, as amended. Except for such items, this Amended Form 10-Q does not amend, update or change any other items or disclosures in the Original Form 10-Q and</w:t>
      </w:r>
    </w:p>
    <w:p>
      <w:pPr>
        <w:spacing w:after="0" w:line="260" w:lineRule="auto"/>
        <w:rPr>
          <w:sz w:val="20"/>
          <w:szCs w:val="20"/>
          <w:color w:val="auto"/>
        </w:rPr>
      </w:pPr>
      <w:r>
        <w:rPr>
          <w:rFonts w:ascii="Times New Roman" w:cs="Times New Roman" w:eastAsia="Times New Roman" w:hAnsi="Times New Roman"/>
          <w:sz w:val="18"/>
          <w:szCs w:val="18"/>
          <w:color w:val="auto"/>
        </w:rPr>
        <w:t>continues to describe the conditions as of the date of the Original Form 10-Q. As such, except as set forth herein, we have not updated or modified the disclosures contained in the Original Form 10-Q to reflect any events that have occurred after the Original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2"/>
        </w:trPr>
        <w:tc>
          <w:tcPr>
            <w:tcW w:w="20" w:type="dxa"/>
            <w:vAlign w:val="bottom"/>
          </w:tcPr>
          <w:p>
            <w:pPr>
              <w:spacing w:after="0"/>
              <w:rPr>
                <w:sz w:val="18"/>
                <w:szCs w:val="18"/>
                <w:color w:val="auto"/>
              </w:rPr>
            </w:pPr>
          </w:p>
        </w:tc>
        <w:tc>
          <w:tcPr>
            <w:tcW w:w="2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6900" w:type="dxa"/>
            <w:vAlign w:val="bottom"/>
            <w:gridSpan w:val="13"/>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Item 1. Financial Statements:</w:t>
            </w:r>
          </w:p>
        </w:tc>
        <w:tc>
          <w:tcPr>
            <w:tcW w:w="6680" w:type="dxa"/>
            <w:vAlign w:val="bottom"/>
            <w:gridSpan w:val="12"/>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4800" w:type="dxa"/>
            <w:vAlign w:val="bottom"/>
            <w:gridSpan w:val="8"/>
          </w:tcPr>
          <w:p>
            <w:pPr>
              <w:spacing w:after="0"/>
              <w:rPr>
                <w:sz w:val="24"/>
                <w:szCs w:val="24"/>
                <w:color w:val="auto"/>
              </w:rPr>
            </w:pP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3380" w:type="dxa"/>
            <w:vAlign w:val="bottom"/>
            <w:gridSpan w:val="2"/>
          </w:tcPr>
          <w:p>
            <w:pPr>
              <w:spacing w:after="0"/>
              <w:rPr>
                <w:sz w:val="24"/>
                <w:szCs w:val="24"/>
                <w:color w:val="auto"/>
              </w:rPr>
            </w:pP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80" w:type="dxa"/>
            <w:vAlign w:val="bottom"/>
            <w:gridSpan w:val="5"/>
          </w:tcPr>
          <w:p>
            <w:pPr>
              <w:spacing w:after="0"/>
              <w:rPr>
                <w:sz w:val="24"/>
                <w:szCs w:val="24"/>
                <w:color w:val="auto"/>
              </w:rPr>
            </w:pP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8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3"/>
          </w:tcPr>
          <w:p>
            <w:pPr>
              <w:spacing w:after="0"/>
              <w:rPr>
                <w:sz w:val="24"/>
                <w:szCs w:val="24"/>
                <w:color w:val="auto"/>
              </w:rPr>
            </w:pPr>
          </w:p>
        </w:tc>
        <w:tc>
          <w:tcPr>
            <w:tcW w:w="1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6460" w:type="dxa"/>
            <w:vAlign w:val="bottom"/>
            <w:gridSpan w:val="11"/>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91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6900" w:type="dxa"/>
            <w:vAlign w:val="bottom"/>
            <w:gridSpan w:val="13"/>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7200" w:type="dxa"/>
            <w:vAlign w:val="bottom"/>
            <w:gridSpan w:val="16"/>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80" w:type="dxa"/>
            <w:vAlign w:val="bottom"/>
            <w:gridSpan w:val="3"/>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2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tcPr>
          <w:p>
            <w:pPr>
              <w:spacing w:after="0"/>
              <w:rPr>
                <w:sz w:val="24"/>
                <w:szCs w:val="24"/>
                <w:color w:val="auto"/>
              </w:rPr>
            </w:pPr>
          </w:p>
        </w:tc>
        <w:tc>
          <w:tcPr>
            <w:tcW w:w="5920" w:type="dxa"/>
            <w:vAlign w:val="bottom"/>
            <w:gridSpan w:val="10"/>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6920" w:type="dxa"/>
            <w:vAlign w:val="bottom"/>
            <w:gridSpan w:val="14"/>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Item 6. Exhibits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Signature</w:t>
            </w:r>
          </w:p>
        </w:tc>
        <w:tc>
          <w:tcPr>
            <w:tcW w:w="7640" w:type="dxa"/>
            <w:vAlign w:val="bottom"/>
            <w:gridSpan w:val="17"/>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4"/>
                <w:szCs w:val="24"/>
                <w:color w:val="auto"/>
              </w:rPr>
            </w:pPr>
          </w:p>
        </w:tc>
      </w:tr>
      <w:tr>
        <w:trPr>
          <w:trHeight w:val="172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3"/>
                <w:szCs w:val="13"/>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4"/>
        </w:trPr>
        <w:tc>
          <w:tcPr>
            <w:tcW w:w="8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net (Note 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 - net (Note 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 net (Note 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0" w:type="dxa"/>
            <w:vAlign w:val="bottom"/>
          </w:tcPr>
          <w:p>
            <w:pPr>
              <w:spacing w:after="0"/>
              <w:rPr>
                <w:sz w:val="1"/>
                <w:szCs w:val="1"/>
                <w:color w:val="auto"/>
              </w:rPr>
            </w:pP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167,355</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75,579</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 net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(Note 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intangibles - net (Note 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19,010</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(Note 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accrued settlement (Note 13)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(Note 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0" w:type="dxa"/>
            <w:vAlign w:val="bottom"/>
          </w:tcPr>
          <w:p>
            <w:pPr>
              <w:spacing w:after="0"/>
              <w:rPr>
                <w:sz w:val="1"/>
                <w:szCs w:val="1"/>
                <w:color w:val="auto"/>
              </w:rPr>
            </w:pP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(Note 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55,171</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 (Note 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authorized 20,000,000 shares; shares issued at March 31, 2024 and</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62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December 31, 2023, 11,115,779; shares outstanding at March 31, 2024 and December 31, 2023, 10,789,231 and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10,733,935, respectively</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124,633</w:t>
            </w:r>
          </w:p>
        </w:tc>
        <w:tc>
          <w:tcPr>
            <w:tcW w:w="0" w:type="dxa"/>
            <w:vAlign w:val="bottom"/>
          </w:tcPr>
          <w:p>
            <w:pPr>
              <w:spacing w:after="0"/>
              <w:rPr>
                <w:sz w:val="1"/>
                <w:szCs w:val="1"/>
                <w:color w:val="auto"/>
              </w:rPr>
            </w:pPr>
          </w:p>
        </w:tc>
      </w:tr>
      <w:tr>
        <w:trPr>
          <w:trHeight w:val="176"/>
        </w:trPr>
        <w:tc>
          <w:tcPr>
            <w:tcW w:w="8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Treasury stock - at cost, 326,548 and 381,844 common stock shares at March 31, 2024 and December 31, 2023,</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L.B. Foster Company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142,111</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142,835</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312,401</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7"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86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goods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98,538</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Sales of services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115,488</w:t>
            </w:r>
          </w:p>
        </w:tc>
        <w:tc>
          <w:tcPr>
            <w:tcW w:w="0" w:type="dxa"/>
            <w:vAlign w:val="bottom"/>
          </w:tcPr>
          <w:p>
            <w:pPr>
              <w:spacing w:after="0"/>
              <w:rPr>
                <w:sz w:val="1"/>
                <w:szCs w:val="1"/>
                <w:color w:val="auto"/>
              </w:rPr>
            </w:pP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78,049</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sold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92,181</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 net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8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L.B. Foster Company</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4,436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 share data attributable to L.B. Foster shareholders: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(loss) per common share</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5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85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2023</w:t>
            </w:r>
          </w:p>
        </w:tc>
      </w:tr>
      <w:tr>
        <w:trPr>
          <w:trHeight w:val="41"/>
        </w:trPr>
        <w:tc>
          <w:tcPr>
            <w:tcW w:w="8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r>
      <w:tr>
        <w:trPr>
          <w:trHeight w:val="21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30"/>
        </w:trPr>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 on cash flow hedges, net of tax expense of $0</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of pension liability adjustments to earnings, net of tax expense of $4 and $2,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L.B. Foster Company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480" w:right="1140" w:hanging="134"/>
        <w:spacing w:after="0" w:line="238" w:lineRule="auto"/>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 out of “Accumulated other comprehensive loss” for pension obligations are charged to “Selling and administrative expenses”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0"/>
        </w:trPr>
        <w:tc>
          <w:tcPr>
            <w:tcW w:w="8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cash used in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income of nonconsolidated investments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sales and disposals of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asset divestitures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26,239</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business dispositions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0" w:type="dxa"/>
            <w:vAlign w:val="bottom"/>
          </w:tcPr>
          <w:p>
            <w:pPr>
              <w:spacing w:after="0"/>
              <w:rPr>
                <w:sz w:val="1"/>
                <w:szCs w:val="1"/>
                <w:color w:val="auto"/>
              </w:rPr>
            </w:pPr>
          </w:p>
        </w:tc>
      </w:tr>
      <w:tr>
        <w:trPr>
          <w:trHeight w:val="223"/>
        </w:trPr>
        <w:tc>
          <w:tcPr>
            <w:tcW w:w="8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0" w:type="dxa"/>
            <w:vAlign w:val="bottom"/>
          </w:tcPr>
          <w:p>
            <w:pPr>
              <w:spacing w:after="0"/>
              <w:rPr>
                <w:sz w:val="1"/>
                <w:szCs w:val="1"/>
                <w:color w:val="auto"/>
              </w:rPr>
            </w:pP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(55,133)</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43,086</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Treasury stock acquisitions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Investment of noncontrolling interest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3"/>
        </w:trPr>
        <w:tc>
          <w:tcPr>
            <w:tcW w:w="8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Income taxes paid (received)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0"/>
        </w:trPr>
        <w:tc>
          <w:tcPr>
            <w:tcW w:w="20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142,835</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gain</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16,555</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71,851</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129,069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145,277</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90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137,598</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Unrealized derivative loss</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32,884</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48"/>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The year-end consolidated balance sheet data was derived from audited financial statements, but does not include all disclosures required by GAAP. In the opinion of management, all estimates and adjustments (consisting of normal recurring accruals) considered necessary for a fair presentation have been included. Operating results for the three months ended March 31, 2024 are not necessarily indicative of the results that may be expected for the year ending December 31, 2024. This Quarterly Report on Form 10-Q/A should be read in conjunction with the consolidated financial statements and footnotes thereto included in L.B. Foster Company’s Annual Report on Form 10-K/A for the year ended December 31, 2023. In this Quarterly Report on Form 10-Q/A, references to “we,” “us,” “our,” and the “Company” refer collectively to L.B. Foster Company and its consolidated subsidiaries.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Standards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“Segment Reporting (Topic 280): Improvements to Reportable Segment Disclosures” (“ASU 2023-07”), which requires enhanced disclosures regarding significant segment expenses that are regularly reviewed by the chief operating decision maker (“CODM”) and included in each reported measure of segment profit or loss, including an amount for “other segment items” by reportable segment and a description of its composition. ASU 2023-07 also requires entities to disclose the title and position of the CODM and an explanation of how the CODM uses reported measures of segment profit or loss to assess performance and allocate resources. The amendments are effective for fiscal years beginning after December 15, 2023, and interim periods within fiscal years beginning after December 15, 2024 with early adoption permitted. The Company expects ASU 2023-07 to only impact its disclosures with no impacts to its consolidated financial condition, results of operations, and cash flows.</w:t>
      </w: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Disclosures (“ASU 2023-09”). ASU 2023-09 requires entities to disclose additional information with respect to the effective tax rate reconciliation and disaggregation of income tax expense and income taxes paid by jurisdiction. ASU 2023-09 is effective for fiscal years beginning after December 15, 2024, with early adoption permitted. The Company is currently evaluating the impact of ASU 2023-09, but expects this ASU to only impact its disclosures with no impacts to its consolidated financial condition, results of operations,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Restatement of Previously Issued Condensed Consolidated Financial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identified an error related to the classification of the $3,477 gain on the sale of the former joint venture facility located in Magnolia, Texas, which sale was completed in the first quarter of 2024 (the “Magnolia Sale”) and reflected in the Company’s Unaudited Condensed Consolidated Statement of Operations for the three month period ended March 31, 2024. Upon completion of the Magnolia Sale, the Company recorded the $3,477 gain in “Other (income) expense - net” in the Unaudited Condensed Consolidated Statement of Operations. The Company had previously concluded that such classification was appropriate. However, in accordance with ASC 360-10-45-5, the $3,477 gain on the Magnolia Sale should have been recorded as a component of “Operating income” and not “Other (income) expense - net.” As a result of this classification error, “Operating income” was understated by $3,477 and “Other (income) expense - net” was overstated by $3,477 in the Company’s Unaudited Condensed Consolidated Statements of Operations for the three months ended March 31,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made other immaterial error corrections to the Company’s Unaudited Condensed Consolidated Statements of Operations for the three months ended March 31, 2024 (together with the Magnolia Sale adjustment, the “Restatement Adjustments”) and for the three months ended March 31, 2023. The impact of these corrections are shown in the tables below. Note only line items that were impacted by the Restatement Adjustments and immaterial error corrections are included below.</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gridSpan w:val="6"/>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Restatement</w:t>
            </w:r>
          </w:p>
        </w:tc>
        <w:tc>
          <w:tcPr>
            <w:tcW w:w="360" w:type="dxa"/>
            <w:vAlign w:val="bottom"/>
          </w:tcPr>
          <w:p>
            <w:pPr>
              <w:spacing w:after="0"/>
              <w:rPr>
                <w:sz w:val="11"/>
                <w:szCs w:val="11"/>
                <w:color w:val="auto"/>
              </w:rPr>
            </w:pPr>
          </w:p>
        </w:tc>
        <w:tc>
          <w:tcPr>
            <w:tcW w:w="11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81,542</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26,176</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544"/>
        </w:trPr>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gridSpan w:val="6"/>
          </w:tcPr>
          <w:p>
            <w:pPr>
              <w:jc w:val="center"/>
              <w:ind w:left="796"/>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1"/>
                <w:szCs w:val="11"/>
                <w:color w:val="auto"/>
              </w:rPr>
            </w:pPr>
          </w:p>
        </w:tc>
        <w:tc>
          <w:tcPr>
            <w:tcW w:w="11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 net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Restatement Adjustments to the Unaudited Condensed Consolidated Statement of Operations for the three months ended March 31, 2024 and the immaterial error corrections made to the Unaudited Condensed Consolidated Statement of Operations for three months ended March 31, 2023 did not change “Income (loss) before income taxes,” “Income tax expense (benefit)” or “Net income.”</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Restatement Adjustments did not have an impact on the Unaudited Condensed Consolidated Balance Sheet as of March 31, 2024. However, immaterial error corrections were made to the Consolidated Balance Sheet as of December 31, 2023 in the Company’s Annual Report on Form 10-K/A as filed on November 1, 2024, as shown in the table below. Note only line items that were impacted by the immaterial error corrections are included below.</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6"/>
          </w:tcPr>
          <w:p>
            <w:pPr>
              <w:jc w:val="center"/>
              <w:ind w:left="85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1"/>
                <w:szCs w:val="11"/>
                <w:color w:val="auto"/>
              </w:rPr>
            </w:pPr>
          </w:p>
        </w:tc>
        <w:tc>
          <w:tcPr>
            <w:tcW w:w="11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 net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73,111</w:t>
            </w:r>
          </w:p>
        </w:tc>
        <w:tc>
          <w:tcPr>
            <w:tcW w:w="0" w:type="dxa"/>
            <w:vAlign w:val="bottom"/>
          </w:tcPr>
          <w:p>
            <w:pPr>
              <w:spacing w:after="0"/>
              <w:rPr>
                <w:sz w:val="1"/>
                <w:szCs w:val="1"/>
                <w:color w:val="auto"/>
              </w:rPr>
            </w:pPr>
          </w:p>
        </w:tc>
      </w:tr>
      <w:tr>
        <w:trPr>
          <w:trHeight w:val="229"/>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167,355</w:t>
            </w:r>
          </w:p>
        </w:tc>
        <w:tc>
          <w:tcPr>
            <w:tcW w:w="0" w:type="dxa"/>
            <w:vAlign w:val="bottom"/>
          </w:tcPr>
          <w:p>
            <w:pPr>
              <w:spacing w:after="0"/>
              <w:rPr>
                <w:sz w:val="1"/>
                <w:szCs w:val="1"/>
                <w:color w:val="auto"/>
              </w:rPr>
            </w:pPr>
          </w:p>
        </w:tc>
      </w:tr>
      <w:tr>
        <w:trPr>
          <w:trHeight w:val="230"/>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75,579</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6"/>
              </w:rPr>
              <w:t>250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312,401</w:t>
            </w:r>
          </w:p>
        </w:tc>
        <w:tc>
          <w:tcPr>
            <w:tcW w:w="0" w:type="dxa"/>
            <w:vAlign w:val="bottom"/>
          </w:tcPr>
          <w:p>
            <w:pPr>
              <w:spacing w:after="0"/>
              <w:rPr>
                <w:sz w:val="1"/>
                <w:szCs w:val="1"/>
                <w:color w:val="auto"/>
              </w:rPr>
            </w:pPr>
          </w:p>
        </w:tc>
      </w:tr>
      <w:tr>
        <w:trPr>
          <w:trHeight w:val="229"/>
        </w:trPr>
        <w:tc>
          <w:tcPr>
            <w:tcW w:w="8100" w:type="dxa"/>
            <w:vAlign w:val="bottom"/>
            <w:gridSpan w:val="5"/>
          </w:tcPr>
          <w:p>
            <w:pPr>
              <w:jc w:val="center"/>
              <w:ind w:left="2870"/>
              <w:spacing w:after="0"/>
              <w:rPr>
                <w:sz w:val="20"/>
                <w:szCs w:val="20"/>
                <w:color w:val="auto"/>
              </w:rPr>
            </w:pPr>
            <w:r>
              <w:rPr>
                <w:rFonts w:ascii="Times New Roman" w:cs="Times New Roman" w:eastAsia="Times New Roman" w:hAnsi="Times New Roman"/>
                <w:sz w:val="18"/>
                <w:szCs w:val="18"/>
                <w:color w:val="auto"/>
                <w:w w:val="99"/>
              </w:rPr>
              <w:t>LIABILITIES AND 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94,501</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312,401</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a result of the immaterial error corrections to the Consolidated Balance Sheet as of December 31, 2023, the Condensed Consolidated Statement of Cash Flows for the three months ended March 31, 2024 contained herein was adjusted as follows. Note only line items that were impacted by the immaterial error corrections are included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6"/>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1"/>
                <w:szCs w:val="11"/>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6"/>
              </w:rPr>
              <w:t>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6"/>
              </w:rPr>
              <w:t>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6"/>
              </w:rPr>
              <w:t>420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There was no impact on “Net cash provided by financing activities” and no change in “Net increase in cash and cash equivalents” for the three months ended March 31, 2024.</w:t>
      </w:r>
    </w:p>
    <w:p>
      <w:pPr>
        <w:spacing w:after="0" w:line="20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Where appropriate, the financial disclosures in the footnotes to the Unaudited Condensed Consolidated Financial Statements impacted by the Restatement Adjustments and correction of immaterial errors have been updated.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Segments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global technology solutions provider of engineered, manufactured products and services that builds and supports infrastructure. The Company’s segments represent components of the Company (a) that engage in activities from which revenue is generated and expenses are incurred, (b) whose operating results are regularly reviewed by the Chief Operating Decision Maker, who uses such information to make decisions about resources to be allocated to the segments, and (c) for which discrete financial information is available. Operating segments are evaluated on their segment operating income contribution to the Company’s consolidated results. Other income and expenses, interest, income taxes, and certain other items are managed on a consolidated basis. The Company’s segment accounting policies are described in Note 2 Business Segments of the Notes to the Company’s Consolidated Financial Statements contained in its Annual Report on Form 10-K/A for the year ended December 31, 2023.</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organized and operates in two reporting segments: Rail, Technologies, and Services (“Rail”), and Infrastructure Solutions (“Infrastructure”). Effective for the quarter and year ended December 31, 2023, the Company made certain organizational changes that led to the conclusion that it will operate under two reporting segments as opposed to the three reporting segments it has operated under historically. As such, the Company has restated segment information for the historical periods presented herein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conform to the current presentation. The Infrastructure Solutions business comprises both the historic Precast Concrete Products and Steel Products and Measurement (since renamed “Steel Products”) reporting 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Company’s reportable segments were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3"/>
                <w:szCs w:val="13"/>
                <w:color w:val="auto"/>
              </w:rPr>
            </w:pPr>
          </w:p>
        </w:tc>
        <w:tc>
          <w:tcPr>
            <w:tcW w:w="18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color w:val="auto"/>
              </w:rPr>
              <w:t>Three Months Ended</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March 31, 2024</w:t>
            </w:r>
          </w:p>
        </w:tc>
        <w:tc>
          <w:tcPr>
            <w:tcW w:w="240" w:type="dxa"/>
            <w:vAlign w:val="bottom"/>
          </w:tcPr>
          <w:p>
            <w:pPr>
              <w:spacing w:after="0"/>
              <w:rPr>
                <w:sz w:val="16"/>
                <w:szCs w:val="16"/>
                <w:color w:val="auto"/>
              </w:rPr>
            </w:pPr>
          </w:p>
        </w:tc>
        <w:tc>
          <w:tcPr>
            <w:tcW w:w="180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color w:val="auto"/>
              </w:rPr>
              <w:t>March 31, 2023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9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40" w:type="dxa"/>
            <w:vAlign w:val="bottom"/>
            <w:tcBorders>
              <w:top w:val="single" w:sz="8" w:color="auto"/>
            </w:tcBorders>
            <w:gridSpan w:val="2"/>
          </w:tcPr>
          <w:p>
            <w:pPr>
              <w:jc w:val="center"/>
              <w:spacing w:after="0" w:line="138" w:lineRule="exact"/>
              <w:rPr>
                <w:sz w:val="20"/>
                <w:szCs w:val="20"/>
                <w:color w:val="auto"/>
              </w:rPr>
            </w:pPr>
            <w:r>
              <w:rPr>
                <w:rFonts w:ascii="Times New Roman" w:cs="Times New Roman" w:eastAsia="Times New Roman" w:hAnsi="Times New Roman"/>
                <w:sz w:val="14"/>
                <w:szCs w:val="14"/>
                <w:color w:val="auto"/>
              </w:rPr>
              <w:t>Segment Operating</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60" w:type="dxa"/>
            <w:vAlign w:val="bottom"/>
            <w:tcBorders>
              <w:top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Segment Operating</w:t>
            </w: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color w:val="auto"/>
              </w:rPr>
              <w:t>Income (Loss)</w:t>
            </w:r>
          </w:p>
        </w:tc>
        <w:tc>
          <w:tcPr>
            <w:tcW w:w="0" w:type="dxa"/>
            <w:vAlign w:val="bottom"/>
          </w:tcPr>
          <w:p>
            <w:pPr>
              <w:spacing w:after="0"/>
              <w:rPr>
                <w:sz w:val="1"/>
                <w:szCs w:val="1"/>
                <w:color w:val="auto"/>
              </w:rPr>
            </w:pPr>
          </w:p>
        </w:tc>
      </w:tr>
      <w:tr>
        <w:trPr>
          <w:trHeight w:val="195"/>
        </w:trPr>
        <w:tc>
          <w:tcPr>
            <w:tcW w:w="59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98"/>
              </w:rPr>
              <w:t>6,778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w w:val="98"/>
              </w:rPr>
              <w:t>(1,388)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457"/>
              <w:spacing w:after="0"/>
              <w:rPr>
                <w:sz w:val="20"/>
                <w:szCs w:val="20"/>
                <w:color w:val="auto"/>
              </w:rPr>
            </w:pPr>
            <w:r>
              <w:rPr>
                <w:rFonts w:ascii="Times New Roman" w:cs="Times New Roman" w:eastAsia="Times New Roman" w:hAnsi="Times New Roman"/>
                <w:sz w:val="18"/>
                <w:szCs w:val="18"/>
                <w:color w:val="auto"/>
                <w:w w:val="98"/>
              </w:rPr>
              <w:t>5,390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Segment operating income (loss), as shown above, includes allocated corporate operating expenses. Allocated corporate operating expenses include costs associated with central services such as quality, logistics, environmental health and safety, information technology, insurance, and human resources. Other corporate functional costs that are associated with the operating segments are also allocated to the segments such as finance, marketing, credit and collections, and treasury functions. Operating expenses related to corporate headquarter functions were allocated to each segment based on segment headcount, revenue contribution, or activity of the business units within the segments, based on the corporate activity type provided to the segment.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 The accounting policies of the reportable segments are the same as those described in the summary of significant accounting policies found in Note 1 Significant Accounting Policies of the Notes to the Company’s Consolidated Financial Statements contained in its Annual Report on Form 10-K/A for the year ended December 31, 2023.</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corporate costs are separately managed on a consolidated basis and are not allocated to the operating segments. These corporate costs include public company costs such as listing fees, audit fees, compliance costs, and Board of Directors fees. Additionally, certain corporate executive management costs, including costs of the corporate executive leadership team, and corporate management stock-based compensation expenses are not allocated to the operating segments. Finally, interest expense, income taxes, and certain other items included in other income and expense which are managed on a consolidated basis are not allocated to the operating segments. During the three months ended March 31, 2024, the Company completed the Magnolia Sale generating a $3,477 gain on sale recorded in “(Gain) on sale of former joint venture facility” which is included as a component of corporate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following table demonstrates a reconciliation of reportable segment net operating income to the Company’s consolidated total for the periods presented:</w:t>
      </w:r>
    </w:p>
    <w:p>
      <w:pPr>
        <w:spacing w:after="0" w:line="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color w:val="auto"/>
                <w:w w:val="99"/>
              </w:rPr>
              <w:t>2024</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0" w:type="dxa"/>
            <w:vAlign w:val="bottom"/>
          </w:tcPr>
          <w:p>
            <w:pPr>
              <w:spacing w:after="0"/>
              <w:rPr>
                <w:sz w:val="1"/>
                <w:szCs w:val="1"/>
                <w:color w:val="auto"/>
              </w:rPr>
            </w:pP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8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4,694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Depreciation/Amortization: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depreciation/amortization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depreciation/amortization</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Depreciation/amortization</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Expenditures for Long-Lived 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expenditures for long-lived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expenditures for long-lived assets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illustrates assets of the Company by reportable segment for the periods presented:</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4"/>
                <w:szCs w:val="14"/>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6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156,638</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assets</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25,516</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312,401</w:t>
            </w: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2023, the Company sold substantially all the operating assets of its Chemtec Energy Services LLC (“Chemtec”) business for $5,344 in proceeds generating a $2,065 loss on sale, recorded in “Other (income) expense - net” for the three months ended March 31, 2023. The Chemtec business was reported in the Steel Products business unit in the Infrastructure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2023, the Company sold substantially all the operating assets of the prestressed concrete railroad tie business operated by its wholly-owned subsidiary, CXT Incorporated (“Ties”), located in Spokane, WA, for $2,362 in proceeds, generating a $1,009 loss on the sale, which was recorded in “Other expense (income) - net” for the three months ended June 30, 2023. The Ties business was reported in the Rail Products business unit within the Rail segment.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(“Bridge Exit”) which was reported in the Steel Products business unit within the Infrastructure segment. The decision to exit the bridge grid deck product line was a result of a weak bridge grid deck market condition and outlook due to customer adoption of newer technologies replacing the grid deck solution. The Bedford, PA based operations supporting the product line expect to complete any remaining customer obligations during 2024. For the three months ended March 31, 2024 and 2023, the product line had $810 and $1,491 in sales, respectively. During the three months ended March 31, 2024, the Company incurred $73 of exit costs recorded in “Cost of goods sold,” all of which were personnel expenses. The Company expects to incur an additional $111 of personnel expenses associated with the exit through 2024. Cumulatively, the Company has incurred a total of $1,476 in exit costs for the Bridge Exit, which included $474 in inventory write-downs and $740 in personnel expenses, which were recorded in “Cost of goods sold,” and $262 in other exit costs which were recorded in “Selling and administrative expenses.” The majority of cash payments were made in early 2024.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17, 2023, the Company acquired the operating assets of Cougar Mountain Precast, LLC (“Cougar”), located in Caldwell, Idaho, which is a licensed manufacturer of Redi-Rock and natural concrete products for $1,644, subject to hold back payments, to be paid over the next twelve months or utilized to satisfy post-close working capital adjustments or indemnity claims. Cougar has been included in the Precast Concrete Products business unit within the Infrastructure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sales by major product and service line for the periods presented:</w:t>
      </w:r>
    </w:p>
    <w:p>
      <w:pPr>
        <w:spacing w:after="0" w:line="4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Products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40,228</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Friction Management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15,820</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Services and Solutions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r>
      <w:tr>
        <w:trPr>
          <w:trHeight w:val="22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64,384</w:t>
            </w: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24,288</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Steel Products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26,816</w:t>
            </w:r>
          </w:p>
        </w:tc>
      </w:tr>
      <w:tr>
        <w:trPr>
          <w:trHeight w:val="22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51,104</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115,488</w:t>
            </w: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from products transferred and services rendered to customers at a point in time.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designated physical location.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the timing of the transfer of goods and services was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6"/>
          </w:tcPr>
          <w:p>
            <w:pPr>
              <w:jc w:val="center"/>
              <w:ind w:left="657"/>
              <w:spacing w:after="0"/>
              <w:rPr>
                <w:sz w:val="20"/>
                <w:szCs w:val="20"/>
                <w:color w:val="auto"/>
              </w:rPr>
            </w:pPr>
            <w:r>
              <w:rPr>
                <w:rFonts w:ascii="Times New Roman" w:cs="Times New Roman" w:eastAsia="Times New Roman" w:hAnsi="Times New Roman"/>
                <w:sz w:val="14"/>
                <w:szCs w:val="14"/>
                <w:color w:val="auto"/>
              </w:rPr>
              <w:t>Three Months Ended March 31, 2024</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20" w:type="dxa"/>
            <w:vAlign w:val="bottom"/>
          </w:tcPr>
          <w:p>
            <w:pPr>
              <w:spacing w:after="0"/>
              <w:rPr>
                <w:sz w:val="11"/>
                <w:szCs w:val="11"/>
                <w:color w:val="auto"/>
              </w:rPr>
            </w:pPr>
          </w:p>
        </w:tc>
        <w:tc>
          <w:tcPr>
            <w:tcW w:w="10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65,539</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95,196</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29,124</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gridSpan w:val="6"/>
          </w:tcPr>
          <w:p>
            <w:pPr>
              <w:jc w:val="center"/>
              <w:ind w:left="657"/>
              <w:spacing w:after="0"/>
              <w:rPr>
                <w:sz w:val="20"/>
                <w:szCs w:val="20"/>
                <w:color w:val="auto"/>
              </w:rPr>
            </w:pPr>
            <w:r>
              <w:rPr>
                <w:rFonts w:ascii="Times New Roman" w:cs="Times New Roman" w:eastAsia="Times New Roman" w:hAnsi="Times New Roman"/>
                <w:sz w:val="14"/>
                <w:szCs w:val="14"/>
                <w:color w:val="auto"/>
              </w:rPr>
              <w:t>Three Months Ended March 31, 2023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420" w:type="dxa"/>
            <w:vAlign w:val="bottom"/>
          </w:tcPr>
          <w:p>
            <w:pPr>
              <w:spacing w:after="0"/>
              <w:rPr>
                <w:sz w:val="11"/>
                <w:szCs w:val="11"/>
                <w:color w:val="auto"/>
              </w:rPr>
            </w:pPr>
          </w:p>
        </w:tc>
        <w:tc>
          <w:tcPr>
            <w:tcW w:w="10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53,834</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82,962</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32,526</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performance obligations under long-term agreements with its customers are generally satisfied over time. Over time revenue is primarily comprised of transit infrastructure and technology services and solutions projects within the Rail segment, precast concrete buildings within the Precast Concrete Products division in the Infrastructure segment, and long-term bridge projects and custom precision metering systems within the Steel Products division in the Infrastructure segment.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or an output method, specifically units delivered, based upon certain customer acceptance and delivery requirements. The use of an input or an output measure to recognize revenue is determined based on what is most appropriate given the nature of the work performed and terms of the associated agreement.</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changes to anticipated revenue from existing contracts. During the three months ended March 31, 2024, reductions to net sales stemming from changes in actual and expected values of certain commercial contracts and settlements of such contracts were immaterial. Such adjustments were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$393 during the three months ended March 31, 2023. The Company’s estimates related to these long-term agreements are further described in Note 4 Revenue of the Notes to the Company’s Consolidated Financial Statements contained in its Annual Report on Form 10-K/A for the year ended December 31,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over time was as follows for the periods presented: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Percentage of Total Net Sales</w:t>
            </w:r>
          </w:p>
        </w:tc>
      </w:tr>
      <w:tr>
        <w:trPr>
          <w:trHeight w:val="196"/>
        </w:trPr>
        <w:tc>
          <w:tcPr>
            <w:tcW w:w="50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196"/>
        </w:trPr>
        <w:tc>
          <w:tcPr>
            <w:tcW w:w="50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color w:val="auto"/>
                <w:w w:val="92"/>
              </w:rPr>
              <w:t>2023</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13,143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10.6 %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14.0 %</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15,981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14.1</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29,124</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32,526</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23.4 %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28.2 %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costs in excess of billings (included in “Contract assets - net”), and billings in excess of costs (contract liabilities), included in “Deferred revenue” within the Condensed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assets: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Contract Assets</w:t>
            </w:r>
          </w:p>
        </w:tc>
        <w:tc>
          <w:tcPr>
            <w:tcW w:w="0" w:type="dxa"/>
            <w:vAlign w:val="bottom"/>
          </w:tcPr>
          <w:p>
            <w:pPr>
              <w:spacing w:after="0"/>
              <w:rPr>
                <w:sz w:val="1"/>
                <w:szCs w:val="1"/>
                <w:color w:val="auto"/>
              </w:rPr>
            </w:pPr>
          </w:p>
        </w:tc>
      </w:tr>
      <w:tr>
        <w:trPr>
          <w:trHeight w:val="23"/>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0" w:type="dxa"/>
            <w:vAlign w:val="bottom"/>
          </w:tcPr>
          <w:p>
            <w:pPr>
              <w:spacing w:after="0"/>
              <w:rPr>
                <w:sz w:val="1"/>
                <w:szCs w:val="1"/>
                <w:color w:val="auto"/>
              </w:rPr>
            </w:pPr>
          </w:p>
        </w:tc>
      </w:tr>
      <w:tr>
        <w:trPr>
          <w:trHeight w:val="229"/>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additions to contract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0" w:type="dxa"/>
            <w:vAlign w:val="bottom"/>
          </w:tcPr>
          <w:p>
            <w:pPr>
              <w:spacing w:after="0"/>
              <w:rPr>
                <w:sz w:val="1"/>
                <w:szCs w:val="1"/>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from contract asset balance to accounts receivable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0" w:type="dxa"/>
            <w:vAlign w:val="bottom"/>
          </w:tcPr>
          <w:p>
            <w:pPr>
              <w:spacing w:after="0"/>
              <w:rPr>
                <w:sz w:val="1"/>
                <w:szCs w:val="1"/>
                <w:color w:val="auto"/>
              </w:rPr>
            </w:pPr>
          </w:p>
        </w:tc>
      </w:tr>
      <w:tr>
        <w:trPr>
          <w:trHeight w:val="22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24,141</w:t>
            </w:r>
          </w:p>
        </w:tc>
        <w:tc>
          <w:tcPr>
            <w:tcW w:w="0" w:type="dxa"/>
            <w:vAlign w:val="bottom"/>
          </w:tcPr>
          <w:p>
            <w:pPr>
              <w:spacing w:after="0"/>
              <w:rPr>
                <w:sz w:val="1"/>
                <w:szCs w:val="1"/>
                <w:color w:val="auto"/>
              </w:rPr>
            </w:pPr>
          </w:p>
        </w:tc>
      </w:tr>
      <w:tr>
        <w:trPr>
          <w:trHeight w:val="21"/>
        </w:trPr>
        <w:tc>
          <w:tcPr>
            <w:tcW w:w="9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liabilities: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Contract Liabilities</w:t>
            </w:r>
          </w:p>
        </w:tc>
        <w:tc>
          <w:tcPr>
            <w:tcW w:w="0" w:type="dxa"/>
            <w:vAlign w:val="bottom"/>
          </w:tcPr>
          <w:p>
            <w:pPr>
              <w:spacing w:after="0"/>
              <w:rPr>
                <w:sz w:val="1"/>
                <w:szCs w:val="1"/>
                <w:color w:val="auto"/>
              </w:rPr>
            </w:pPr>
          </w:p>
        </w:tc>
      </w:tr>
      <w:tr>
        <w:trPr>
          <w:trHeight w:val="23"/>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29"/>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billings in excess of cost, excluding revenue recognized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30"/>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policies regarding allowance for credit losses associated with contract assets, which includes standalone reserve assessments for its long term, complex contracts as needed as well as detailed regular review and updates to contract margins, progress, and value. A standard reserve threshold is applied to contract assets related to short term, less complex contracts. Management also regularly reviews collection patterns and future expected collections and makes necessary revisions to allowance for credit losses related to contract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Company had approximately $222,261 of remaining performance obligations, which is also referred to as backlog.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10.5% of the March 31, 2024 backlog was related to projects that are anticipated to extend beyond March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balance by reportable segment for the period presented: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Rail, Technologies, and</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Infrastructure Solutions</w:t>
            </w:r>
          </w:p>
        </w:tc>
        <w:tc>
          <w:tcPr>
            <w:tcW w:w="34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Services</w:t>
            </w:r>
          </w:p>
        </w:tc>
        <w:tc>
          <w:tcPr>
            <w:tcW w:w="15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Cougar purchase accounting adjustment</w:t>
            </w: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20,319</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17, 2023, the Company acquired Cougar Mountain Precast, LLC., for which all purchase accounting adjustments were finalized as of March 31, 2024. Purchase accounting finalization during the three months ended March 31, 2024 included adjustments to record $429 of gross intangible assets for customer relationships with a weighted average amortization period of 5 years.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included the impacts of current economic conditions, including but not limited to labor markets, supply chains, and other inflationary costs. However, these factors can be unpredictable and are subject to change. No interim goodwill impairment test was required as a result of the evaluation of qualitative factors as of March 31, 2024. However, future impairment charges could result if future projections diverge unfavorably from current expectations.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intangible assets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March 31, 2024</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December 31, 2023</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29"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69,021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reserves for uncollectible accounts are recorded as part of “Selling and administrative expenses” in the Condensed Consolidated Statements of Operations, and an expense of $396 and $155 for the three months ended March 31, 2024 and 2023,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mitigate credit risks. The Company’s reserves are regularly reviewed and revised as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allowance for credit losses:</w:t>
      </w:r>
    </w:p>
    <w:p>
      <w:pPr>
        <w:spacing w:after="0" w:line="45"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color w:val="auto"/>
        </w:rPr>
        <w:t>Allowance for Credit</w:t>
      </w:r>
    </w:p>
    <w:p>
      <w:pPr>
        <w:spacing w:after="0" w:line="4"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against allowance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100" w:hanging="1100"/>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809</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396</w:t>
      </w:r>
    </w:p>
    <w:p>
      <w:pPr>
        <w:spacing w:after="0" w:line="22"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258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11" w:lineRule="exact"/>
        <w:rPr>
          <w:sz w:val="20"/>
          <w:szCs w:val="20"/>
          <w:color w:val="auto"/>
        </w:rPr>
      </w:pPr>
    </w:p>
    <w:p>
      <w:pPr>
        <w:ind w:left="960" w:hanging="96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258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258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80" w:space="720"/>
            <w:col w:w="1440"/>
          </w:cols>
          <w:pgMar w:left="320" w:top="117" w:right="339" w:bottom="144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Inventory is valued at average cost or net realizable value, whichever is lower. The Company’s components of inventory are summarized in the following table for the periods presented:</w:t>
      </w:r>
    </w:p>
    <w:tbl>
      <w:tblPr>
        <w:tblLayout w:type="fixed"/>
        <w:tblInd w:w="0" w:type="dxa"/>
        <w:tblCellMar>
          <w:top w:w="0" w:type="dxa"/>
          <w:left w:w="0" w:type="dxa"/>
          <w:bottom w:w="0" w:type="dxa"/>
          <w:right w:w="0" w:type="dxa"/>
        </w:tblCellMar>
      </w:tblPr>
      <w:tr>
        <w:trPr>
          <w:trHeight w:val="149"/>
        </w:trPr>
        <w:tc>
          <w:tcPr>
            <w:tcW w:w="8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2"/>
                <w:szCs w:val="12"/>
                <w:color w:val="auto"/>
              </w:rPr>
            </w:pPr>
          </w:p>
        </w:tc>
        <w:tc>
          <w:tcPr>
            <w:tcW w:w="10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44,518</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73,111</w:t>
            </w:r>
          </w:p>
        </w:tc>
        <w:tc>
          <w:tcPr>
            <w:tcW w:w="0" w:type="dxa"/>
            <w:vAlign w:val="bottom"/>
          </w:tcPr>
          <w:p>
            <w:pPr>
              <w:spacing w:after="0"/>
              <w:rPr>
                <w:sz w:val="1"/>
                <w:szCs w:val="1"/>
                <w:color w:val="auto"/>
              </w:rPr>
            </w:pPr>
          </w:p>
        </w:tc>
      </w:tr>
      <w:tr>
        <w:trPr>
          <w:trHeight w:val="21"/>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Long-Term Debt and Related Matters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4"/>
                <w:szCs w:val="14"/>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55,060</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and financing agreements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55,273</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amended revolving credit facility, on terms more favorable to the Company and extends the maturity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 On August 12, 2022, the Company entered into a second amendment to its Credit Agreement (the “Second Amendment”) which added an additional tier to the pricing grid and provided for the conversion from LIBOR-based to SOFR-based borrowings.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as amended, will bear interest at rates based upon either the base rate or SOFR rate plus applicable margins. The Credit Agreement includes two financial covenants: (a) Maximum Gross Leverage Ratio, defined as the Company’s consolidated Indebtedness (as defined in the Credit Agreement) divided by the Company’s consolidated EBITDA, which must not exceed (i) 3.25 to 1.00 for all testing periods other than during an Acquisition Period (as defined in the Credit Agreement), and (ii) 3.50 to 1.00 for all testing periods occurring during an Acquisition Period, and (b) Minimum Consolidated Fixed Charge Coverage Ratio, defined as the Company’s consolidated EBITDA divided by the Company’s Fixed Charges (as defined in the Credit Agreement), which must be more than 1.05 to 1.00. As of March 31, 2024, the Company was in compliance with the covenants in the Credit Agreement, as amended, and had outstanding letters of credit of approximately $2,432.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amounts in thousands)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common share for the periods indicated:</w:t>
      </w:r>
    </w:p>
    <w:p>
      <w:pPr>
        <w:spacing w:after="0" w:line="4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(loss) per common share: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20" w:type="dxa"/>
            <w:vAlign w:val="bottom"/>
          </w:tcPr>
          <w:p>
            <w:pPr>
              <w:ind w:left="680"/>
              <w:spacing w:after="0" w:line="202" w:lineRule="exact"/>
              <w:rPr>
                <w:sz w:val="20"/>
                <w:szCs w:val="20"/>
                <w:color w:val="auto"/>
              </w:rPr>
            </w:pPr>
            <w:r>
              <w:rPr>
                <w:rFonts w:ascii="Times New Roman" w:cs="Times New Roman" w:eastAsia="Times New Roman" w:hAnsi="Times New Roman"/>
                <w:sz w:val="18"/>
                <w:szCs w:val="18"/>
                <w:color w:val="auto"/>
              </w:rPr>
              <w:t>Net income (loss) attributable to L.B. Foster Company</w:t>
            </w:r>
          </w:p>
        </w:tc>
        <w:tc>
          <w:tcPr>
            <w:tcW w:w="300" w:type="dxa"/>
            <w:vAlign w:val="bottom"/>
            <w:tcBorders>
              <w:bottom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4,436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 for basic earnings (loss) per common share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 compensation plans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862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Denominator for diluted earnings (loss) per common share - adjusted weighted average shares outstanding</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10,985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10,792</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0 and 101 anti-dilutive shares for the three months ended March 31, 2024 and March 31, 2023,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recorded an income tax expense of $289 on pre-tax income of $4,694 and an income tax benefit of $541 on pre-tax losses of $2,712, respectively, for an effective income tax rate of 6.2% and 19.9%, respectively. The Company’s effective income tax rate for the three months ended March 31, 2024 differed from the federal statutory rate of 21% primarily due to the realization of a portion of its U.S. deferred tax assets previously offset by a valuation allowance. The Company continues to maintain a full valuation allowance against its U.S. deferred tax assets, which is likely to result in significant variability of the effective tax rate in the current year. Changes in pre-tax income projections, combined with the seasonal nature of our businesses, could also impact the effective income tax rate each quarter.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of $1,033 and $884 for the three months ended March 31, 2024 and 2023, respectively. As of March 31, 2024, unrecognized compensation expense for awards that the Company expects to vest approximated $4,711. The Company will recognize this unrecognized compensation expense over the upcoming 1.9 years through March 1, 2026.</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stock awards issued pursuant to the 2022 Equity and Incentive Compensation Plan (the “Equity and Incentive Plan”) and its predecessor, the 2006 Omnibus Incentive Compensation Plan (the “Omnibus Plan”). No stock options are outstanding under either the Omnibus Plan or Equity and Incentive Plan and, as such, there was no stock-based compensation expense related to stock options recorded for the March 31,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Fully-Vested and Restricted Stock Awards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May 2018, non-employee directors have been awarded shares of the Company’s common stock on each date the non-employee directors were elected at the annual shareholders’ meeting to serve as directors, subject to a one-year vesting requirement. The Deferred Compensation Plan for Non-Employee Directors under the Omnibus Plan and, by amendment, under the Equity and Incentive Compensation Plan, which permits non-employee directors of the Company to defer receipt of earned cash and/or stock compensation for service on the Board into deferred stock units.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Performance-Based Stock and Share Units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Equity and Incentive Compensation Plan and Omnibus Plan, the Company grants certain employees restricted stock and performance-based stock and share units. The forfeitable restricted stock awards granted generally time-vest ratably over a three-year period, unless indicated otherwise by the underlying restricted stock award agreement. Performance unit awards are offered annually under separate three-year long-term incentive programs, unless indicated otherwise by the underlying performance unit award agreement. Performance units are subject to forfeiture and will be converted into common stock based upon the Company’s performance relative to performance measures and conversion multiples as defined in the underlying program.</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deferred stock units, and performance-based stock and share unit activity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Restricted</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Deferred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Performance-Based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2"/>
                <w:szCs w:val="12"/>
                <w:color w:val="auto"/>
              </w:rPr>
            </w:pPr>
          </w:p>
        </w:tc>
        <w:tc>
          <w:tcPr>
            <w:tcW w:w="112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 Units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and Share Units</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53"/>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00" w:type="dxa"/>
            <w:vAlign w:val="bottom"/>
            <w:tcBorders>
              <w:top w:val="single" w:sz="8" w:color="CCEEFF"/>
            </w:tcBorders>
            <w:vMerge w:val="continue"/>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13,064</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(103,286)</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incentive awards expected to vest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173,748</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540,229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of assets and liabilities based on the exchange price that would be received for an asset or paid to transfer a liability (an exit price) in the principal or most advantageous market for the asset or liability in an orderly transaction between market participants. The fair values are based on assumptions that market participants would use when pricing an asset or liability, including assumptions about risk and the risks inherent in valuation techniques and the inputs to valuations.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market prices in active markets for identical assets or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or unobservable inputs that are corroborated by market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not corroborated by market data.</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SOFR-based interest rate swaps </w:t>
      </w:r>
      <w:r>
        <w:rPr>
          <w:rFonts w:ascii="Times New Roman" w:cs="Times New Roman" w:eastAsia="Times New Roman" w:hAnsi="Times New Roman"/>
          <w:sz w:val="18"/>
          <w:szCs w:val="18"/>
          <w:color w:val="auto"/>
        </w:rPr>
        <w:t>- To reduce the impact of interest rate changes on outstanding variable-rate debt, the Company amended and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forward-starting SOFR-based interest rate swaps with notional values totaling $20,000 and $20,000 effective August 12, 2022 and August 31, 2022, respectively. The fair value of the interest rate swaps are based on market-observable forward interest rates and represents the estimated amount that the Company would pay to terminate the agreements. As such, the swap agreements are classified as Level 2 within the fair value hierarchy. As of March 31, 2024 and December 31, 2023, the interest rate swaps were recorded in “Other current assets” when the interest rate swaps’ fair market value are in an asset position, and “Other accrued liabilities” when in a liability position within our Condensed Consolidated Balance Sheets.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9"/>
          </w:tcPr>
          <w:p>
            <w:pPr>
              <w:jc w:val="right"/>
              <w:ind w:right="536"/>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2</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$20,000 interest rate swap agreements that became effective August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Condensed Consolidated Balance Sheets and included in “Interest expense - net” in our Condensed Consolidated Statements of Operations as the interest expense from our debt is recognized.</w:t>
      </w:r>
    </w:p>
    <w:p>
      <w:pPr>
        <w:spacing w:after="0" w:line="207" w:lineRule="exact"/>
        <w:rPr>
          <w:sz w:val="20"/>
          <w:szCs w:val="20"/>
          <w:color w:val="auto"/>
        </w:rPr>
      </w:pPr>
    </w:p>
    <w:p>
      <w:pPr>
        <w:ind w:right="220"/>
        <w:spacing w:after="0" w:line="406" w:lineRule="auto"/>
        <w:rPr>
          <w:sz w:val="20"/>
          <w:szCs w:val="20"/>
          <w:color w:val="auto"/>
        </w:rPr>
      </w:pPr>
      <w:r>
        <w:rPr>
          <w:rFonts w:ascii="Times New Roman" w:cs="Times New Roman" w:eastAsia="Times New Roman" w:hAnsi="Times New Roman"/>
          <w:sz w:val="18"/>
          <w:szCs w:val="18"/>
          <w:color w:val="auto"/>
        </w:rPr>
        <w:t xml:space="preserve">For the three months ended March 31, 2024 and 2023, the Company recognized interest income of $337 and $245, respectively, from interest rate swaps. </w:t>
      </w:r>
      <w:r>
        <w:rPr>
          <w:rFonts w:ascii="Times New Roman" w:cs="Times New Roman" w:eastAsia="Times New Roman" w:hAnsi="Times New Roman"/>
          <w:sz w:val="18"/>
          <w:szCs w:val="18"/>
          <w:b w:val="1"/>
          <w:bCs w:val="1"/>
          <w:color w:val="auto"/>
        </w:rPr>
        <w:t>Note 12. Retirement Plans</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three retirement plans that cover its hourly and salaried employees in the United States: one defined benefit plan, which is frozen, and two defined contribution plans. Employees are eligible to participate in the appropriate plan based on employment classification. The Company’s contributions to the defined benefit and defined contribution plans are governed by the Employee Retirement Income Security Act of 1974, as amended (“ERISA”) and the Company’s policy and investment guidelines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each respective plan. The Company’s policy is to contribute at least the minimum in accordance with the funding standards of ERISA.</w:t>
      </w:r>
    </w:p>
    <w:p>
      <w:pPr>
        <w:spacing w:after="0" w:line="25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 maintains one defined contribution plan for its employees in Canada. In the United Kingdom, the Company maintains two defined contribution plans and a defined benefit plan, which is frozen. These plans are discussed in further detail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 Defined Benefit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costs were as follows for the periods presented:</w:t>
      </w:r>
    </w:p>
    <w:p>
      <w:pPr>
        <w:spacing w:after="0" w:line="4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9"/>
              </w:rPr>
              <w:t>71</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w w:val="99"/>
              </w:rPr>
              <w:t>(64)</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w w:val="99"/>
              </w:rPr>
              <w:t>16</w:t>
            </w: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8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made contributions to its United States defined benefit plan of $100 during the three months ended March 31, 2024 and expects to make total contributions of approximately $370 during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Kingdom Defined Benefit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costs were as follows for the periods presented:</w:t>
      </w:r>
    </w:p>
    <w:p>
      <w:pPr>
        <w:spacing w:after="0" w:line="3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2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transition amount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Kingdom regulations require trustees to adopt a prudent approach to funding required contributions to defined benefit pension plans. For the three months ended March 31, 2024, the Company contributed approximately $79 to the plan. The Company anticipates total contributions of approximately $315 to the United Kingdom pension plan during 2024.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Contribution Plans</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 for the periods presented:</w:t>
      </w:r>
    </w:p>
    <w:p>
      <w:pPr>
        <w:spacing w:after="0" w:line="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862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0"/>
        </w:trPr>
        <w:tc>
          <w:tcPr>
            <w:tcW w:w="8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Claims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product warranty claims that arise in the ordinary course of its business. For certain manufactured products, the Company maintains a product warranty accrual, which is adjusted on a monthly basis as a percentage of cost of sales. In addition, the product warranty accrual is adjusted periodically based on the identification or resolution of known individual product warranty claims.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Union Pacific Railroad (“UPRR”) Concrete Tie Matter</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13, 2019, the Company and its subsidiary, CXT Incorporated (“CXT”), entered into a Settlement Agreement (the “Settlement Agreement”) with UPRR to resolve the then-pending litigation in the matter of </w:t>
      </w:r>
      <w:r>
        <w:rPr>
          <w:rFonts w:ascii="Times New Roman" w:cs="Times New Roman" w:eastAsia="Times New Roman" w:hAnsi="Times New Roman"/>
          <w:sz w:val="18"/>
          <w:szCs w:val="18"/>
          <w:i w:val="1"/>
          <w:iCs w:val="1"/>
          <w:color w:val="auto"/>
        </w:rPr>
        <w:t>Union Pacific Railroad Company v. L.B. Foster Company and CXT Incorporated</w:t>
      </w:r>
      <w:r>
        <w:rPr>
          <w:rFonts w:ascii="Times New Roman" w:cs="Times New Roman" w:eastAsia="Times New Roman" w:hAnsi="Times New Roman"/>
          <w:sz w:val="18"/>
          <w:szCs w:val="18"/>
          <w:color w:val="auto"/>
        </w:rPr>
        <w:t>, Case No. CI 15-564, in the District Court for Douglas County, Nebraska.</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Settlement Agreement, the Company and CXT will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Additionally, commencing in January 2019 and through December 2024, UPRR agreed to purchase and has been purchasing from the Company and its subsidiaries and affiliates, a cumulative total amount of $48,000 of products and services, targeting $8,000 of annual purchases per year beginning March 13, 2019, per letters of intent under the Settlement Agreement. During the third quarter of 2021, in connection with the Company’s divestiture of its Piling Products division, the targeted annual purchases per year have been reduced to $6,000 for 2021 through 2024. The Settlement Agreement also includes a mutual release of all claims and liability regarding or relating to all CXT pre-stressed concrete railroad ties with no admission of liability and dismissal of the litigation with prejudice.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payment under the UPRR Settlement Agreement for the remainder of the year ending December 31, 2024 is $8,000, upon which the obligation for the Settlement Agreement will be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and Legal Proceedings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The Company cannot predict the ultimate impact of these proceedings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 allocation process is completed, and given the resolution of factors like those described above, an unfavorable resolution could have a material adverse effect. As of March 31, 2024 and December 31, 2023, the Company maintained environmental reserves approximating $2,398 and $2,417, respectively.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March 31, 2024.</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March 31, 2024, no such disclosures were considered necessary.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This Quarterly Report on Form 10-Q/A contains “forward-looking” statements within the meaning of Section 21E of the Securities Exchange Act of 1934, as amended, and Section 27A of the Securities Act of 1933, as amended. Many of the forward-looking statements provide management's current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 continuation or worsening of the adverse economic conditions in the markets we serve, including recession, the continued volatility in the prices for oil and gas,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recently-finalized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and trade restrictions or embargoes; our ability to effectuate our strategy, including cost reduction initiatives, and our ability to effectively integrate acquired businesses or to divest businesses, such as the recent dispositions of the Track Components, Chemtec, and Ties businesses, and acquisitions of the Skratch Enterprises Ltd., Intelligent Video Ltd., VanHooseCo Precast LLC, and Cougar Mountain Precast, LLC businesses and to realize anticipated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(“ICFR”) and disclosure controls and procedures, including our ability to remediate any existing material weakness in our ICFR and the timing of any such remediation, as well as our ability to reestablish effective disclosure controls and procedures; the results of the UK’s 2024 parliamentary election, uncertainties related to the U.S. 2024 Presidential election and any corresponding changes to policy or other changes that could affect UK or U.S. business conditions; other geopolitical conditions, including the ongoing conflicts between Russia and Ukraine, conflicts in the Middle East, and increasing tensions between China and Taiwan; a lack of state or federal funding for new infrastructure projects; an increase in manufacturing or material costs;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10-K/A for the year ended December 31, 2023, as amended on November 1, 2024, or as updated and/or amended by our other current or periodic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report are made as of the date of this report and we assume no obligation to update or revise any forward-looking statement, whether as a result of new information, future developments, or otherwise, except as required by the federal securities laws.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Previously Issued Unaudited Condensed Consolidated Financial Statements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this Quarterly Report on Form 10-Q/A, we have restated our previously issued Unaudited Condensed Consolidated Financial Statements as of and for the three months ended March 31, 2024. Refer to the “Explanatory Note” preceding “Item 1. Financial Statements (unaudited)” for background on the restatement, the fiscal periods impacted, internal control over financial reporting considerations, and other information. As a result, we have also restated certain previously reported financial information as of and for the three months ended March 31, 2024 in this “Item 2. Management’s Discussion and Analysis of Financial Condition and Results of Operations” including, but not limited to, information within the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section to conform the discussion with the appropriate restated amounts. See “Item 1. Financial Statements (unaudited) - Notes to Condensed Consolidated Financial Statements - Note 1. Basis of Presentation” for additional information related to the restatement.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Overview and Business Update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L.B. Foster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organized and operates in two reporting segments: Rail, Technologies, and Services (“Rail”), and Infrastructure Solutions (“Infrastructure”). Effective for the quarter and year ended December 31, 2023, the Company made certain organizational changes that led to the conclusion that it will operate under two reporting segments as opposed to the three reporting segments it has operated under historically. As such, the Company has restated segment information for the historical periods presented herein to conform to the current presentation. The Infrastructure Solutions business comprises both the historic Precast Concrete Products and Steel Products and Measurement (since renamed “Steel Products”) reporting segments.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Divestitures, and Product Line Exit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2023, the Company sold substantially all the operating assets of its Chemtec Energy Services LLC (“Chemtec”) business for $5,344 in proceeds generating a $2,065 loss on sale, recorded in “Other (income) expense - net” for the three months ended March 31, 2023. The Chemtec business was reported in the Steel Products business unit in the Infrastructure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2023, the Company sold substantially all the operating assets of the prestressed concrete railroad tie business operated by its wholly-owned subsidiary, CXT Incorporated (“Ties”), located in Spokane, WA, for $2,362 in proceeds, generating a $1,009 loss on the sale, which was recorded in “Other expense (income) - net” for the three months ended June 30, 2023. The Ties business was reported in the Rail Products business unit within the Rail segment.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(“Bridge Exit”) which was reported in the Steel Products business unit within the Infrastructure segment. The decision to exit the bridge grid deck product line was a result of a weak bridge grid deck market condition and outlook due to customer adoption of newer technologies replacing the grid deck solution. The Bedford, PA based operations supporting the product line expect to complete any remaining customer obligations during 2024. For the three months ended March 31, 2024 and 2023, the product line had $810 and $1,491 in sales, respectively.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17, 2023, the Company acquired the operating assets of Cougar Mountain Precast, LLC (“Cougar”), located in Caldwell, Idaho, which is a licensed manufacturer of Redi-Rock and natural concrete products for $1,644, subject to hold back payments, to be paid over the next twelve months or utilized to satisfy post-close working capital adjustments or indemnity claims. Cougar has been included in the Precast Concrete Products business unit within the Infrastructure segment.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Quarter 2024 Compared to First Quarter 2023</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3"/>
        </w:trPr>
        <w:tc>
          <w:tcPr>
            <w:tcW w:w="7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March 31,</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124,320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115,488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26,176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23,307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bps</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22,870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21,417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 as a percent of sales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bps</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bps</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L.B. Foster Company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4,436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(loss) per common share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0.40</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Summary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of $124,320 for the three months ended March 31, 2024, increased by $8,832, or 7.6%, over the prior year quarter. The increase in sales is due to organic sales growth of $19,474 or 16.9%, partially offset by the divestiture of the Ties and Chemtec businesses as well as the Bridge Exit which reduced sales by $10,642 or 9.2%.</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March 31, 2024 increased $2,869 or 12.3%, over the prior year quarter and gross profit margins expanded by 90 basis points to 21.1%. The improvement in gross profit is due primarily to the portfolio changes that are a part of the Company’s strategic transformation, as well as uplift from increased sales volumes and product mix.</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for the three months ended March 31, 2024 increased by $1,453, or 6.8%, over the prior year quarter, due primarily to increased personnel costs and professional services expenditures. Selling and administrative expenses as a percent of net sales decreased to 18.4% from 18.5% in the prior year quarter.</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$3,477 gain on sale of the former joint venture facility for the three months ended March 31, 2024 was attributed to the Company’s facility and land in Magnolia, Texas.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expense decreased $263 due to lower outstanding debt, on average, for the three months ended March 31, 2024 compared to the prior year quarter. The Company’s outstanding debt balance was $78,085 as of March 31, 2024, compared to $80,096 as of March 31,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 net for the three months ended March 31, 2024 was $253 compared to other expense - net for the three months ended March 31, 2023 of $1,849, which was primarily due to the $2,033 loss on the sale of Chemtec during the prior year quarter.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March 31, 2024 was 6.2%, compared to 19.9% in the prior year quarter. The Company’s effective income tax rate for the three months ended March 31, 2024 differed from the federal statutory rate of 21% primarily due to the realization of a portion of its U.S. deferred tax assets previously offset by a valuation allowance. The Company continues to maintain a full valuation allowance against its U.S. deferred tax assets, which is likely to result in significant variability of the effective tax rate in the current year.</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attributable to the Company for the three months ended March 31, 2024 was $4,436, or $0.40 per diluted share, compared to a net loss in the prior year quarter of $2,152, or $0.20 per diluted share. Net income for the three months ended March 31, 2024 was primarily driven by increased sales volumes, gross profit expansion and the gain on the sale of the Company’s former joint venture facility in Magnolia, Texas, partially offset by an increase in selling and administrative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Change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March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7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2024 vs. 2023</w:t>
            </w:r>
          </w:p>
        </w:tc>
        <w:tc>
          <w:tcPr>
            <w:tcW w:w="10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82,623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18,239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18,571</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4,287</w:t>
            </w:r>
          </w:p>
        </w:tc>
        <w:tc>
          <w:tcPr>
            <w:tcW w:w="100" w:type="dxa"/>
            <w:vAlign w:val="bottom"/>
          </w:tcPr>
          <w:p>
            <w:pPr>
              <w:spacing w:after="0"/>
              <w:rPr>
                <w:sz w:val="19"/>
                <w:szCs w:val="19"/>
                <w:color w:val="auto"/>
              </w:rPr>
            </w:pPr>
          </w:p>
        </w:tc>
        <w:tc>
          <w:tcPr>
            <w:tcW w:w="15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 bps</w:t>
            </w:r>
          </w:p>
        </w:tc>
        <w:tc>
          <w:tcPr>
            <w:tcW w:w="15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Pr>
          <w:p>
            <w:pPr>
              <w:spacing w:after="0"/>
              <w:rPr>
                <w:sz w:val="19"/>
                <w:szCs w:val="19"/>
                <w:color w:val="auto"/>
              </w:rPr>
            </w:pPr>
          </w:p>
        </w:tc>
        <w:tc>
          <w:tcPr>
            <w:tcW w:w="15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 bps</w:t>
            </w:r>
          </w:p>
        </w:tc>
        <w:tc>
          <w:tcPr>
            <w:tcW w:w="15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Rail segment sales for the three months ended March 31, 2024 increased by $18,239, or 28.3%, compared to the prior year quarter. The increase was due to higher organic sales of $18,940, or 29.4%, partially offset by a $701, or 1.1%, decrease from the divestiture of Ties. Rail Products sales increased $12,810 driven by strength in domestic markets served. Technology Services and Solutions sales increased by $7,227 due to strength in domestic rail safety markets served, as well as improvement in United Kingdom markets. Global Friction management sales declined $1,798 driven by the timing of orders which have increased from the 2023 fourth quarter by 29.6%.</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Rail segment gross profit increased by $4,287, or 30.0% compared to the prior year quarter, and gross profit margins expanded 30 basis points to 22.5%. Technology Services and Solutions business unit gross profit improved by $4,086 due to higher volume and improved mix. Higher volumes in Rail Products resulted in gross profit increasing by $1,369. Lower volumes and unfavorable product mix in the Global Friction Management business result in a decline in gross profit of $1,168.</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operating income increased $4,384 compared to the prior year, and operating income margins expanded 450 basis points to 8.2%. The increase was driven by improvement in gross profit levels as a result of increased sales volume and favorable business mix, particularly in the Technology Services and Solutions business unit.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current quarter, new orders within the Rail segment increased by $10,019, or 13.6%, compared to the prior year quarter. The increase in new orders was attributable to the Rail Products and Global Friction Management businesses, which was offset in part by the Ties divestiture which reduced orders by $2,729 as well as lower overall order rates in the Technology Services and Solutions business unit. Segment backlog as of March 31, 2024 was $86,038, a decrease of $27,555, or 24.3%, versus the prior year quarter. The decrease is attributed to the Rail Products business, including a reduction of $3,549 related to the divestiture of Ties, partially offset by a 27.7% increase in Global Friction Management backlog.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Change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72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2024 vs. 2023</w:t>
            </w:r>
          </w:p>
        </w:tc>
        <w:tc>
          <w:tcPr>
            <w:tcW w:w="10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41,697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9,023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9"/>
                <w:szCs w:val="19"/>
                <w:color w:val="auto"/>
              </w:rPr>
            </w:pPr>
          </w:p>
        </w:tc>
        <w:tc>
          <w:tcPr>
            <w:tcW w:w="15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 bps</w:t>
            </w:r>
          </w:p>
        </w:tc>
        <w:tc>
          <w:tcPr>
            <w:tcW w:w="15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loss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 bps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Results are not considered meaningful.</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Infrastructure segment sales for the three months ended March 31, 2024 decreased by $9,407, or 18.4%, compared to the prior year quarter. The decrease in sales for the first quarter of 2024 was attributable to the divestiture of Chemtec and the Bridge Exit, which decreased sales by $9,260 and $681, respectively. Organic sales increased by $534, or 1.0%, while being adversely affected by weather conditions that impacted customer project execution in our Precast Concrete Products business.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Infrastructure segment gross profit for the three months ended March 31, 2024, decreased by $1,418, or 15.7%, due primarily to the divestiture of Chemtec which reduced gross profit by $888 and softness in margins in our Precast Concrete Products business. Gross profit margins of 18.2% increased by 50 basis points over the prior year, driven by the favorable impact of portfolio changes.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operating loss for the first quarter of 2024 was $1,388 compared to an operating loss in the prior year of $340. The segment operating loss was due to lower gross profit levels, which was partially offset by a decrease in amortization expense and selling and administrative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the Infrastructure segment had a decrease in new orders of $17,149, or 26.1%, compared to the prior year quarter. The decrease is due to an $8,538 impact associated with the divestiture of Chemtec and the Bridge Exit as well as decreases in orders in the Precast Concrete Products and Protective Coatings businesses. Backlog as of March 31, 2024 was $136,223, a decrease of $10,065, or 6.9%, versus the prior year quarter, driven primarily by a reduction of $8,509 related to the Bridge Exit.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4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244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5"/>
        </w:trPr>
        <w:tc>
          <w:tcPr>
            <w:tcW w:w="512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0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2024 vs. 2023</w:t>
            </w:r>
          </w:p>
        </w:tc>
        <w:tc>
          <w:tcPr>
            <w:tcW w:w="8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(3,477)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company costs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(income) expense - net</w:t>
            </w:r>
          </w:p>
        </w:tc>
        <w:tc>
          <w:tcPr>
            <w:tcW w:w="8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Results are not considered meaningful</w:t>
      </w: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Unallocated corporate expense - net for the three months ended March 31, 2024 changed by $1,705 over the prior year quarter due to the $3,477 gain on the Magnolia Sale offset by increased personnel and professional services expenditures.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 equivalents, cash generated by operations, and the available capacity under the revolving credit facility, which provides for a total commitment of up to $130,000, of which $50,071 was available for borrowing as of March 31, 2024, subject to covenant restrictions. The Company’s primary needs for liquidity relate to working capital requirements for operations, capital expenditures, debt service obligations, payments related to the Union Pacific Railroad Settlement, tax obligations, outstanding purchase obligations, acquisitions and to support the share repurchase program. The Company’s total debt, including finance leases, was $78,085 and $55,273 as of March 31, 2024 and December 31, 2023, respectively, and was primarily comprised of borrowings under its revolving credit facility.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available funding capacity as of March 31, 2024:</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19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March 31, 2024</w:t>
            </w:r>
          </w:p>
        </w:tc>
        <w:tc>
          <w:tcPr>
            <w:tcW w:w="700" w:type="dxa"/>
            <w:vAlign w:val="bottom"/>
          </w:tcPr>
          <w:p>
            <w:pPr>
              <w:spacing w:after="0"/>
              <w:rPr>
                <w:sz w:val="16"/>
                <w:szCs w:val="16"/>
                <w:color w:val="auto"/>
              </w:rPr>
            </w:pPr>
          </w:p>
        </w:tc>
      </w:tr>
      <w:tr>
        <w:trPr>
          <w:trHeight w:val="23"/>
        </w:trPr>
        <w:tc>
          <w:tcPr>
            <w:tcW w:w="8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availability under the credit agreement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0"/>
        </w:trPr>
        <w:tc>
          <w:tcPr>
            <w:tcW w:w="8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availability under the revolving credit facility</w:t>
            </w: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50,071</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funding capacity</w:t>
            </w: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53,219</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were in compliance with all covenants of the Credit Agreement and have $53,219 available funding capacity.</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operating cash flows are impacted from period to period by fluctuations in working capital needs, as well as its overall profitability. While the Company places an emphasis on working capital management in its operations, factors such as its contract mix, commercial terms, days sales outstanding (“DSO”),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March 31, 2024, but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adverse changes in the economic environment and adverse financial conditions of its customers may impact certain of its customers’ ability to access capital and pay the Company for its products and services, as well as impact demand for its products and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three months ended March 31, 2024 and 2023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color w:val="auto"/>
              </w:rPr>
              <w:t>Three Months Ended March 31,</w:t>
            </w:r>
          </w:p>
        </w:tc>
      </w:tr>
      <w:tr>
        <w:trPr>
          <w:trHeight w:val="23"/>
        </w:trPr>
        <w:tc>
          <w:tcPr>
            <w:tcW w:w="8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8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Operating Activities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net cash used in operating activities was $21,444, compared to cash provided by operating activities of $6,932 during the prior year quarter. For the three months ended March 31, 2024, net income and adjustments to reconcile net income from operating activities provided $5,414, compared to $3,352 in the prior year quarter. Working capital and other assets and liabilities were a use of $26,858 in the current period, compared to a source of $3,580 in the prior year quarter. The change in operating cash flow for the three months ended March 31, 2024 versus the three months ended March 31, 2023 was largely driven by accounts receivable, which was a use of $4,042 during the current quarter compared to the $26,239 provided in the prior year quarter. Order execution and collection timing can impact accounts receivables in any given quarter.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Investing Activities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expenditures for the three months ended March 31, 2024 and 2023 were $2,712 and $699, respectively. Capital expenditures in both periods primarily relate to general plant and operational improvements throughout the Company, as well as organic growth initiatives. During the three months ended March 31, 2024, the Company sold the facility and land of its former joint venture in Magnolia, Texas generating a cash inflow of $3,501. During the three months ended March 31, 2023 the Company received cash proceeds from the Chemtec divestiture totaling $5,344.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Financing Activities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had an increase in outstanding debt of $22,911 compared to March 31, 2023 in which the Company has a decrease in debt of $12,047. The increase in debt for the three months ended March 31, 2024 was primarily due to cash used in operating activities due to organic growth initiatives and higher seasonal working capital needs. The decrease in debt for the 2023 period was due to lower working capital as well as proceeds received from the Chemtec divestiture during the quarter.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2023, the Company’s Board of Directors authorized the repurchase of up to $15,000 of the Company’s common stock in open market transactions through February 2026. For the three months ended March 31, 2024 the Company repurchased 16,555 shares of its stock for $385 under this program.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$3,148 in cash and cash equivalents and $50,071 of availability under its revolving credit facility, subject to covenant restrictions. As of March 31, 2024, approximately $2,729 of the Company’s cash and cash equivalents were held in non-domestic bank accounts.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uses of cash in recent years have been to fund its operations, including capital expenditures, repurchase of shares, acquisitions, funding the UPRR Settlement Agreement, and service indebtedness. The Company views its short and long-term liquidity as being dependent on its results of operations, changes in working capital needs, and its borrowing capacity.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amended revolving credit facility, on terms more favorable to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Company and extends the maturity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 On August 12, 2022, the Company entered into a second amendment to its Credit Agreement (the “Second Amendment”) which added an additional tier to the pricing grid and provided for the conversion from LIBOR-based to SOFR-based borrowings. For a discussion of the terms and availability of the credit facilities, please refer to Note 7 of the Notes to Condensed Consolidated Financial Statements contained in this Quarterly Report on Form 10-Q/A.</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reduce the impact of interest rate changes on outstanding variable-rate debt, the Company amended and entered into SOFR-based interest rate swaps with notional values totaling $20,000 and $20,000, effective August 12, 2022 and August 31, 2022, respectively, at which point the agreements effectively converted a portion of the debt from variable to fixed-rate borrowings during the term of the swap contract.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Backlog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backlog is not necessarily indicative of future operating results, the following table provides the backlog by segment: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Backlog</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33"/>
        </w:trPr>
        <w:tc>
          <w:tcPr>
            <w:tcW w:w="7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4"/>
                <w:szCs w:val="14"/>
                <w:color w:val="auto"/>
              </w:rPr>
              <w:t>March 31,</w:t>
            </w:r>
          </w:p>
        </w:tc>
        <w:tc>
          <w:tcPr>
            <w:tcW w:w="18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220" w:type="dxa"/>
            <w:vAlign w:val="bottom"/>
          </w:tcPr>
          <w:p>
            <w:pPr>
              <w:spacing w:after="0"/>
              <w:rPr>
                <w:sz w:val="11"/>
                <w:szCs w:val="11"/>
                <w:color w:val="auto"/>
              </w:rPr>
            </w:pPr>
          </w:p>
        </w:tc>
        <w:tc>
          <w:tcPr>
            <w:tcW w:w="1040" w:type="dxa"/>
            <w:vAlign w:val="bottom"/>
          </w:tcPr>
          <w:p>
            <w:pPr>
              <w:jc w:val="right"/>
              <w:ind w:right="257"/>
              <w:spacing w:after="0" w:line="133" w:lineRule="exact"/>
              <w:rPr>
                <w:sz w:val="20"/>
                <w:szCs w:val="20"/>
                <w:color w:val="auto"/>
              </w:rPr>
            </w:pPr>
            <w:r>
              <w:rPr>
                <w:rFonts w:ascii="Times New Roman" w:cs="Times New Roman" w:eastAsia="Times New Roman" w:hAnsi="Times New Roman"/>
                <w:sz w:val="14"/>
                <w:szCs w:val="14"/>
                <w:color w:val="auto"/>
              </w:rPr>
              <w:t>March 31,</w:t>
            </w:r>
          </w:p>
        </w:tc>
      </w:tr>
      <w:tr>
        <w:trPr>
          <w:trHeight w:val="193"/>
        </w:trPr>
        <w:tc>
          <w:tcPr>
            <w:tcW w:w="7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113,593</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136,223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129,362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146,288</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222,261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259,881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a considerable portion of the Company’s business is backlog driven, certain businesses, including the Global Friction Management business unit, are not driven by backlog and therefore have insignificant levels of backlog throughout the year. Backlog decreased $37,620 compared to the prior year quarter due to $12,058 from businesses that were divested and a discontinued product line. The remaining decline is associated with the timing of large orders for the Rail Products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US GAAP. The preparation of the Condensed Consolidated Financial Statements requires management to make estimates and judgments that affect the reported amount of assets, liabilities, revenues, and expenses, and the related disclosure of contingent assets and liabilities. As a result, actual results could differ from these estimates. The Company has concluded that there have been no significant changes to its critical accounting policies or estimates as described in its Annual Report on Form 10-K/A for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SEC rules, the Company provides descriptions of the non-GAAP financial measures included in this filing and reconciliations to the most closely related GAAP financial measures. The Company believes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References in this Management’s Discussion and Analysis of Financial Condition and Results of Operations to “organic sales” refer to sales calculated in accordance with GAAP, adjusted to exclude divestiture, exit, and acquisition-related sales. Management evaluates the Company’s sales performance based on organic sales growth. Organic sales growth is a non-GAAP financial measure of sales growth (which is the most directly comparable GAAP measure), adjusted to exclude the effects of divestiture, exit, and acquisition-related sales from year-over-year comparisons. The Company believes this measure provides investors with a supplemental understanding of underlying sales trends by providing sales growth on a consistent basis. The Company reports organic sales growth at the consolidated and segment levels.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new orders as a contractual agreement between the Company and a third-party in which the Company will, or has the ability to, satisfy the performance obligations of the promised products or services under the terms of the agreement. The Company defines backlog as contractual commitments to customers for which the Company’s performance obligations have not been met, including with respect to new orders and contracts for which the Company has not begun any performance. Management utilizes new orders and backlog to evaluate the health of the industries in which the Company operates, the Company’s current and future</w:t>
      </w:r>
    </w:p>
    <w:p>
      <w:pPr>
        <w:sectPr>
          <w:pgSz w:w="11900" w:h="16838" w:orient="portrait"/>
          <w:cols w:equalWidth="0" w:num="1">
            <w:col w:w="11240"/>
          </w:cols>
          <w:pgMar w:left="320" w:top="117"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of operations and financial prospects, and strategies for business development. The Company believes that new orders and backlog are useful to investors as supplemental metrics by which to measure the Company’s current performance and prospective results of operations and financial performance.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Non-GAAP financial measures are not a substitute for GAAP financial results and should only be considered in conjunction with the Company’s financial information that is presented in accordance with GAAP.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organic sales growth to its most directly comparable respective US GAAP financial measure is presented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Consolidated Sales</w:t>
            </w:r>
          </w:p>
        </w:tc>
        <w:tc>
          <w:tcPr>
            <w:tcW w:w="2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80" w:type="dxa"/>
            <w:vAlign w:val="bottom"/>
          </w:tcPr>
          <w:p>
            <w:pPr>
              <w:spacing w:after="0"/>
              <w:rPr>
                <w:sz w:val="13"/>
                <w:szCs w:val="13"/>
                <w:color w:val="auto"/>
              </w:rPr>
            </w:pPr>
          </w:p>
        </w:tc>
        <w:tc>
          <w:tcPr>
            <w:tcW w:w="14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8"/>
        </w:trPr>
        <w:tc>
          <w:tcPr>
            <w:tcW w:w="85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color w:val="auto"/>
              </w:rPr>
              <w:t>March 31,</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net sales, as reported</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115,488</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due to divestitures and exit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organic sales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net sales, as reported</w:t>
            </w:r>
          </w:p>
        </w:tc>
        <w:tc>
          <w:tcPr>
            <w:tcW w:w="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124,320</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change, 2023 vs 2024</w:t>
            </w:r>
          </w:p>
        </w:tc>
        <w:tc>
          <w:tcPr>
            <w:tcW w:w="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1"/>
        </w:trPr>
        <w:tc>
          <w:tcPr>
            <w:tcW w:w="8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8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56"/>
              <w:spacing w:after="0"/>
              <w:rPr>
                <w:sz w:val="20"/>
                <w:szCs w:val="20"/>
                <w:color w:val="auto"/>
              </w:rPr>
            </w:pPr>
            <w:r>
              <w:rPr>
                <w:rFonts w:ascii="Times New Roman" w:cs="Times New Roman" w:eastAsia="Times New Roman" w:hAnsi="Times New Roman"/>
                <w:sz w:val="14"/>
                <w:szCs w:val="14"/>
                <w:color w:val="auto"/>
              </w:rPr>
              <w:t>Three Months</w:t>
            </w:r>
          </w:p>
        </w:tc>
        <w:tc>
          <w:tcPr>
            <w:tcW w:w="80" w:type="dxa"/>
            <w:vAlign w:val="bottom"/>
          </w:tcPr>
          <w:p>
            <w:pPr>
              <w:spacing w:after="0"/>
              <w:rPr>
                <w:sz w:val="24"/>
                <w:szCs w:val="24"/>
                <w:color w:val="auto"/>
              </w:rPr>
            </w:pPr>
          </w:p>
        </w:tc>
        <w:tc>
          <w:tcPr>
            <w:tcW w:w="14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48"/>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Rail, Technologies, and Services Sales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5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color w:val="auto"/>
              </w:rPr>
              <w:t>March 31,</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net sales, as reported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due to divestiture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organic sales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net sales, as reported</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82,623</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change, 2023 vs 2024</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r>
        <w:trPr>
          <w:trHeight w:val="21"/>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8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center"/>
              <w:ind w:right="56"/>
              <w:spacing w:after="0"/>
              <w:rPr>
                <w:sz w:val="20"/>
                <w:szCs w:val="20"/>
                <w:color w:val="auto"/>
              </w:rPr>
            </w:pPr>
            <w:r>
              <w:rPr>
                <w:rFonts w:ascii="Times New Roman" w:cs="Times New Roman" w:eastAsia="Times New Roman" w:hAnsi="Times New Roman"/>
                <w:sz w:val="14"/>
                <w:szCs w:val="14"/>
                <w:color w:val="auto"/>
              </w:rPr>
              <w:t>Three Months</w:t>
            </w:r>
          </w:p>
        </w:tc>
        <w:tc>
          <w:tcPr>
            <w:tcW w:w="80" w:type="dxa"/>
            <w:vAlign w:val="bottom"/>
          </w:tcPr>
          <w:p>
            <w:pPr>
              <w:spacing w:after="0"/>
              <w:rPr>
                <w:sz w:val="24"/>
                <w:szCs w:val="24"/>
                <w:color w:val="auto"/>
              </w:rPr>
            </w:pPr>
          </w:p>
        </w:tc>
        <w:tc>
          <w:tcPr>
            <w:tcW w:w="14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48"/>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Infrastructure Solutions Sales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5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color w:val="auto"/>
              </w:rPr>
              <w:t>March 31,</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net sales, as reported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due to divestiture and exit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organic sales</w:t>
            </w: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net sales, as reported</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41,697</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change, 2023 vs 2024</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percentages may not foot due to rounding.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March 31, 2024. At the time of the filing of the Company’s Original Form 10-Q for the three months ended March 31, 2024 on May 7, 2024, our Chief Executive Officer and Chief Financial Officer concluded that our disclosure controls and procedures were effective. Subsequent to that evaluation on October 7, 2024, our Chief Executive Officer and Chief Financial Officer concluded that, due to a material weakness in our internal control over financial reporting described below, our disclosure controls and procedures were not effective as of March 31,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have identified the following unremediated material weakness in internal control over financial reporting as of March 31, 2024.</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filing of the Company’s Original Form 10-Q for the three months ended March 31, 2024, the Company concluded it did not design effective controls related to the accounting for, and disclosure of, non-recurring complex transactions as of March 31, 2024. This material weakness resulted in a material error in the Company’s previously issued Unaudited Condensed Consolidated Financial Statements as of and for the three months ended March 31, 2024 included in the Original Form 10-Q leading to the restatement of these financial statements in this Amended Form 10-Q.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Remediation Efforts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material weakness described above, with the oversight of the Audit Committee of our Board of Directors, the Company will conduct more thorough and diligent accounting research and, when necessary, engage third-parties to assist with the accounting for, and disclosure of, non-recurring complex transactions.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remediation efforts are intended both to address the identified material weakness and to enhance our overall internal control environment. The Company is committed to continuous improvement of its internal control over financial reporting and will continue to diligently review and enhance its internal controls, as necessary. The Company cannot be assured that the measures we have taken to date, or that we may take in the future, will be sufficient to remediate the material weakness we identified or avoid future material weaknesses. Accordingly, there could continue to be a reasonable possibility that a material misstatement of our consolidated financial statements would not be prevented or detected on a timely basis.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material weakness described above, there were no changes to our “internal control over financial reporting” (as such term is defined in Rules 13a-15(f) and 15d-15(f) under the Exchange Act) that occurred during the three months ended March 31, 2024, and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13 of the Notes to Condensed Consolidated Financial Statements included in this Quarterly Report on Form 10-Q/A, which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on Form 10-Q/A, you should carefully consider the factors discussed in “Part 1 - Item 1A. Risk Factors” in our Annual Report on Form 10-K/A for the year ended December 31, 2023, which could materially affect our business, financial condition, or future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purchases of equity securities for the three months ended March 31, 2024 were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80"/>
        <w:spacing w:after="0"/>
        <w:tabs>
          <w:tab w:leader="none" w:pos="6500" w:val="left"/>
        </w:tabs>
        <w:rPr>
          <w:sz w:val="20"/>
          <w:szCs w:val="20"/>
          <w:color w:val="auto"/>
        </w:rPr>
      </w:pPr>
      <w:r>
        <w:rPr>
          <w:rFonts w:ascii="Times New Roman" w:cs="Times New Roman" w:eastAsia="Times New Roman" w:hAnsi="Times New Roman"/>
          <w:sz w:val="14"/>
          <w:szCs w:val="14"/>
          <w:color w:val="auto"/>
        </w:rPr>
        <w:t>Total number of shares</w:t>
      </w:r>
      <w:r>
        <w:rPr>
          <w:sz w:val="20"/>
          <w:szCs w:val="20"/>
          <w:color w:val="auto"/>
        </w:rPr>
        <w:tab/>
      </w:r>
      <w:r>
        <w:rPr>
          <w:rFonts w:ascii="Times New Roman" w:cs="Times New Roman" w:eastAsia="Times New Roman" w:hAnsi="Times New Roman"/>
          <w:sz w:val="14"/>
          <w:szCs w:val="14"/>
          <w:color w:val="auto"/>
        </w:rPr>
        <w:t>Average price paid per</w:t>
      </w:r>
    </w:p>
    <w:p>
      <w:pPr>
        <w:spacing w:after="0" w:line="4" w:lineRule="exact"/>
        <w:rPr>
          <w:sz w:val="20"/>
          <w:szCs w:val="20"/>
          <w:color w:val="auto"/>
        </w:rPr>
      </w:pPr>
    </w:p>
    <w:p>
      <w:pPr>
        <w:ind w:left="5140"/>
        <w:spacing w:after="0"/>
        <w:tabs>
          <w:tab w:leader="none" w:pos="7000" w:val="left"/>
        </w:tabs>
        <w:rPr>
          <w:sz w:val="20"/>
          <w:szCs w:val="20"/>
          <w:color w:val="auto"/>
        </w:rPr>
      </w:pPr>
      <w:r>
        <w:rPr>
          <w:rFonts w:ascii="Times New Roman" w:cs="Times New Roman" w:eastAsia="Times New Roman" w:hAnsi="Times New Roman"/>
          <w:sz w:val="14"/>
          <w:szCs w:val="14"/>
          <w:color w:val="auto"/>
        </w:rPr>
        <w:t>purchased (1)</w:t>
      </w:r>
      <w:r>
        <w:rPr>
          <w:sz w:val="20"/>
          <w:szCs w:val="20"/>
          <w:color w:val="auto"/>
        </w:rPr>
        <w:tab/>
      </w:r>
      <w:r>
        <w:rPr>
          <w:rFonts w:ascii="Times New Roman" w:cs="Times New Roman" w:eastAsia="Times New Roman" w:hAnsi="Times New Roman"/>
          <w:sz w:val="14"/>
          <w:szCs w:val="14"/>
          <w:color w:val="auto"/>
        </w:rPr>
        <w:t>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 shares</w:t>
            </w:r>
          </w:p>
        </w:tc>
        <w:tc>
          <w:tcPr>
            <w:tcW w:w="15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Approximate dollar value</w:t>
            </w:r>
          </w:p>
        </w:tc>
      </w:tr>
      <w:tr>
        <w:trPr>
          <w:trHeight w:val="144"/>
        </w:trPr>
        <w:tc>
          <w:tcPr>
            <w:tcW w:w="154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purchased as part of</w:t>
            </w:r>
          </w:p>
        </w:tc>
        <w:tc>
          <w:tcPr>
            <w:tcW w:w="1580" w:type="dxa"/>
            <w:vAlign w:val="bottom"/>
          </w:tcPr>
          <w:p>
            <w:pPr>
              <w:jc w:val="center"/>
              <w:ind w:left="28"/>
              <w:spacing w:after="0" w:line="145" w:lineRule="exact"/>
              <w:rPr>
                <w:sz w:val="20"/>
                <w:szCs w:val="20"/>
                <w:color w:val="auto"/>
              </w:rPr>
            </w:pPr>
            <w:r>
              <w:rPr>
                <w:rFonts w:ascii="Times New Roman" w:cs="Times New Roman" w:eastAsia="Times New Roman" w:hAnsi="Times New Roman"/>
                <w:sz w:val="14"/>
                <w:szCs w:val="14"/>
                <w:color w:val="auto"/>
              </w:rPr>
              <w:t>of shares that may yet be</w:t>
            </w:r>
          </w:p>
        </w:tc>
      </w:tr>
      <w:tr>
        <w:trPr>
          <w:trHeight w:val="139"/>
        </w:trPr>
        <w:tc>
          <w:tcPr>
            <w:tcW w:w="1540" w:type="dxa"/>
            <w:vAlign w:val="bottom"/>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publicly announced plans</w:t>
            </w:r>
          </w:p>
        </w:tc>
        <w:tc>
          <w:tcPr>
            <w:tcW w:w="1580" w:type="dxa"/>
            <w:vAlign w:val="bottom"/>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purchased under the plans</w:t>
            </w:r>
          </w:p>
        </w:tc>
      </w:tr>
      <w:tr>
        <w:trPr>
          <w:trHeight w:val="188"/>
        </w:trPr>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or programs (2)</w:t>
            </w:r>
          </w:p>
        </w:tc>
        <w:tc>
          <w:tcPr>
            <w:tcW w:w="15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or programs</w:t>
            </w:r>
          </w:p>
        </w:tc>
      </w:tr>
    </w:tbl>
    <w:p>
      <w:pPr>
        <w:spacing w:after="0" w:line="13" w:lineRule="exact"/>
        <w:rPr>
          <w:sz w:val="20"/>
          <w:szCs w:val="20"/>
          <w:color w:val="auto"/>
        </w:rPr>
      </w:pPr>
    </w:p>
    <w:p>
      <w:pPr>
        <w:sectPr>
          <w:pgSz w:w="11900" w:h="16838" w:orient="portrait"/>
          <w:cols w:equalWidth="0" w:num="2">
            <w:col w:w="7820" w:space="260"/>
            <w:col w:w="31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 January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2024 - February 29,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8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12,599</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 March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51,217</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12,303</w:t>
            </w:r>
          </w:p>
        </w:tc>
      </w:tr>
      <w:tr>
        <w:trPr>
          <w:trHeight w:val="21"/>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withheld by the Company to pay taxes upon vesting of restricted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2023, the Board of Directors authorized the repurchase of up to $15,000 of the Company’s common shares until February 2026.</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of the Securities Exchange Act of 1934, as amended (the “Exchange Act”), adopted, modified, or terminated a “Rule 10b5-1 trading arrangement” or a “non-Rule 10b5-1 trading arrangement,” as each term is defined in Item 408 of Regulation S-K, during the Company’s fiscal quarter ended March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below.</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60" w:type="dxa"/>
            <w:vAlign w:val="bottom"/>
            <w:gridSpan w:val="6"/>
          </w:tcPr>
          <w:p>
            <w:pPr>
              <w:ind w:left="29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8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tcBorders>
              <w:top w:val="single" w:sz="8" w:color="auto"/>
            </w:tcBorders>
          </w:tcPr>
          <w:p>
            <w:pPr>
              <w:spacing w:after="0"/>
              <w:rPr>
                <w:sz w:val="17"/>
                <w:szCs w:val="17"/>
                <w:color w:val="auto"/>
              </w:rPr>
            </w:pPr>
          </w:p>
        </w:tc>
        <w:tc>
          <w:tcPr>
            <w:tcW w:w="5060" w:type="dxa"/>
            <w:vAlign w:val="bottom"/>
            <w:gridSpan w:val="4"/>
          </w:tcPr>
          <w:p>
            <w:pPr>
              <w:spacing w:after="0"/>
              <w:rPr>
                <w:sz w:val="17"/>
                <w:szCs w:val="17"/>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under Section 302 of the Sarbanes-Oxley Act of 2002.</w:t>
            </w:r>
          </w:p>
        </w:tc>
        <w:tc>
          <w:tcPr>
            <w:tcW w:w="2940" w:type="dxa"/>
            <w:vAlign w:val="bottom"/>
            <w:gridSpan w:val="2"/>
          </w:tcPr>
          <w:p>
            <w:pPr>
              <w:spacing w:after="0"/>
              <w:rPr>
                <w:sz w:val="19"/>
                <w:szCs w:val="19"/>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Section 302 of the Sarbanes-Oxley Act of 2002.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gridSpan w:val="4"/>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8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under Section 906 of the Sarbanes-Oxley Act of 2002.</w:t>
            </w:r>
          </w:p>
        </w:tc>
      </w:tr>
      <w:tr>
        <w:trPr>
          <w:trHeight w:val="20"/>
        </w:trPr>
        <w:tc>
          <w:tcPr>
            <w:tcW w:w="1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60" w:type="dxa"/>
            <w:vAlign w:val="bottom"/>
            <w:gridSpan w:val="6"/>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0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0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40"/>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 Exhibits marked with an asterisk are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L.B. FOSTER COMPANY</w:t>
            </w:r>
          </w:p>
        </w:tc>
      </w:tr>
      <w:tr>
        <w:trPr>
          <w:trHeight w:val="234"/>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November 4, 2024</w:t>
            </w: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b w:val="1"/>
                <w:bCs w:val="1"/>
                <w:color w:val="auto"/>
              </w:rPr>
              <w:t>By: /s/ William M. Thalman</w:t>
            </w:r>
          </w:p>
        </w:tc>
      </w:tr>
      <w:tr>
        <w:trPr>
          <w:trHeight w:val="245"/>
        </w:trPr>
        <w:tc>
          <w:tcPr>
            <w:tcW w:w="58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29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720" w:type="dxa"/>
            <w:vAlign w:val="bottom"/>
          </w:tcPr>
          <w:p>
            <w:pPr>
              <w:spacing w:after="0"/>
              <w:rPr>
                <w:sz w:val="21"/>
                <w:szCs w:val="21"/>
                <w:color w:val="auto"/>
              </w:rPr>
            </w:pPr>
          </w:p>
        </w:tc>
      </w:tr>
      <w:tr>
        <w:trPr>
          <w:trHeight w:val="230"/>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w w:val="99"/>
              </w:rPr>
              <w:t>(Duly Authorized Officer of Registrant)</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Kasel, certify that:</w:t>
      </w:r>
    </w:p>
    <w:p>
      <w:pPr>
        <w:spacing w:after="0" w:line="17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L.B. Foster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160" w:firstLine="158"/>
        <w:spacing w:after="0" w:line="266"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firstLine="158"/>
        <w:spacing w:after="0" w:line="266" w:lineRule="auto"/>
        <w:tabs>
          <w:tab w:leader="none" w:pos="107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480" w:firstLine="158"/>
        <w:spacing w:after="0" w:line="282"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66" w:lineRule="auto"/>
        <w:tabs>
          <w:tab w:leader="none" w:pos="107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700" w:firstLine="158"/>
        <w:spacing w:after="0" w:line="282" w:lineRule="auto"/>
        <w:tabs>
          <w:tab w:leader="none" w:pos="10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82" w:lineRule="auto"/>
        <w:tabs>
          <w:tab w:leader="none" w:pos="107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November 4, 2024</w:t>
            </w:r>
          </w:p>
        </w:tc>
        <w:tc>
          <w:tcPr>
            <w:tcW w:w="262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800" w:type="dxa"/>
            <w:vAlign w:val="bottom"/>
            <w:gridSpan w:val="3"/>
          </w:tcPr>
          <w:p>
            <w:pPr>
              <w:ind w:left="2620"/>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bl>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Thalman,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L.B. Foster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160" w:firstLine="158"/>
        <w:spacing w:after="0" w:line="266"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firstLine="158"/>
        <w:spacing w:after="0" w:line="266" w:lineRule="auto"/>
        <w:tabs>
          <w:tab w:leader="none" w:pos="10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480" w:firstLine="158"/>
        <w:spacing w:after="0" w:line="282"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66" w:lineRule="auto"/>
        <w:tabs>
          <w:tab w:leader="none" w:pos="10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700" w:firstLine="158"/>
        <w:spacing w:after="0" w:line="282" w:lineRule="auto"/>
        <w:tabs>
          <w:tab w:leader="none" w:pos="106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82" w:lineRule="auto"/>
        <w:tabs>
          <w:tab w:leader="none" w:pos="107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00" w:val="left"/>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u w:val="single" w:color="auto"/>
          <w:color w:val="auto"/>
        </w:rPr>
        <w:t>November 4, 2024</w:t>
      </w:r>
      <w:r>
        <w:rPr>
          <w:sz w:val="20"/>
          <w:szCs w:val="20"/>
          <w:color w:val="auto"/>
        </w:rPr>
        <w:tab/>
      </w:r>
      <w:r>
        <w:rPr>
          <w:rFonts w:ascii="Times New Roman" w:cs="Times New Roman" w:eastAsia="Times New Roman" w:hAnsi="Times New Roman"/>
          <w:sz w:val="17"/>
          <w:szCs w:val="17"/>
          <w:b w:val="1"/>
          <w:bCs w:val="1"/>
          <w:color w:val="auto"/>
        </w:rPr>
        <w:t>/s/ William M. Thalman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-5080</wp:posOffset>
            </wp:positionV>
            <wp:extent cx="1194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1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 William M. Thalman</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PURSUANT TO 18 U.S.C. SECTION 1350, AS ADOPTED PURSUANT TO SECTION 906 OF THE SARBANES-OXLEY ACT OF 2002</w:t>
      </w:r>
    </w:p>
    <w:p>
      <w:pPr>
        <w:spacing w:after="0" w:line="105"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L.B. Foster Company (the “Company”) on Form 10-Q/A for the period ended March 31, 2024, as filed with the Securities and Exchange Commission on the date hereof (the “Report”), the undersigned certify pursuant to Section 906 of the Sarbanes-Oxley Act of 2002 that:</w:t>
      </w:r>
    </w:p>
    <w:p>
      <w:pPr>
        <w:spacing w:after="0" w:line="1" w:lineRule="exact"/>
        <w:rPr>
          <w:sz w:val="20"/>
          <w:szCs w:val="20"/>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4, 2024</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r>
        <w:trPr>
          <w:trHeight w:val="76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4, 2024</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William M. Thalman</w:t>
            </w:r>
          </w:p>
        </w:tc>
      </w:tr>
      <w:tr>
        <w:trPr>
          <w:trHeight w:val="229"/>
        </w:trPr>
        <w:tc>
          <w:tcPr>
            <w:tcW w:w="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2024-11-04T15:31:54Z</dcterms:created>
  <dcterms:modified xsi:type="dcterms:W3CDTF">2024-11-04T15:31:54Z</dcterms:modified>
</cp:coreProperties>
</file>