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932078.xml.htm"/>
      <w:bookmarkStart w:id="1" w:name="kswkform4_17709320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THALMAN WILLIAM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L.B. FOSTER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HOLIDAY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FOSTER L B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74,738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31.54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amount represents 50 percent of the Performance-based stock unit award granted on 3/31/2021 and earned on 2/11/2026.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18,519 Performance Restricted Stock Units earned under the 2023-2025 Long Term Incentive Plan granted on 2/14/2023; those 18,519 Performance Restricted Stock Units will settle at the end of the performance period on December 31, 2025, upon certification by the Compensation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2,385 Performance Restricted Stock Units earned under the 2024-2026 Long Term Incentive Plan granted on 5/23/2024; those 2,385 Performance Restricted Stock Units will settle at the end of the performance period on December 31, 2026, upon certification by the Compensation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Performance-based stock unit award of 3,333 shares was granted on 3/31/2021 and expires on 02/28/2026, 5 years after the grant date. Fifty percent of the award, or 1,666 shares, was earned on 4/05/2024. The remaining 50% of the award, or 1,667 shares, may be earned when the consecutive 30-day average closing stock price per share of the Company's common stock on the Nasdaq Stock Market is $30.00 per share or more and is generally subject to continued employment with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M. Thalman by Judith Balog,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4808" TargetMode="External"/><Relationship Id="rId5" Type="http://schemas.openxmlformats.org/officeDocument/2006/relationships/hyperlink" Target="http://www.sec.gov/cgi-bin/browse-edgar?action=getcompany&amp;CIK=0000352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792</Words>
  <Characters>4285</Characters>
  <CharactersWithSpaces>4993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