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L.B. Foster Company</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tbl>
      <w:tblPr>
        <w:tblLayout w:type="fixed"/>
        <w:tblInd w:w="40" w:type="dxa"/>
        <w:tblCellMar>
          <w:top w:w="0" w:type="dxa"/>
          <w:left w:w="0" w:type="dxa"/>
          <w:bottom w:w="0" w:type="dxa"/>
          <w:right w:w="0" w:type="dxa"/>
        </w:tblCellMar>
      </w:tblPr>
      <w:tr>
        <w:trPr>
          <w:trHeight w:val="229"/>
        </w:trPr>
        <w:tc>
          <w:tcPr>
            <w:tcW w:w="3640" w:type="dxa"/>
            <w:vAlign w:val="bottom"/>
          </w:tcPr>
          <w:p>
            <w:pPr>
              <w:jc w:val="center"/>
              <w:ind w:left="697"/>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40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000-10436</w:t>
            </w:r>
          </w:p>
        </w:tc>
        <w:tc>
          <w:tcPr>
            <w:tcW w:w="3540" w:type="dxa"/>
            <w:vAlign w:val="bottom"/>
          </w:tcPr>
          <w:p>
            <w:pPr>
              <w:jc w:val="right"/>
              <w:ind w:right="1719"/>
              <w:spacing w:after="0"/>
              <w:rPr>
                <w:sz w:val="20"/>
                <w:szCs w:val="20"/>
                <w:color w:val="auto"/>
              </w:rPr>
            </w:pPr>
            <w:r>
              <w:rPr>
                <w:rFonts w:ascii="Times New Roman" w:cs="Times New Roman" w:eastAsia="Times New Roman" w:hAnsi="Times New Roman"/>
                <w:sz w:val="18"/>
                <w:szCs w:val="18"/>
                <w:b w:val="1"/>
                <w:bCs w:val="1"/>
                <w:color w:val="auto"/>
              </w:rPr>
              <w:t>25-1324733</w:t>
            </w:r>
          </w:p>
        </w:tc>
      </w:tr>
      <w:tr>
        <w:trPr>
          <w:trHeight w:val="188"/>
        </w:trPr>
        <w:tc>
          <w:tcPr>
            <w:tcW w:w="3640" w:type="dxa"/>
            <w:vAlign w:val="bottom"/>
          </w:tcPr>
          <w:p>
            <w:pPr>
              <w:jc w:val="center"/>
              <w:ind w:left="697"/>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4000" w:type="dxa"/>
            <w:vAlign w:val="bottom"/>
          </w:tcPr>
          <w:p>
            <w:pPr>
              <w:jc w:val="center"/>
              <w:ind w:right="59"/>
              <w:spacing w:after="0"/>
              <w:rPr>
                <w:sz w:val="20"/>
                <w:szCs w:val="20"/>
                <w:color w:val="auto"/>
              </w:rPr>
            </w:pPr>
            <w:r>
              <w:rPr>
                <w:rFonts w:ascii="Times New Roman" w:cs="Times New Roman" w:eastAsia="Times New Roman" w:hAnsi="Times New Roman"/>
                <w:sz w:val="14"/>
                <w:szCs w:val="14"/>
                <w:color w:val="auto"/>
              </w:rPr>
              <w:t>(Commission File Number)</w:t>
            </w:r>
          </w:p>
        </w:tc>
        <w:tc>
          <w:tcPr>
            <w:tcW w:w="3540" w:type="dxa"/>
            <w:vAlign w:val="bottom"/>
          </w:tcPr>
          <w:p>
            <w:pPr>
              <w:jc w:val="center"/>
              <w:ind w:right="83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14"/>
        </w:trPr>
        <w:tc>
          <w:tcPr>
            <w:tcW w:w="364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w w:val="99"/>
              </w:rPr>
              <w:t>415 Holiday Drive, Suite 100,</w:t>
            </w:r>
          </w:p>
        </w:tc>
        <w:tc>
          <w:tcPr>
            <w:tcW w:w="4000" w:type="dxa"/>
            <w:vAlign w:val="bottom"/>
          </w:tcPr>
          <w:p>
            <w:pPr>
              <w:spacing w:after="0"/>
              <w:rPr>
                <w:sz w:val="24"/>
                <w:szCs w:val="24"/>
                <w:color w:val="auto"/>
              </w:rPr>
            </w:pPr>
          </w:p>
        </w:tc>
        <w:tc>
          <w:tcPr>
            <w:tcW w:w="3540" w:type="dxa"/>
            <w:vAlign w:val="bottom"/>
          </w:tcPr>
          <w:p>
            <w:pPr>
              <w:jc w:val="right"/>
              <w:ind w:right="1919"/>
              <w:spacing w:after="0"/>
              <w:rPr>
                <w:sz w:val="20"/>
                <w:szCs w:val="20"/>
                <w:color w:val="auto"/>
              </w:rPr>
            </w:pPr>
            <w:r>
              <w:rPr>
                <w:rFonts w:ascii="Times New Roman" w:cs="Times New Roman" w:eastAsia="Times New Roman" w:hAnsi="Times New Roman"/>
                <w:sz w:val="18"/>
                <w:szCs w:val="18"/>
                <w:b w:val="1"/>
                <w:bCs w:val="1"/>
                <w:color w:val="auto"/>
              </w:rPr>
              <w:t>15220</w:t>
            </w:r>
          </w:p>
        </w:tc>
      </w:tr>
      <w:tr>
        <w:trPr>
          <w:trHeight w:val="229"/>
        </w:trPr>
        <w:tc>
          <w:tcPr>
            <w:tcW w:w="364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Pittsburgh, Pennsylvania</w:t>
            </w:r>
          </w:p>
        </w:tc>
        <w:tc>
          <w:tcPr>
            <w:tcW w:w="4000" w:type="dxa"/>
            <w:vAlign w:val="bottom"/>
          </w:tcPr>
          <w:p>
            <w:pPr>
              <w:spacing w:after="0"/>
              <w:rPr>
                <w:sz w:val="19"/>
                <w:szCs w:val="19"/>
                <w:color w:val="auto"/>
              </w:rPr>
            </w:pPr>
          </w:p>
        </w:tc>
        <w:tc>
          <w:tcPr>
            <w:tcW w:w="3540" w:type="dxa"/>
            <w:vAlign w:val="bottom"/>
          </w:tcPr>
          <w:p>
            <w:pPr>
              <w:jc w:val="center"/>
              <w:ind w:right="859"/>
              <w:spacing w:after="0"/>
              <w:rPr>
                <w:sz w:val="20"/>
                <w:szCs w:val="20"/>
                <w:color w:val="auto"/>
              </w:rPr>
            </w:pPr>
            <w:r>
              <w:rPr>
                <w:rFonts w:ascii="Times New Roman" w:cs="Times New Roman" w:eastAsia="Times New Roman" w:hAnsi="Times New Roman"/>
                <w:sz w:val="14"/>
                <w:szCs w:val="14"/>
                <w:color w:val="auto"/>
              </w:rPr>
              <w:t>(Zip Code)</w:t>
            </w:r>
          </w:p>
        </w:tc>
      </w:tr>
      <w:tr>
        <w:trPr>
          <w:trHeight w:val="188"/>
        </w:trPr>
        <w:tc>
          <w:tcPr>
            <w:tcW w:w="3640" w:type="dxa"/>
            <w:vAlign w:val="bottom"/>
          </w:tcPr>
          <w:p>
            <w:pPr>
              <w:jc w:val="center"/>
              <w:ind w:left="69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00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541"/>
        </w:trPr>
        <w:tc>
          <w:tcPr>
            <w:tcW w:w="3640" w:type="dxa"/>
            <w:vAlign w:val="bottom"/>
          </w:tcPr>
          <w:p>
            <w:pPr>
              <w:spacing w:after="0"/>
              <w:rPr>
                <w:sz w:val="24"/>
                <w:szCs w:val="24"/>
                <w:color w:val="auto"/>
              </w:rPr>
            </w:pPr>
          </w:p>
        </w:tc>
        <w:tc>
          <w:tcPr>
            <w:tcW w:w="40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(412) 928-3400</w:t>
            </w:r>
          </w:p>
        </w:tc>
        <w:tc>
          <w:tcPr>
            <w:tcW w:w="3540" w:type="dxa"/>
            <w:vAlign w:val="bottom"/>
          </w:tcPr>
          <w:p>
            <w:pPr>
              <w:spacing w:after="0"/>
              <w:rPr>
                <w:sz w:val="24"/>
                <w:szCs w:val="24"/>
                <w:color w:val="auto"/>
              </w:rPr>
            </w:pPr>
          </w:p>
        </w:tc>
      </w:tr>
      <w:tr>
        <w:trPr>
          <w:trHeight w:val="188"/>
        </w:trPr>
        <w:tc>
          <w:tcPr>
            <w:tcW w:w="3640" w:type="dxa"/>
            <w:vAlign w:val="bottom"/>
          </w:tcPr>
          <w:p>
            <w:pPr>
              <w:spacing w:after="0"/>
              <w:rPr>
                <w:sz w:val="16"/>
                <w:szCs w:val="16"/>
                <w:color w:val="auto"/>
              </w:rPr>
            </w:pPr>
          </w:p>
        </w:tc>
        <w:tc>
          <w:tcPr>
            <w:tcW w:w="4000" w:type="dxa"/>
            <w:vAlign w:val="bottom"/>
          </w:tcPr>
          <w:p>
            <w:pPr>
              <w:jc w:val="center"/>
              <w:ind w:right="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540" w:type="dxa"/>
            <w:vAlign w:val="bottom"/>
          </w:tcPr>
          <w:p>
            <w:pPr>
              <w:spacing w:after="0"/>
              <w:rPr>
                <w:sz w:val="16"/>
                <w:szCs w:val="16"/>
                <w:color w:val="auto"/>
              </w:rPr>
            </w:pPr>
          </w:p>
        </w:tc>
      </w:tr>
      <w:tr>
        <w:trPr>
          <w:trHeight w:val="446"/>
        </w:trPr>
        <w:tc>
          <w:tcPr>
            <w:tcW w:w="3640" w:type="dxa"/>
            <w:vAlign w:val="bottom"/>
          </w:tcPr>
          <w:p>
            <w:pPr>
              <w:spacing w:after="0"/>
              <w:rPr>
                <w:sz w:val="24"/>
                <w:szCs w:val="24"/>
                <w:color w:val="auto"/>
              </w:rPr>
            </w:pPr>
          </w:p>
        </w:tc>
        <w:tc>
          <w:tcPr>
            <w:tcW w:w="40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540" w:type="dxa"/>
            <w:vAlign w:val="bottom"/>
          </w:tcPr>
          <w:p>
            <w:pPr>
              <w:spacing w:after="0"/>
              <w:rPr>
                <w:sz w:val="24"/>
                <w:szCs w:val="24"/>
                <w:color w:val="auto"/>
              </w:rPr>
            </w:pPr>
          </w:p>
        </w:tc>
      </w:tr>
      <w:tr>
        <w:trPr>
          <w:trHeight w:val="188"/>
        </w:trPr>
        <w:tc>
          <w:tcPr>
            <w:tcW w:w="3640" w:type="dxa"/>
            <w:vAlign w:val="bottom"/>
          </w:tcPr>
          <w:p>
            <w:pPr>
              <w:spacing w:after="0"/>
              <w:rPr>
                <w:sz w:val="16"/>
                <w:szCs w:val="16"/>
                <w:color w:val="auto"/>
              </w:rPr>
            </w:pPr>
          </w:p>
        </w:tc>
        <w:tc>
          <w:tcPr>
            <w:tcW w:w="400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3540" w:type="dxa"/>
            <w:vAlign w:val="bottom"/>
          </w:tcPr>
          <w:p>
            <w:pPr>
              <w:spacing w:after="0"/>
              <w:rPr>
                <w:sz w:val="16"/>
                <w:szCs w:val="16"/>
                <w:color w:val="auto"/>
              </w:rPr>
            </w:pPr>
          </w:p>
        </w:tc>
      </w:tr>
      <w:tr>
        <w:trPr>
          <w:trHeight w:val="37"/>
        </w:trPr>
        <w:tc>
          <w:tcPr>
            <w:tcW w:w="364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r>
    </w:tbl>
    <w:p>
      <w:pPr>
        <w:spacing w:after="0" w:line="252" w:lineRule="exact"/>
        <w:rPr>
          <w:sz w:val="24"/>
          <w:szCs w:val="24"/>
          <w:color w:val="auto"/>
        </w:rPr>
      </w:pPr>
    </w:p>
    <w:p>
      <w:pPr>
        <w:ind w:left="60" w:right="62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80" w:lineRule="exact"/>
        <w:rPr>
          <w:sz w:val="24"/>
          <w:szCs w:val="24"/>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8"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680" w:type="dxa"/>
            <w:vAlign w:val="bottom"/>
          </w:tcPr>
          <w:p>
            <w:pPr>
              <w:spacing w:after="0"/>
              <w:rPr>
                <w:sz w:val="16"/>
                <w:szCs w:val="16"/>
                <w:color w:val="auto"/>
              </w:rPr>
            </w:pPr>
          </w:p>
        </w:tc>
      </w:tr>
      <w:tr>
        <w:trPr>
          <w:trHeight w:val="202"/>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2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8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FSTR</w:t>
            </w:r>
          </w:p>
        </w:tc>
        <w:tc>
          <w:tcPr>
            <w:tcW w:w="8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01" w:lineRule="exact"/>
        <w:rPr>
          <w:sz w:val="24"/>
          <w:szCs w:val="24"/>
          <w:color w:val="auto"/>
        </w:rPr>
      </w:pPr>
    </w:p>
    <w:p>
      <w:pPr>
        <w:jc w:val="both"/>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7" w:right="35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4, 2026, L.B. Foster Company (“Company”) issued a press release announcing the Company’s results of operations for the first quarter ended March 31, 2026. A copy of that press release is furnished with this report as Exhibit 99.1.</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Current Report shall not be deemed to be “filed” for the purposes of Section 18 of the Securities and Exchange Act of 1934, as amended, or otherwise subject to the liabilities of that section, nor shall such information be deemed incorporated by reference in any filing under the Securities Act of 1933, as amended, except as shall be expressly set forth by specific reference in such filing.</w:t>
      </w:r>
    </w:p>
    <w:p>
      <w:pPr>
        <w:spacing w:after="0" w:line="25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5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See Exhibit Index below.</w:t>
            </w:r>
          </w:p>
        </w:tc>
        <w:tc>
          <w:tcPr>
            <w:tcW w:w="2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8"/>
        </w:trPr>
        <w:tc>
          <w:tcPr>
            <w:tcW w:w="2820" w:type="dxa"/>
            <w:vAlign w:val="bottom"/>
          </w:tcPr>
          <w:p>
            <w:pPr>
              <w:spacing w:after="0"/>
              <w:rPr>
                <w:sz w:val="24"/>
                <w:szCs w:val="24"/>
                <w:color w:val="auto"/>
              </w:rPr>
            </w:pPr>
          </w:p>
        </w:tc>
        <w:tc>
          <w:tcPr>
            <w:tcW w:w="5760" w:type="dxa"/>
            <w:vAlign w:val="bottom"/>
            <w:gridSpan w:val="4"/>
          </w:tcPr>
          <w:p>
            <w:pPr>
              <w:ind w:left="22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15"/>
        </w:trPr>
        <w:tc>
          <w:tcPr>
            <w:tcW w:w="28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2420" w:type="dxa"/>
            <w:vAlign w:val="bottom"/>
            <w:gridSpan w:val="2"/>
          </w:tcPr>
          <w:p>
            <w:pPr>
              <w:spacing w:after="0"/>
              <w:rPr>
                <w:sz w:val="24"/>
                <w:szCs w:val="24"/>
                <w:color w:val="auto"/>
              </w:rPr>
            </w:pPr>
          </w:p>
        </w:tc>
      </w:tr>
      <w:tr>
        <w:trPr>
          <w:trHeight w:val="194"/>
        </w:trPr>
        <w:tc>
          <w:tcPr>
            <w:tcW w:w="2820" w:type="dxa"/>
            <w:vAlign w:val="bottom"/>
          </w:tcPr>
          <w:p>
            <w:pPr>
              <w:jc w:val="right"/>
              <w:ind w:right="75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57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rPr>
              <w:t>Press Release dated May 4, 2026 of L.B. Foster Company.</w:t>
            </w:r>
          </w:p>
        </w:tc>
      </w:tr>
      <w:tr>
        <w:trPr>
          <w:trHeight w:val="20"/>
        </w:trPr>
        <w:tc>
          <w:tcPr>
            <w:tcW w:w="2820" w:type="dxa"/>
            <w:vAlign w:val="bottom"/>
          </w:tcPr>
          <w:p>
            <w:pPr>
              <w:spacing w:after="0" w:line="20" w:lineRule="exact"/>
              <w:rPr>
                <w:sz w:val="1"/>
                <w:szCs w:val="1"/>
                <w:color w:val="auto"/>
              </w:rPr>
            </w:pPr>
          </w:p>
        </w:tc>
        <w:tc>
          <w:tcPr>
            <w:tcW w:w="4200" w:type="dxa"/>
            <w:vAlign w:val="bottom"/>
            <w:gridSpan w:val="3"/>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507"/>
        </w:trPr>
        <w:tc>
          <w:tcPr>
            <w:tcW w:w="28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*104</w:t>
            </w: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3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*Exhibits marked with an asterisk are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L.B. FOSTER COMPANY</w:t>
            </w:r>
          </w:p>
        </w:tc>
        <w:tc>
          <w:tcPr>
            <w:tcW w:w="800" w:type="dxa"/>
            <w:vAlign w:val="bottom"/>
          </w:tcPr>
          <w:p>
            <w:pPr>
              <w:spacing w:after="0"/>
              <w:rPr>
                <w:sz w:val="17"/>
                <w:szCs w:val="17"/>
                <w:color w:val="auto"/>
              </w:rPr>
            </w:pPr>
          </w:p>
        </w:tc>
      </w:tr>
      <w:tr>
        <w:trPr>
          <w:trHeight w:val="250"/>
        </w:trPr>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45"/>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May 4, 2026</w:t>
            </w: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 William M. Thalman</w:t>
            </w:r>
          </w:p>
        </w:tc>
      </w:tr>
      <w:tr>
        <w:trPr>
          <w:trHeight w:val="245"/>
        </w:trPr>
        <w:tc>
          <w:tcPr>
            <w:tcW w:w="42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920" w:type="dxa"/>
            <w:vAlign w:val="bottom"/>
          </w:tcPr>
          <w:p>
            <w:pPr>
              <w:spacing w:after="0"/>
              <w:rPr>
                <w:sz w:val="21"/>
                <w:szCs w:val="21"/>
                <w:color w:val="auto"/>
              </w:rPr>
            </w:pPr>
          </w:p>
        </w:tc>
        <w:tc>
          <w:tcPr>
            <w:tcW w:w="1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1040" w:type="dxa"/>
            <w:vAlign w:val="bottom"/>
            <w:gridSpan w:val="2"/>
          </w:tcPr>
          <w:p>
            <w:pPr>
              <w:spacing w:after="0"/>
              <w:rPr>
                <w:sz w:val="21"/>
                <w:szCs w:val="21"/>
                <w:color w:val="auto"/>
              </w:rPr>
            </w:pPr>
          </w:p>
        </w:tc>
      </w:tr>
      <w:tr>
        <w:trPr>
          <w:trHeight w:val="230"/>
        </w:trPr>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29"/>
        </w:trPr>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(Duly Authorized Officer of Registrant)</w:t>
            </w:r>
          </w:p>
        </w:tc>
      </w:tr>
    </w:tbl>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411480</wp:posOffset>
            </wp:positionV>
            <wp:extent cx="2057400" cy="62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20"/>
        <w:spacing w:after="0"/>
        <w:rPr>
          <w:sz w:val="20"/>
          <w:szCs w:val="20"/>
          <w:color w:val="auto"/>
        </w:rPr>
      </w:pPr>
      <w:r>
        <w:rPr>
          <w:rFonts w:ascii="Arial" w:cs="Arial" w:eastAsia="Arial" w:hAnsi="Arial"/>
          <w:sz w:val="25"/>
          <w:szCs w:val="25"/>
          <w:b w:val="1"/>
          <w:bCs w:val="1"/>
          <w:color w:val="auto"/>
        </w:rPr>
        <w:t>News Release</w:t>
      </w:r>
    </w:p>
    <w:p>
      <w:pPr>
        <w:spacing w:after="0" w:line="200" w:lineRule="exact"/>
        <w:rPr>
          <w:sz w:val="20"/>
          <w:szCs w:val="20"/>
          <w:color w:val="auto"/>
        </w:rPr>
      </w:pPr>
    </w:p>
    <w:p>
      <w:pPr>
        <w:spacing w:after="0" w:line="296" w:lineRule="exact"/>
        <w:rPr>
          <w:sz w:val="20"/>
          <w:szCs w:val="20"/>
          <w:color w:val="auto"/>
        </w:rPr>
      </w:pPr>
    </w:p>
    <w:p>
      <w:pPr>
        <w:jc w:val="center"/>
        <w:ind w:left="340" w:right="220"/>
        <w:spacing w:after="0" w:line="332" w:lineRule="auto"/>
        <w:rPr>
          <w:sz w:val="20"/>
          <w:szCs w:val="20"/>
          <w:color w:val="auto"/>
        </w:rPr>
      </w:pPr>
      <w:r>
        <w:rPr>
          <w:rFonts w:ascii="Arial" w:cs="Arial" w:eastAsia="Arial" w:hAnsi="Arial"/>
          <w:sz w:val="25"/>
          <w:szCs w:val="25"/>
          <w:b w:val="1"/>
          <w:bCs w:val="1"/>
          <w:color w:val="auto"/>
        </w:rPr>
        <w:t>L.B. Foster Company Announces Strong Sales Growth and Profitability Expansion in 2026 First Quarter; Reaffirms Full Year 2026 Financial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0"/>
          <w:szCs w:val="20"/>
          <w:color w:val="auto"/>
        </w:rPr>
      </w:pPr>
    </w:p>
    <w:p>
      <w:pPr>
        <w:ind w:left="340" w:hanging="332"/>
        <w:spacing w:after="0" w:line="343" w:lineRule="auto"/>
        <w:tabs>
          <w:tab w:leader="none" w:pos="33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First quarter net sales totaled $121.1 million, up 23.9% over last year; Rail segment sales growth was exceptionally strong improving 38.4%, while Infrastructure sales were also favorable up 5.9%.</w:t>
      </w:r>
    </w:p>
    <w:p>
      <w:pPr>
        <w:spacing w:after="0" w:line="15" w:lineRule="exact"/>
        <w:rPr>
          <w:rFonts w:ascii="Arial" w:cs="Arial" w:eastAsia="Arial" w:hAnsi="Arial"/>
          <w:sz w:val="18"/>
          <w:szCs w:val="18"/>
          <w:b w:val="1"/>
          <w:bCs w:val="1"/>
          <w:color w:val="auto"/>
        </w:rPr>
      </w:pPr>
    </w:p>
    <w:p>
      <w:pPr>
        <w:jc w:val="both"/>
        <w:ind w:left="340" w:hanging="332"/>
        <w:spacing w:after="0" w:line="274" w:lineRule="auto"/>
        <w:tabs>
          <w:tab w:leader="none" w:pos="33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First quarter net income of $1.5 million was up $3.6 million over last year; EBITDA</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of $5.2 million was up $3.3 million over last year driven by volume and strong gross profit expansion; Selling and administrative expenses as a percentage of sales were 19.0% for the quarter, favorable 240 bps versus last year.</w:t>
      </w:r>
    </w:p>
    <w:p>
      <w:pPr>
        <w:spacing w:after="0" w:line="62" w:lineRule="exact"/>
        <w:rPr>
          <w:rFonts w:ascii="Arial" w:cs="Arial" w:eastAsia="Arial" w:hAnsi="Arial"/>
          <w:sz w:val="18"/>
          <w:szCs w:val="18"/>
          <w:b w:val="1"/>
          <w:bCs w:val="1"/>
          <w:color w:val="auto"/>
        </w:rPr>
      </w:pPr>
    </w:p>
    <w:p>
      <w:pPr>
        <w:ind w:left="340" w:hanging="332"/>
        <w:spacing w:after="0" w:line="281" w:lineRule="auto"/>
        <w:tabs>
          <w:tab w:leader="none" w:pos="33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Cash flow used in operations in the quarter was $10.4 million, a $15.7 million improvement over last year; Gross Leverage Ratio</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was 1.2x at quarter end significantly improved compared to 2.5x last year.</w:t>
      </w:r>
    </w:p>
    <w:p>
      <w:pPr>
        <w:spacing w:after="0" w:line="1" w:lineRule="exact"/>
        <w:rPr>
          <w:rFonts w:ascii="Arial" w:cs="Arial" w:eastAsia="Arial" w:hAnsi="Arial"/>
          <w:sz w:val="18"/>
          <w:szCs w:val="18"/>
          <w:b w:val="1"/>
          <w:bCs w:val="1"/>
          <w:color w:val="auto"/>
        </w:rPr>
      </w:pPr>
    </w:p>
    <w:p>
      <w:pPr>
        <w:ind w:left="320" w:hanging="312"/>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2026 financial guidance reaffirmed with sales growth and profitability expansion expected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PITTSBURGH, PA, May 4, 2026 – L.B. Foster Company (Nasdaq: FSTR), a global technology solutions provider of products and services for the rail and infrastructure markets (the "Company"), today reported its 2026 first quarter operating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2026 Highlights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6"/>
          </w:tcPr>
          <w:p>
            <w:pPr>
              <w:jc w:val="center"/>
              <w:ind w:right="300"/>
              <w:spacing w:after="0"/>
              <w:rPr>
                <w:sz w:val="20"/>
                <w:szCs w:val="20"/>
                <w:color w:val="auto"/>
              </w:rPr>
            </w:pPr>
            <w:r>
              <w:rPr>
                <w:rFonts w:ascii="Arial" w:cs="Arial" w:eastAsia="Arial" w:hAnsi="Arial"/>
                <w:sz w:val="14"/>
                <w:szCs w:val="14"/>
                <w:color w:val="auto"/>
              </w:rPr>
              <w:t>Three Months Ended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center"/>
              <w:ind w:right="73"/>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5"/>
        </w:trPr>
        <w:tc>
          <w:tcPr>
            <w:tcW w:w="23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left="535"/>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2026</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2025</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rPr>
              <w:t>2026 vs. 2025</w:t>
            </w:r>
          </w:p>
        </w:tc>
        <w:tc>
          <w:tcPr>
            <w:tcW w:w="0" w:type="dxa"/>
            <w:vAlign w:val="bottom"/>
          </w:tcPr>
          <w:p>
            <w:pPr>
              <w:spacing w:after="0"/>
              <w:rPr>
                <w:sz w:val="1"/>
                <w:szCs w:val="1"/>
                <w:color w:val="auto"/>
              </w:rPr>
            </w:pPr>
          </w:p>
        </w:tc>
      </w:tr>
      <w:tr>
        <w:trPr>
          <w:trHeight w:val="236"/>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 in thousands, unless otherwise noted:</w:t>
            </w:r>
          </w:p>
        </w:tc>
        <w:tc>
          <w:tcPr>
            <w:tcW w:w="300" w:type="dxa"/>
            <w:vAlign w:val="bottom"/>
          </w:tcPr>
          <w:p>
            <w:pPr>
              <w:spacing w:after="0"/>
              <w:rPr>
                <w:sz w:val="20"/>
                <w:szCs w:val="20"/>
                <w:color w:val="auto"/>
              </w:rPr>
            </w:pPr>
          </w:p>
        </w:tc>
        <w:tc>
          <w:tcPr>
            <w:tcW w:w="1420" w:type="dxa"/>
            <w:vAlign w:val="bottom"/>
            <w:gridSpan w:val="4"/>
          </w:tcPr>
          <w:p>
            <w:pPr>
              <w:jc w:val="center"/>
              <w:ind w:left="535"/>
              <w:spacing w:after="0"/>
              <w:rPr>
                <w:sz w:val="20"/>
                <w:szCs w:val="20"/>
                <w:color w:val="auto"/>
              </w:rPr>
            </w:pPr>
            <w:r>
              <w:rPr>
                <w:rFonts w:ascii="Arial" w:cs="Arial" w:eastAsia="Arial" w:hAnsi="Arial"/>
                <w:sz w:val="14"/>
                <w:szCs w:val="14"/>
                <w:color w:val="auto"/>
              </w:rPr>
              <w:t>(Unaudited)</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121,144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30"/>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(1,923)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206.3 %</w:t>
            </w:r>
          </w:p>
        </w:tc>
        <w:tc>
          <w:tcPr>
            <w:tcW w:w="0" w:type="dxa"/>
            <w:vAlign w:val="bottom"/>
          </w:tcPr>
          <w:p>
            <w:pPr>
              <w:spacing w:after="0"/>
              <w:rPr>
                <w:sz w:val="1"/>
                <w:szCs w:val="1"/>
                <w:color w:val="auto"/>
              </w:rPr>
            </w:pPr>
          </w:p>
        </w:tc>
      </w:tr>
      <w:tr>
        <w:trPr>
          <w:trHeight w:val="229"/>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L.B. Foster Company</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171.1 %</w:t>
            </w:r>
          </w:p>
        </w:tc>
        <w:tc>
          <w:tcPr>
            <w:tcW w:w="0" w:type="dxa"/>
            <w:vAlign w:val="bottom"/>
          </w:tcPr>
          <w:p>
            <w:pPr>
              <w:spacing w:after="0"/>
              <w:rPr>
                <w:sz w:val="1"/>
                <w:szCs w:val="1"/>
                <w:color w:val="auto"/>
              </w:rPr>
            </w:pPr>
          </w:p>
        </w:tc>
      </w:tr>
      <w:tr>
        <w:trPr>
          <w:trHeight w:val="230"/>
        </w:trPr>
        <w:tc>
          <w:tcPr>
            <w:tcW w:w="70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EBITDA</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183.0 %</w:t>
            </w: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(26,136)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60.1 %</w:t>
            </w:r>
          </w:p>
        </w:tc>
        <w:tc>
          <w:tcPr>
            <w:tcW w:w="0" w:type="dxa"/>
            <w:vAlign w:val="bottom"/>
          </w:tcPr>
          <w:p>
            <w:pPr>
              <w:spacing w:after="0"/>
              <w:rPr>
                <w:sz w:val="1"/>
                <w:szCs w:val="1"/>
                <w:color w:val="auto"/>
              </w:rPr>
            </w:pPr>
          </w:p>
        </w:tc>
      </w:tr>
      <w:tr>
        <w:trPr>
          <w:trHeight w:val="230"/>
        </w:trPr>
        <w:tc>
          <w:tcPr>
            <w:tcW w:w="70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(13,398)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(28,711)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53.3 %</w:t>
            </w:r>
          </w:p>
        </w:tc>
        <w:tc>
          <w:tcPr>
            <w:tcW w:w="0" w:type="dxa"/>
            <w:vAlign w:val="bottom"/>
          </w:tcPr>
          <w:p>
            <w:pPr>
              <w:spacing w:after="0"/>
              <w:rPr>
                <w:sz w:val="1"/>
                <w:szCs w:val="1"/>
                <w:color w:val="auto"/>
              </w:rPr>
            </w:pPr>
          </w:p>
        </w:tc>
      </w:tr>
      <w:tr>
        <w:trPr>
          <w:trHeight w:val="229"/>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0"/>
        </w:trPr>
        <w:tc>
          <w:tcPr>
            <w:tcW w:w="70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Gross Leverage Ratio</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1.2x</w:t>
            </w:r>
          </w:p>
        </w:tc>
        <w:tc>
          <w:tcPr>
            <w:tcW w:w="3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2.5x</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(1.3)x</w:t>
            </w: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New orders, net</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149,064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209,573</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237,215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91"/>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Financial Guidance Update</w:t>
            </w:r>
          </w:p>
        </w:tc>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2026 Full Year Financial Guidance</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70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color w:val="auto"/>
              </w:rPr>
              <w:t>Low</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13"/>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8"/>
              </w:rPr>
              <w:t>540,000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580,000</w:t>
            </w:r>
          </w:p>
        </w:tc>
        <w:tc>
          <w:tcPr>
            <w:tcW w:w="0" w:type="dxa"/>
            <w:vAlign w:val="bottom"/>
          </w:tcPr>
          <w:p>
            <w:pPr>
              <w:spacing w:after="0"/>
              <w:rPr>
                <w:sz w:val="1"/>
                <w:szCs w:val="1"/>
                <w:color w:val="auto"/>
              </w:rPr>
            </w:pPr>
          </w:p>
        </w:tc>
      </w:tr>
      <w:tr>
        <w:trPr>
          <w:trHeight w:val="230"/>
        </w:trPr>
        <w:tc>
          <w:tcPr>
            <w:tcW w:w="70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41,000</w:t>
            </w:r>
          </w:p>
        </w:tc>
        <w:tc>
          <w:tcPr>
            <w:tcW w:w="40" w:type="dxa"/>
            <w:vAlign w:val="bottom"/>
          </w:tcPr>
          <w:p>
            <w:pPr>
              <w:spacing w:after="0"/>
              <w:rPr>
                <w:sz w:val="19"/>
                <w:szCs w:val="19"/>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29"/>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spending as a percent of sales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316"/>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30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15,000</w:t>
            </w:r>
          </w:p>
        </w:tc>
        <w:tc>
          <w:tcPr>
            <w:tcW w:w="40" w:type="dxa"/>
            <w:vAlign w:val="bottom"/>
          </w:tcPr>
          <w:p>
            <w:pPr>
              <w:spacing w:after="0"/>
              <w:rPr>
                <w:sz w:val="24"/>
                <w:szCs w:val="24"/>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Comments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John Kasel, President and Chief Executive Officer, commented, "We carried the favorable momentum generated at the end of 2025 into our first quarter, posting strong growth and profitability expansion across the business. Both segments delivered exceptional results in the quarter, led by Rail sales growth of 38.4%, reflecting a strong recovery in domestic Rail demand compared to last year's weaker start to the year. Sales volumes were higher across all Rail business units, with Rail Products and Friction Management up 40.8% and 39.5%, respectively. Technology Services</w:t>
      </w:r>
    </w:p>
    <w:p>
      <w:pPr>
        <w:sectPr>
          <w:pgSz w:w="11900" w:h="16838" w:orient="portrait"/>
          <w:cols w:equalWidth="0" w:num="1">
            <w:col w:w="11240"/>
          </w:cols>
          <w:pgMar w:left="320" w:top="122" w:right="339" w:bottom="1440" w:gutter="0" w:footer="0" w:header="0"/>
        </w:sectPr>
      </w:pPr>
    </w:p>
    <w:p>
      <w:pPr>
        <w:spacing w:after="0" w:line="182" w:lineRule="exact"/>
        <w:rPr>
          <w:sz w:val="20"/>
          <w:szCs w:val="20"/>
          <w:color w:val="auto"/>
        </w:rPr>
      </w:pPr>
    </w:p>
    <w:p>
      <w:pPr>
        <w:ind w:firstLine="8"/>
        <w:spacing w:after="0" w:line="224" w:lineRule="auto"/>
        <w:tabs>
          <w:tab w:leader="none" w:pos="84"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"Non-GAAP Disclosures" at the end of this press release for a description of and information regarding EBITDA, Adjusted EBITDA, gross leverage ratio per the Company's credit agreement, new orders, net, backlog, book-to-bill ratio, free cash flow, and related reconciliations to the comparable United States Generally Accepted Accounting Principles financial measures.</w:t>
      </w:r>
    </w:p>
    <w:p>
      <w:pPr>
        <w:sectPr>
          <w:pgSz w:w="11900" w:h="16838" w:orient="portrait"/>
          <w:cols w:equalWidth="0" w:num="1">
            <w:col w:w="11240"/>
          </w:cols>
          <w:pgMar w:left="320" w:top="122" w:right="339" w:bottom="1440" w:gutter="0" w:footer="0" w:header="0"/>
          <w:type w:val="continuous"/>
        </w:sectPr>
      </w:pPr>
    </w:p>
    <w:bookmarkStart w:id="4" w:name="page5"/>
    <w:bookmarkEnd w:id="4"/>
    <w:p>
      <w:pPr>
        <w:jc w:val="both"/>
        <w:spacing w:after="0" w:line="268" w:lineRule="auto"/>
        <w:rPr>
          <w:sz w:val="20"/>
          <w:szCs w:val="20"/>
          <w:color w:val="auto"/>
        </w:rPr>
      </w:pPr>
      <w:r>
        <w:rPr>
          <w:rFonts w:ascii="Arial" w:cs="Arial" w:eastAsia="Arial" w:hAnsi="Arial"/>
          <w:sz w:val="18"/>
          <w:szCs w:val="18"/>
          <w:color w:val="auto"/>
        </w:rPr>
        <w:t>and Solutions ("TS&amp;S") sales were also up 29.1% on increased short-term project work in the United Kingdom ("UK"). Infrastructure segment sales were up 5.9% on continuing robust demand for Precast Concrete with sales up 17.2% over last year, partially offset by 14.4% lower Steel Products sales due to soft bridge forms volume."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Kasel continued, "The strong sales volume growth delivered robust profitability improvement over last year, with EBITDA of $5.2 million up $3.3 million, or 183.0%. Consolidated gross margins of 21.2% improved 60 bps over last year with the improvement realized in Infrastructure, reflecting higher volumes, improved business mix, and better manufacturing execution in our Precast Concrete business. Rail gross margins were slightly lower due to the significantly higher Rail Distribution sales volumes this year. We continued leveraging our operating cost structure, with selling and administrative expenses as a percentage of sales declining 240 bps to 19.0%. This is despite a $0.7 million accelerated non-cash stock compensation expense related to management equity plan awards made to retirement-eligible employees. Our normal working capital cycle increased total debt $ 16.9 million during the quarter to $59.7 million. However, total debt was down $22.8 million compared to last year, with the lower debt level and improved profitability reducing gross leverage to 1.2x compared to 2.5x last year."</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Kasel concluded, "As expected, we're off to a great start to the year and remain optimistic about our prospects for continuing progress in 2026. While the first quarter backlog is down 11.7% compared to last year, order rates increased significantly in the back half of the quarter resulting in a 10.7% increase in backlog during the quarter. Project bidding activity has been robust and we believe order rates will continue to improve as the year progresses. The government funding programs that support our customer project work remain active, and there are no signs of disruption in funding like we experienced last year. We're also seeing early signs that the actions we've taken in the UK Rail business are translating into improvements in 2026. Accordingly, we're reaffirming our financial guidance for 2026, with the midpoints for sales and Adjusted EBITDA representing year over year growth of 3.7% and 11.3%, respectively. It should be noted that our guidance assumes the current volatile geopolitical landscape does not have a significant impact on the domestic economy. We'll continue to monitor market conditions and adjust as needed."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2026 Consolidated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first quarter performance highlights are reflected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1120" w:type="dxa"/>
            <w:vAlign w:val="bottom"/>
            <w:vMerge w:val="restart"/>
          </w:tcPr>
          <w:p>
            <w:pPr>
              <w:jc w:val="right"/>
              <w:ind w:right="293"/>
              <w:spacing w:after="0"/>
              <w:rPr>
                <w:sz w:val="20"/>
                <w:szCs w:val="20"/>
                <w:color w:val="auto"/>
              </w:rPr>
            </w:pPr>
            <w:r>
              <w:rPr>
                <w:rFonts w:ascii="Arial" w:cs="Arial" w:eastAsia="Arial" w:hAnsi="Arial"/>
                <w:sz w:val="14"/>
                <w:szCs w:val="14"/>
                <w:color w:val="auto"/>
              </w:rPr>
              <w:t>Change</w:t>
            </w:r>
          </w:p>
        </w:tc>
        <w:tc>
          <w:tcPr>
            <w:tcW w:w="80" w:type="dxa"/>
            <w:vAlign w:val="bottom"/>
            <w:vMerge w:val="restart"/>
          </w:tcPr>
          <w:p>
            <w:pPr>
              <w:spacing w:after="0"/>
              <w:rPr>
                <w:sz w:val="14"/>
                <w:szCs w:val="14"/>
                <w:color w:val="auto"/>
              </w:rPr>
            </w:pPr>
          </w:p>
        </w:tc>
        <w:tc>
          <w:tcPr>
            <w:tcW w:w="1400" w:type="dxa"/>
            <w:vAlign w:val="bottom"/>
            <w:vMerge w:val="restart"/>
          </w:tcPr>
          <w:p>
            <w:pPr>
              <w:jc w:val="right"/>
              <w:ind w:right="93"/>
              <w:spacing w:after="0"/>
              <w:rPr>
                <w:sz w:val="20"/>
                <w:szCs w:val="20"/>
                <w:color w:val="auto"/>
              </w:rPr>
            </w:pPr>
            <w:r>
              <w:rPr>
                <w:rFonts w:ascii="Arial" w:cs="Arial" w:eastAsia="Arial" w:hAnsi="Arial"/>
                <w:sz w:val="14"/>
                <w:szCs w:val="14"/>
                <w:color w:val="auto"/>
              </w:rPr>
              <w:t>Percent Change</w:t>
            </w:r>
          </w:p>
        </w:tc>
        <w:tc>
          <w:tcPr>
            <w:tcW w:w="0" w:type="dxa"/>
            <w:vAlign w:val="bottom"/>
          </w:tcPr>
          <w:p>
            <w:pPr>
              <w:spacing w:after="0"/>
              <w:rPr>
                <w:sz w:val="1"/>
                <w:szCs w:val="1"/>
                <w:color w:val="auto"/>
              </w:rPr>
            </w:pPr>
          </w:p>
        </w:tc>
      </w:tr>
      <w:tr>
        <w:trPr>
          <w:trHeight w:val="185"/>
        </w:trPr>
        <w:tc>
          <w:tcPr>
            <w:tcW w:w="5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2026 vs. 2025</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2026 vs. 2025</w:t>
            </w:r>
          </w:p>
        </w:tc>
        <w:tc>
          <w:tcPr>
            <w:tcW w:w="0" w:type="dxa"/>
            <w:vAlign w:val="bottom"/>
          </w:tcPr>
          <w:p>
            <w:pPr>
              <w:spacing w:after="0"/>
              <w:rPr>
                <w:sz w:val="1"/>
                <w:szCs w:val="1"/>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4"/>
                <w:szCs w:val="14"/>
                <w:color w:val="auto"/>
              </w:rPr>
              <w:t>$ in thousands, unless otherwise noted:</w:t>
            </w:r>
          </w:p>
        </w:tc>
        <w:tc>
          <w:tcPr>
            <w:tcW w:w="340" w:type="dxa"/>
            <w:vAlign w:val="bottom"/>
          </w:tcPr>
          <w:p>
            <w:pPr>
              <w:spacing w:after="0"/>
              <w:rPr>
                <w:sz w:val="20"/>
                <w:szCs w:val="20"/>
                <w:color w:val="auto"/>
              </w:rPr>
            </w:pPr>
          </w:p>
        </w:tc>
        <w:tc>
          <w:tcPr>
            <w:tcW w:w="1600" w:type="dxa"/>
            <w:vAlign w:val="bottom"/>
            <w:gridSpan w:val="3"/>
          </w:tcPr>
          <w:p>
            <w:pPr>
              <w:jc w:val="center"/>
              <w:ind w:left="575"/>
              <w:spacing w:after="0"/>
              <w:rPr>
                <w:sz w:val="20"/>
                <w:szCs w:val="20"/>
                <w:color w:val="auto"/>
              </w:rPr>
            </w:pPr>
            <w:r>
              <w:rPr>
                <w:rFonts w:ascii="Arial" w:cs="Arial" w:eastAsia="Arial" w:hAnsi="Arial"/>
                <w:sz w:val="14"/>
                <w:szCs w:val="14"/>
                <w:color w:val="auto"/>
              </w:rPr>
              <w:t>(Unaudited)</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121,144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97,792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23,352</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25,696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 margin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bps</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and administrative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23,033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20,952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administrative expenses as a percent of sales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bps</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Net income (loss) attributable to L.B. Foster Company</w:t>
            </w:r>
          </w:p>
        </w:tc>
        <w:tc>
          <w:tcPr>
            <w:tcW w:w="34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3,610</w:t>
            </w:r>
          </w:p>
        </w:tc>
        <w:tc>
          <w:tcPr>
            <w:tcW w:w="80" w:type="dxa"/>
            <w:vAlign w:val="bottom"/>
          </w:tcPr>
          <w:p>
            <w:pPr>
              <w:spacing w:after="0"/>
              <w:rPr>
                <w:sz w:val="19"/>
                <w:szCs w:val="19"/>
                <w:color w:val="auto"/>
              </w:rPr>
            </w:pP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EBITDA</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5,157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line="230" w:lineRule="exact"/>
              <w:rPr>
                <w:sz w:val="20"/>
                <w:szCs w:val="20"/>
                <w:color w:val="auto"/>
              </w:rPr>
            </w:pPr>
            <w:r>
              <w:rPr>
                <w:rFonts w:ascii="Arial" w:cs="Arial" w:eastAsia="Arial" w:hAnsi="Arial"/>
                <w:sz w:val="18"/>
                <w:szCs w:val="18"/>
                <w:color w:val="auto"/>
              </w:rPr>
              <w:t>New orders, net</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142,086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149,064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(6,978)</w:t>
            </w:r>
          </w:p>
        </w:tc>
        <w:tc>
          <w:tcPr>
            <w:tcW w:w="80" w:type="dxa"/>
            <w:vAlign w:val="bottom"/>
          </w:tcPr>
          <w:p>
            <w:pPr>
              <w:spacing w:after="0"/>
              <w:rPr>
                <w:sz w:val="19"/>
                <w:szCs w:val="19"/>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209,573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237,215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(27,642)</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left="700" w:hanging="332"/>
        <w:spacing w:after="0" w:line="268"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for the 2026 first quarter increased $23.4 million, or 23.9%, over the prior year quarter. The increase was driven by sales growth in Rail, Technologies, and Services ("Rail") of $20.8 million, or 38.4%, with Infrastructure Solutions ("Infrastructure") sales also improving $2.6 million, or 5.9%.</w:t>
      </w:r>
    </w:p>
    <w:p>
      <w:pPr>
        <w:spacing w:after="0" w:line="197" w:lineRule="exact"/>
        <w:rPr>
          <w:rFonts w:ascii="Arial" w:cs="Arial" w:eastAsia="Arial" w:hAnsi="Arial"/>
          <w:sz w:val="18"/>
          <w:szCs w:val="18"/>
          <w:color w:val="auto"/>
        </w:rPr>
      </w:pPr>
    </w:p>
    <w:p>
      <w:pPr>
        <w:jc w:val="both"/>
        <w:ind w:left="700" w:hanging="332"/>
        <w:spacing w:after="0" w:line="268"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for the 2026 first quarter increased $5.5 million, or 27.5%, over the prior year quarter driven primarily by higher volumes in Rail which improved $4.1 million, and improved volumes and business mix in Infrastructure which contributed $1.4 million. Gross profit margins improved 60 basis points to 21.2%.</w:t>
      </w:r>
    </w:p>
    <w:p>
      <w:pPr>
        <w:spacing w:after="0" w:line="197" w:lineRule="exact"/>
        <w:rPr>
          <w:rFonts w:ascii="Arial" w:cs="Arial" w:eastAsia="Arial" w:hAnsi="Arial"/>
          <w:sz w:val="18"/>
          <w:szCs w:val="18"/>
          <w:color w:val="auto"/>
        </w:rPr>
      </w:pPr>
    </w:p>
    <w:p>
      <w:pPr>
        <w:ind w:left="700" w:hanging="332"/>
        <w:spacing w:after="0" w:line="287"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Selling and administrative expenses for the 2026 first quarter increased $2.1 million, or 9.9%, over the prior year quarter, primarily due to higher personnel costs driven by merit increases, higher variable incentives,</w:t>
      </w:r>
    </w:p>
    <w:p>
      <w:pPr>
        <w:sectPr>
          <w:pgSz w:w="11900" w:h="16838" w:orient="portrait"/>
          <w:cols w:equalWidth="0" w:num="1">
            <w:col w:w="11240"/>
          </w:cols>
          <w:pgMar w:left="320" w:top="931" w:right="339" w:bottom="1440" w:gutter="0" w:footer="0" w:header="0"/>
        </w:sectPr>
      </w:pPr>
    </w:p>
    <w:bookmarkStart w:id="5" w:name="page6"/>
    <w:bookmarkEnd w:id="5"/>
    <w:p>
      <w:pPr>
        <w:jc w:val="both"/>
        <w:ind w:left="700"/>
        <w:spacing w:after="0" w:line="268" w:lineRule="auto"/>
        <w:rPr>
          <w:sz w:val="20"/>
          <w:szCs w:val="20"/>
          <w:color w:val="auto"/>
        </w:rPr>
      </w:pPr>
      <w:r>
        <w:rPr>
          <w:rFonts w:ascii="Arial" w:cs="Arial" w:eastAsia="Arial" w:hAnsi="Arial"/>
          <w:sz w:val="18"/>
          <w:szCs w:val="18"/>
          <w:color w:val="auto"/>
        </w:rPr>
        <w:t>and a $0.7 million accelerated non-cash stock compensation expense related to management equity plan awards made to retirement-eligible employees. Selling and administrative expenses as a percentage of net sales decreased 240 basis points to 19.0%.</w:t>
      </w:r>
    </w:p>
    <w:p>
      <w:pPr>
        <w:spacing w:after="0" w:line="198" w:lineRule="exact"/>
        <w:rPr>
          <w:sz w:val="20"/>
          <w:szCs w:val="20"/>
          <w:color w:val="auto"/>
        </w:rPr>
      </w:pPr>
    </w:p>
    <w:p>
      <w:pPr>
        <w:ind w:left="700" w:hanging="332"/>
        <w:spacing w:after="0" w:line="287"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for the 2026 first quarter improved $4.0 million, or 206.3%, over the prior year quarter. The improvement was primarily driven by higher gross profit partially offset by increased selling and administrative expenses.</w:t>
      </w:r>
    </w:p>
    <w:p>
      <w:pPr>
        <w:spacing w:after="0" w:line="179" w:lineRule="exact"/>
        <w:rPr>
          <w:rFonts w:ascii="Arial" w:cs="Arial" w:eastAsia="Arial" w:hAnsi="Arial"/>
          <w:sz w:val="18"/>
          <w:szCs w:val="18"/>
          <w:color w:val="auto"/>
        </w:rPr>
      </w:pPr>
    </w:p>
    <w:p>
      <w:pPr>
        <w:jc w:val="both"/>
        <w:ind w:left="700" w:hanging="332"/>
        <w:spacing w:after="0" w:line="268"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attributable to the Company for the 2026 first quarter improved $3.6 million, or 171.1%, over the prior year quarter due to improved gross profit. The Company's income tax provision for the 2026 first quarter includes a discrete tax benefit associated with a higher tax deduction for vested management equity awards.</w:t>
      </w:r>
    </w:p>
    <w:p>
      <w:pPr>
        <w:spacing w:after="0" w:line="197" w:lineRule="exact"/>
        <w:rPr>
          <w:rFonts w:ascii="Arial" w:cs="Arial" w:eastAsia="Arial" w:hAnsi="Arial"/>
          <w:sz w:val="18"/>
          <w:szCs w:val="18"/>
          <w:color w:val="auto"/>
        </w:rPr>
      </w:pPr>
    </w:p>
    <w:p>
      <w:pPr>
        <w:ind w:left="700" w:hanging="332"/>
        <w:spacing w:after="0" w:line="287"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were no adjustments to EBITDA in the first quarter of 2026 or 2025. EBITDA for the 2026 first quarter increased $3.3 million, or 183.0%, over the prior year quarter.</w:t>
      </w:r>
    </w:p>
    <w:p>
      <w:pPr>
        <w:spacing w:after="0" w:line="179" w:lineRule="exact"/>
        <w:rPr>
          <w:rFonts w:ascii="Arial" w:cs="Arial" w:eastAsia="Arial" w:hAnsi="Arial"/>
          <w:sz w:val="18"/>
          <w:szCs w:val="18"/>
          <w:color w:val="auto"/>
        </w:rPr>
      </w:pPr>
    </w:p>
    <w:p>
      <w:pPr>
        <w:ind w:left="700" w:hanging="332"/>
        <w:spacing w:after="0" w:line="287"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used in operating activities totaled $10.4 million in the 2026 first quarter, favorable $15.7 million compared to cash used in operating activities of $26.1 million in the prior year quarter.</w:t>
      </w:r>
    </w:p>
    <w:p>
      <w:pPr>
        <w:spacing w:after="0" w:line="166" w:lineRule="exact"/>
        <w:rPr>
          <w:rFonts w:ascii="Arial" w:cs="Arial" w:eastAsia="Arial" w:hAnsi="Arial"/>
          <w:sz w:val="18"/>
          <w:szCs w:val="18"/>
          <w:color w:val="auto"/>
        </w:rPr>
      </w:pPr>
    </w:p>
    <w:p>
      <w:pPr>
        <w:jc w:val="both"/>
        <w:ind w:left="700" w:hanging="332"/>
        <w:spacing w:after="0" w:line="247"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debt as of March 31, 2026 was $59.7 million, a decrease of $22.8 million from the prior year quarter due primarily to improved free cash flow. Total debt increased $16.9 million during the quarter due primarily to seasonal working capital requirements and annual incentive and insurance premiums. The Company's Gross Leverage Ratio per its credit facility was 1.2x as of March 31, 2026, down from 2.5x last year, reflecting higher profitability and disciplined capital deployment.</w:t>
      </w:r>
    </w:p>
    <w:p>
      <w:pPr>
        <w:spacing w:after="0" w:line="214" w:lineRule="exact"/>
        <w:rPr>
          <w:rFonts w:ascii="Arial" w:cs="Arial" w:eastAsia="Arial" w:hAnsi="Arial"/>
          <w:sz w:val="18"/>
          <w:szCs w:val="18"/>
          <w:color w:val="auto"/>
        </w:rPr>
      </w:pPr>
    </w:p>
    <w:p>
      <w:pPr>
        <w:jc w:val="both"/>
        <w:ind w:left="700" w:hanging="332"/>
        <w:spacing w:after="0" w:line="242"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orders, net for the 2026 first quarter decreased $7.0 million, or 4.7%, from the prior year quarter, with the decrease realized in both segments. The trailing twelve month book-to-bill ratio</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0.95 : 1.00. Backlog decreased $27.6 million, or 11.7%, from the prior year quarter driven in part by an order cancellation last year in the Infrastructure segment which declined 26.1%. This was partially offset by an 11.3% increase in the Rail segment backlog. During the quarter, backlog increased $20.2 million, or 10.7%, with order book increases realized in both segments.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2026 Business 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Rail, Technologies, and Services Segment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1100" w:type="dxa"/>
            <w:vAlign w:val="bottom"/>
            <w:vMerge w:val="restart"/>
          </w:tcPr>
          <w:p>
            <w:pPr>
              <w:jc w:val="center"/>
              <w:ind w:right="54"/>
              <w:spacing w:after="0"/>
              <w:rPr>
                <w:sz w:val="20"/>
                <w:szCs w:val="20"/>
                <w:color w:val="auto"/>
              </w:rPr>
            </w:pPr>
            <w:r>
              <w:rPr>
                <w:rFonts w:ascii="Arial" w:cs="Arial" w:eastAsia="Arial" w:hAnsi="Arial"/>
                <w:sz w:val="14"/>
                <w:szCs w:val="14"/>
                <w:color w:val="auto"/>
              </w:rPr>
              <w:t>Change</w:t>
            </w:r>
          </w:p>
        </w:tc>
        <w:tc>
          <w:tcPr>
            <w:tcW w:w="100" w:type="dxa"/>
            <w:vAlign w:val="bottom"/>
            <w:vMerge w:val="restart"/>
          </w:tcPr>
          <w:p>
            <w:pPr>
              <w:spacing w:after="0"/>
              <w:rPr>
                <w:sz w:val="14"/>
                <w:szCs w:val="14"/>
                <w:color w:val="auto"/>
              </w:rPr>
            </w:pPr>
          </w:p>
        </w:tc>
        <w:tc>
          <w:tcPr>
            <w:tcW w:w="1380" w:type="dxa"/>
            <w:vAlign w:val="bottom"/>
            <w:vMerge w:val="restart"/>
          </w:tcPr>
          <w:p>
            <w:pPr>
              <w:jc w:val="right"/>
              <w:ind w:right="74"/>
              <w:spacing w:after="0"/>
              <w:rPr>
                <w:sz w:val="20"/>
                <w:szCs w:val="20"/>
                <w:color w:val="auto"/>
              </w:rPr>
            </w:pPr>
            <w:r>
              <w:rPr>
                <w:rFonts w:ascii="Arial" w:cs="Arial" w:eastAsia="Arial" w:hAnsi="Arial"/>
                <w:sz w:val="14"/>
                <w:szCs w:val="14"/>
                <w:color w:val="auto"/>
              </w:rPr>
              <w:t>Percent Change</w:t>
            </w: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80" w:type="dxa"/>
            <w:vAlign w:val="bottom"/>
          </w:tcPr>
          <w:p>
            <w:pPr>
              <w:ind w:left="20"/>
              <w:spacing w:after="0"/>
              <w:rPr>
                <w:sz w:val="20"/>
                <w:szCs w:val="20"/>
                <w:color w:val="auto"/>
              </w:rPr>
            </w:pPr>
            <w:r>
              <w:rPr>
                <w:rFonts w:ascii="Arial" w:cs="Arial" w:eastAsia="Arial" w:hAnsi="Arial"/>
                <w:sz w:val="14"/>
                <w:szCs w:val="14"/>
                <w:color w:val="auto"/>
              </w:rPr>
              <w:t>$ in thousands, unless otherwise noted:</w:t>
            </w:r>
          </w:p>
        </w:tc>
        <w:tc>
          <w:tcPr>
            <w:tcW w:w="340" w:type="dxa"/>
            <w:vAlign w:val="bottom"/>
          </w:tcPr>
          <w:p>
            <w:pPr>
              <w:spacing w:after="0"/>
              <w:rPr>
                <w:sz w:val="16"/>
                <w:szCs w:val="16"/>
                <w:color w:val="auto"/>
              </w:rPr>
            </w:pPr>
          </w:p>
        </w:tc>
        <w:tc>
          <w:tcPr>
            <w:tcW w:w="1080" w:type="dxa"/>
            <w:vAlign w:val="bottom"/>
          </w:tcPr>
          <w:p>
            <w:pPr>
              <w:jc w:val="right"/>
              <w:ind w:right="455"/>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ind w:right="472"/>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rPr>
              <w:t>2026 vs. 2025</w:t>
            </w:r>
          </w:p>
        </w:tc>
        <w:tc>
          <w:tcPr>
            <w:tcW w:w="1380" w:type="dxa"/>
            <w:vAlign w:val="bottom"/>
          </w:tcPr>
          <w:p>
            <w:pPr>
              <w:jc w:val="right"/>
              <w:ind w:right="154"/>
              <w:spacing w:after="0"/>
              <w:rPr>
                <w:sz w:val="20"/>
                <w:szCs w:val="20"/>
                <w:color w:val="auto"/>
              </w:rPr>
            </w:pPr>
            <w:r>
              <w:rPr>
                <w:rFonts w:ascii="Arial" w:cs="Arial" w:eastAsia="Arial" w:hAnsi="Arial"/>
                <w:sz w:val="14"/>
                <w:szCs w:val="14"/>
                <w:color w:val="auto"/>
              </w:rPr>
              <w:t>2026 vs. 2025</w:t>
            </w:r>
          </w:p>
        </w:tc>
        <w:tc>
          <w:tcPr>
            <w:tcW w:w="0" w:type="dxa"/>
            <w:vAlign w:val="bottom"/>
          </w:tcPr>
          <w:p>
            <w:pPr>
              <w:spacing w:after="0"/>
              <w:rPr>
                <w:sz w:val="1"/>
                <w:szCs w:val="1"/>
                <w:color w:val="auto"/>
              </w:rPr>
            </w:pPr>
          </w:p>
        </w:tc>
      </w:tr>
      <w:tr>
        <w:trPr>
          <w:trHeight w:val="227"/>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74,776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54,015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20,761</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16,142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12,029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margin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bps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operating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4,820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 operating income margin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 bps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line="230" w:lineRule="exact"/>
              <w:rPr>
                <w:sz w:val="20"/>
                <w:szCs w:val="20"/>
                <w:color w:val="auto"/>
              </w:rPr>
            </w:pPr>
            <w:r>
              <w:rPr>
                <w:rFonts w:ascii="Arial" w:cs="Arial" w:eastAsia="Arial" w:hAnsi="Arial"/>
                <w:sz w:val="18"/>
                <w:szCs w:val="18"/>
                <w:color w:val="auto"/>
              </w:rPr>
              <w:t>New orders, net</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80,629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83,252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9"/>
                <w:szCs w:val="19"/>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102,126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91,724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**Results of this calculation are not meaningful for presentation purposes.</w:t>
      </w:r>
    </w:p>
    <w:p>
      <w:pPr>
        <w:spacing w:after="0" w:line="239" w:lineRule="exact"/>
        <w:rPr>
          <w:sz w:val="20"/>
          <w:szCs w:val="20"/>
          <w:color w:val="auto"/>
        </w:rPr>
      </w:pPr>
    </w:p>
    <w:p>
      <w:pPr>
        <w:jc w:val="both"/>
        <w:ind w:left="66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sales for the 2026 first quarter increased $20.8 million, or 38.4%, over the prior year quarter. Rail Products sales increased $12.0 million, or 40.8%, reflecting a recovery in Rail Distribution following softer demand in early 2025. Global Friction Management sales increased $6.1 million, or 39.5%, driven by strong demand in domestic markets. TS&amp;S sales increased $2.7 million, or 29.1%, driven by short-term project work in the UK.</w:t>
      </w:r>
    </w:p>
    <w:p>
      <w:pPr>
        <w:spacing w:after="0" w:line="203"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for the 2026 first quarter increased $4.1 million, or 34.2%, over the prior year quarter due to increased volumes. Gross profit margins declined 70 basis points to 21.6% to due unfavorable business mix with the higher Rail Distribution volumes this year.</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operating income for the 2026 first quarter increased $4.7 million over the prior year quarter driven primarily by improved gross profit and lower amortization expense.</w:t>
      </w:r>
    </w:p>
    <w:p>
      <w:pPr>
        <w:sectPr>
          <w:pgSz w:w="11900" w:h="16838" w:orient="portrait"/>
          <w:cols w:equalWidth="0" w:num="1">
            <w:col w:w="11240"/>
          </w:cols>
          <w:pgMar w:left="320" w:top="931" w:right="339" w:bottom="1440" w:gutter="0" w:footer="0" w:header="0"/>
        </w:sectPr>
      </w:pPr>
    </w:p>
    <w:bookmarkStart w:id="6" w:name="page7"/>
    <w:bookmarkEnd w:id="6"/>
    <w:p>
      <w:pPr>
        <w:jc w:val="both"/>
        <w:ind w:left="660" w:hanging="328"/>
        <w:spacing w:after="0" w:line="26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orders, net for the 2026 first quarter decreased $2.6 million from the prior year quarter primarily due to an 18.6% decline in Global Friction Management. Rail Products and TS&amp;S orders modestly improved 0.9% and 2.3% over the prior year quarter, respectively. The trailing twelve month book-to-bill ratio was 1.03 : 1.00. Backlog increased $10.4 million over the prior year quarter due primarily to a large, multi-year order received in our UK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Infrastructure Solutions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1120" w:type="dxa"/>
            <w:vAlign w:val="bottom"/>
            <w:vMerge w:val="restart"/>
          </w:tcPr>
          <w:p>
            <w:pPr>
              <w:jc w:val="center"/>
              <w:ind w:right="54"/>
              <w:spacing w:after="0"/>
              <w:rPr>
                <w:sz w:val="20"/>
                <w:szCs w:val="20"/>
                <w:color w:val="auto"/>
              </w:rPr>
            </w:pPr>
            <w:r>
              <w:rPr>
                <w:rFonts w:ascii="Arial" w:cs="Arial" w:eastAsia="Arial" w:hAnsi="Arial"/>
                <w:sz w:val="14"/>
                <w:szCs w:val="14"/>
                <w:color w:val="auto"/>
              </w:rPr>
              <w:t>Change</w:t>
            </w:r>
          </w:p>
        </w:tc>
        <w:tc>
          <w:tcPr>
            <w:tcW w:w="80" w:type="dxa"/>
            <w:vAlign w:val="bottom"/>
            <w:vMerge w:val="restart"/>
          </w:tcPr>
          <w:p>
            <w:pPr>
              <w:spacing w:after="0"/>
              <w:rPr>
                <w:sz w:val="14"/>
                <w:szCs w:val="14"/>
                <w:color w:val="auto"/>
              </w:rPr>
            </w:pPr>
          </w:p>
        </w:tc>
        <w:tc>
          <w:tcPr>
            <w:tcW w:w="1400" w:type="dxa"/>
            <w:vAlign w:val="bottom"/>
            <w:vMerge w:val="restart"/>
          </w:tcPr>
          <w:p>
            <w:pPr>
              <w:jc w:val="right"/>
              <w:ind w:right="94"/>
              <w:spacing w:after="0"/>
              <w:rPr>
                <w:sz w:val="20"/>
                <w:szCs w:val="20"/>
                <w:color w:val="auto"/>
              </w:rPr>
            </w:pPr>
            <w:r>
              <w:rPr>
                <w:rFonts w:ascii="Arial" w:cs="Arial" w:eastAsia="Arial" w:hAnsi="Arial"/>
                <w:sz w:val="14"/>
                <w:szCs w:val="14"/>
                <w:color w:val="auto"/>
              </w:rPr>
              <w:t>Percent Change</w:t>
            </w:r>
          </w:p>
        </w:tc>
        <w:tc>
          <w:tcPr>
            <w:tcW w:w="0" w:type="dxa"/>
            <w:vAlign w:val="bottom"/>
          </w:tcPr>
          <w:p>
            <w:pPr>
              <w:spacing w:after="0"/>
              <w:rPr>
                <w:sz w:val="1"/>
                <w:szCs w:val="1"/>
                <w:color w:val="auto"/>
              </w:rPr>
            </w:pPr>
          </w:p>
        </w:tc>
      </w:tr>
      <w:tr>
        <w:trPr>
          <w:trHeight w:val="185"/>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color w:val="auto"/>
              </w:rPr>
              <w:t>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80" w:type="dxa"/>
            <w:vAlign w:val="bottom"/>
          </w:tcPr>
          <w:p>
            <w:pPr>
              <w:ind w:left="20"/>
              <w:spacing w:after="0"/>
              <w:rPr>
                <w:sz w:val="20"/>
                <w:szCs w:val="20"/>
                <w:color w:val="auto"/>
              </w:rPr>
            </w:pPr>
            <w:r>
              <w:rPr>
                <w:rFonts w:ascii="Arial" w:cs="Arial" w:eastAsia="Arial" w:hAnsi="Arial"/>
                <w:sz w:val="14"/>
                <w:szCs w:val="14"/>
                <w:color w:val="auto"/>
              </w:rPr>
              <w:t>$ in thousands, unless otherwise noted:</w:t>
            </w:r>
          </w:p>
        </w:tc>
        <w:tc>
          <w:tcPr>
            <w:tcW w:w="320" w:type="dxa"/>
            <w:vAlign w:val="bottom"/>
          </w:tcPr>
          <w:p>
            <w:pPr>
              <w:spacing w:after="0"/>
              <w:rPr>
                <w:sz w:val="16"/>
                <w:szCs w:val="16"/>
                <w:color w:val="auto"/>
              </w:rPr>
            </w:pPr>
          </w:p>
        </w:tc>
        <w:tc>
          <w:tcPr>
            <w:tcW w:w="1100" w:type="dxa"/>
            <w:vAlign w:val="bottom"/>
          </w:tcPr>
          <w:p>
            <w:pPr>
              <w:jc w:val="right"/>
              <w:ind w:right="475"/>
              <w:spacing w:after="0"/>
              <w:rPr>
                <w:sz w:val="20"/>
                <w:szCs w:val="20"/>
                <w:color w:val="auto"/>
              </w:rPr>
            </w:pPr>
            <w:r>
              <w:rPr>
                <w:rFonts w:ascii="Arial" w:cs="Arial" w:eastAsia="Arial" w:hAnsi="Arial"/>
                <w:sz w:val="14"/>
                <w:szCs w:val="14"/>
                <w:color w:val="auto"/>
              </w:rPr>
              <w:t>2026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color w:val="auto"/>
              </w:rPr>
              <w:t>2026 vs. 2025</w:t>
            </w:r>
          </w:p>
        </w:tc>
        <w:tc>
          <w:tcPr>
            <w:tcW w:w="1400" w:type="dxa"/>
            <w:vAlign w:val="bottom"/>
          </w:tcPr>
          <w:p>
            <w:pPr>
              <w:jc w:val="right"/>
              <w:ind w:right="154"/>
              <w:spacing w:after="0"/>
              <w:rPr>
                <w:sz w:val="20"/>
                <w:szCs w:val="20"/>
                <w:color w:val="auto"/>
              </w:rPr>
            </w:pPr>
            <w:r>
              <w:rPr>
                <w:rFonts w:ascii="Arial" w:cs="Arial" w:eastAsia="Arial" w:hAnsi="Arial"/>
                <w:sz w:val="14"/>
                <w:szCs w:val="14"/>
                <w:color w:val="auto"/>
              </w:rPr>
              <w:t>2026 vs. 2025</w:t>
            </w:r>
          </w:p>
        </w:tc>
        <w:tc>
          <w:tcPr>
            <w:tcW w:w="0" w:type="dxa"/>
            <w:vAlign w:val="bottom"/>
          </w:tcPr>
          <w:p>
            <w:pPr>
              <w:spacing w:after="0"/>
              <w:rPr>
                <w:sz w:val="1"/>
                <w:szCs w:val="1"/>
                <w:color w:val="auto"/>
              </w:rPr>
            </w:pPr>
          </w:p>
        </w:tc>
      </w:tr>
      <w:tr>
        <w:trPr>
          <w:trHeight w:val="227"/>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46,368</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43,777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9,554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8,122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margin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bps</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operating income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529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 operating income (loss) margin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bps</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line="230" w:lineRule="exact"/>
              <w:rPr>
                <w:sz w:val="20"/>
                <w:szCs w:val="20"/>
                <w:color w:val="auto"/>
              </w:rPr>
            </w:pPr>
            <w:r>
              <w:rPr>
                <w:rFonts w:ascii="Arial" w:cs="Arial" w:eastAsia="Arial" w:hAnsi="Arial"/>
                <w:sz w:val="18"/>
                <w:szCs w:val="18"/>
                <w:color w:val="auto"/>
              </w:rPr>
              <w:t>New orders, net</w:t>
            </w:r>
            <w:r>
              <w:rPr>
                <w:rFonts w:ascii="Arial" w:cs="Arial" w:eastAsia="Arial" w:hAnsi="Arial"/>
                <w:sz w:val="23"/>
                <w:szCs w:val="23"/>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61,457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65,812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(4,355)</w:t>
            </w:r>
          </w:p>
        </w:tc>
        <w:tc>
          <w:tcPr>
            <w:tcW w:w="80" w:type="dxa"/>
            <w:vAlign w:val="bottom"/>
          </w:tcPr>
          <w:p>
            <w:pPr>
              <w:spacing w:after="0"/>
              <w:rPr>
                <w:sz w:val="19"/>
                <w:szCs w:val="19"/>
                <w:color w:val="auto"/>
              </w:rPr>
            </w:pP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107,447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145,491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(38,044)</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sales for the 2026 first quarter increased $2.6 million, or 5.9%, over the prior year quarter driven by growth in Precast Concrete Products ("Precast"), which increased $4.8 million, or 17.2%. The increase was partially offset by a decline in Steel Products sales of $2.3 million, or 14.4%.</w:t>
      </w:r>
    </w:p>
    <w:p>
      <w:pPr>
        <w:spacing w:after="0" w:line="197"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for the 2026 first quarter increased $1.4 million, or 17.6%, over the prior year quarter. Precast gross profit increased $2.0 million due to the higher sales volumes, coupled with improved business mix and manufacturing execution, partially offset by lower Steel Product volumes which drove a $0.6 million decrease in gross profit. Gross profit margins improved 200 basis points to 20.6% driven by Precast.</w:t>
      </w:r>
    </w:p>
    <w:p>
      <w:pPr>
        <w:spacing w:after="0" w:line="203"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operating income for the 2026 first quarter improved $1.0 million over the prior year quarter due primarily to improved gross profit offset in part by an increase in selling and administrative expenses.</w:t>
      </w:r>
    </w:p>
    <w:p>
      <w:pPr>
        <w:spacing w:after="0" w:line="17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orders, net for the 2026 first quarter decreased $4.4 million, or 6.6%, from the prior year quarter, due primarily to a 26.7% decline in Steel Products due to strong prior year demand for Protective Coatings. This was partially offset by a 5.5% increase in Precast. The trailing twelve month book-to-bill ratio was 0.84 : 1.00, which included a large order cancellation last year. Backlog was down $38.0 million from the prior year quarter due to the order cancellation in the Steel Products business coupled with a decline of 8.5% in Precast.</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First Quarter Conference Call</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L.B. Foster Company will conduct a conference call and webcast to discuss its first quarter 2026 operating results on Monday, May 4, 2026 at 8:30 AM ET. The call will be hosted by Mr. John Kasel, President and Chief Executive Officer. Listen via audio and access the slide presentation on the L.B. Foster website: </w:t>
      </w:r>
      <w:r>
        <w:rPr>
          <w:rFonts w:ascii="Arial" w:cs="Arial" w:eastAsia="Arial" w:hAnsi="Arial"/>
          <w:sz w:val="18"/>
          <w:szCs w:val="18"/>
          <w:u w:val="single" w:color="auto"/>
          <w:color w:val="auto"/>
        </w:rPr>
        <w:t>www.lbfoster.com</w:t>
      </w:r>
      <w:r>
        <w:rPr>
          <w:rFonts w:ascii="Arial" w:cs="Arial" w:eastAsia="Arial" w:hAnsi="Arial"/>
          <w:sz w:val="18"/>
          <w:szCs w:val="18"/>
          <w:color w:val="auto"/>
        </w:rPr>
        <w:t>, under the Investor Relations page. A conference call replay will be available through May 11, 2026 via webcast through L.B. Foster’s Investor Relations page of the company’s website.</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Those interested in participating in the question-and-answer session may register for the call at https://register-conf.media-server.com/register/BI8239c4c86c8742b38a7505746106b0bb to receive the dial-in numbers and unique PIN to access the call. The registration link will also be available on the Company’s Investor Relations page of its website.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L.B. Foster Company</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Founded in 1902, L.B. Foster Company is a global technology solutions provider of products and services for the rail and infrastructure markets. The Company’s innovative engineering and product development solutions address the safety, reliability, and performance needs of its customers' most challenging requirements. The Company maintains locations in North America, South America, Europe, and Asia. For more information, please visit </w:t>
      </w:r>
      <w:r>
        <w:rPr>
          <w:rFonts w:ascii="Arial" w:cs="Arial" w:eastAsia="Arial" w:hAnsi="Arial"/>
          <w:sz w:val="18"/>
          <w:szCs w:val="18"/>
          <w:u w:val="single" w:color="auto"/>
          <w:color w:val="auto"/>
        </w:rPr>
        <w:t>www.lbfoster.com</w:t>
      </w:r>
      <w:r>
        <w:rPr>
          <w:rFonts w:ascii="Arial" w:cs="Arial" w:eastAsia="Arial" w:hAnsi="Arial"/>
          <w:sz w:val="18"/>
          <w:szCs w:val="18"/>
          <w:color w:val="auto"/>
        </w:rPr>
        <w:t>.</w:t>
      </w:r>
    </w:p>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press release contains financial measures that are not calculated and presented in accordance with generally accepted accounting principles in the United States ("GAAP"). These non-GAAP financial measures are provided as additional information for investors. The presentation of this additional information is not meant to be considered in isolation or as a substitute for GAAP measures. For definitions of the non-GAAP financial measures used in this press release and reconciliations to the most directly comparable respective GAAP measures, see the “Non-GAAP Disclosures” section below.</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not reconciled the forward-looking adjusted EBITDA and free cash flow to the most directly comparable GAAP measure because this cannot be done without unreasonable effort due to the variability and low visibility with respect to certain costs, the most significant of which are acquisition and divestiture-related costs, impairment expense, and changes in operating assets and liabilities. These underlying expenses and others that may arise during the year are potential adjustments to future earnings. The Company expects the variability of these items to have a potentially unpredictable, and a potentially significant, impact on our future GAAP financial results.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free cash flow is useful information to investors as it provides insight on cash generated by operations, less capital expenditures, which we believe to be helpful in assessing the Company's long-term ability to pursue growth and investment opportunities as well as service its financing obligations and generate capital for shareholders. Additionally, the Company's annual incentive plans for management provide for the utilization of free cash flow as a metric for measuring cash-generation performance in determining annual variable incentive achievement.</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defines new orders, net as a contractual agreement between the Company and a third-party in which the Company will, or has the ability to, satisfy the performance obligations of the promised products or services under the terms of the agreement net of order cancellations incurred during the period. The Company defines backlog as contractual commitments to customers for which the Company’s performance obligations have not been met, including with respect to new orders and contracts for which the Company has not begun any performance. Backlog may not be indicative of future operating results as orders may be cancelled or modified by the customer. Management utilizes new orders and backlog to evaluate the health of the industries in which the Company operates, the Company’s current and future results of operations and financial prospects, and strategies for business development. The Company believes that new orders and backlog are useful to investors as supplemental metrics by which to measure the Company’s current performance and prospective results of operations and financial performance. The Company defines book-to-bill ratio as new orders divided by revenue. The Company believes this is a useful metric to assess supply and demand, including order strength versus order fulfillment.</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views its Gross Leverage Ratio per its credit agreement, as defined in the Fifth Amended and Restated Credit Agreement dated June 27, 2025, as an important indication of the Company's financial health and believes it is useful to investors as an indicator of the Company's ability to service its existing indebtedness and borrow additional funds for its investing and operational needs.</w:t>
      </w:r>
    </w:p>
    <w:p>
      <w:pPr>
        <w:sectPr>
          <w:pgSz w:w="11900" w:h="16838" w:orient="portrait"/>
          <w:cols w:equalWidth="0" w:num="1">
            <w:col w:w="11240"/>
          </w:cols>
          <w:pgMar w:left="320" w:top="93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i w:val="1"/>
          <w:iCs w:val="1"/>
          <w:color w:val="auto"/>
        </w:rPr>
        <w:t>This release may contain “forward-looking” statements within the meaning of Section 21E of the Securities Exchange Act of 1934, as amended, and Section 27A of the Securities Act of 1933, as amended.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earnings release are based on management's current expectations and assumptions about future events that involve inherent risks and uncertainties and may concern, among other things, the Company’s expectations relating to our strategy, goals, projections, valuations and impairments, and plans regarding our financial position, liquidity, capital resources,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adverse economic conditions in the markets we serve, including recession, the volatility in the prices for oil and gas, tariffs, duties or trade wars, inflation, rising labor costs, project delays, and budget shortfalls, or otherwise; the disruption of government funding programs as a result of potential periodic government shutdowns;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environmental matters and the impact of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the imposition of increased or new tariffs, and trade restrictions or embargoes, or uncertainties relating to the imposition and enforcement of tariffs; our ability to timely effectuate our strategy, including cost reduction initiatives, and our ability to effectively integrate acquired businesses or to divest businesses, and to realize anticipated synergies and benefits; costs of and impacts associated with shareholder activism; the timeliness, cost, and availability of materials from our major suppliers, as well as the impact on our access to supplies of customer preferences as to the origin of such supplies, such as customers’ concerns about conflict minerals; labor disputes; emerging technologies, including those related to or arising from artificial intelligence, and resultant risks to our business and operations; cybersecurity risks such as data security breaches, malware, ransomware, “hacking,” and identity theft, either with respect to our systems or those of third parties on whom we rely,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and disclosure controls and procedures; any change in policy or other change due to the results of the UK’s parliamentary elections and the U.S. presidential and congressional elections that could affect UK or US business conditions; other geopolitical conditions, including the ongoing conflicts between Russia and Ukraine, conflicts in the Middle East, and increasing tensions between China and Taiwan; a lack of, freezing of, or delay in state or federal funding for infrastructure projects; an increase in manufacturing or material costs, including volatility in steel prices, oil prices, and wage inflation;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2025, or as updated and/or amended by our other current or periodic filings with the Securities and Exchange Commission.</w:t>
      </w:r>
    </w:p>
    <w:p>
      <w:pPr>
        <w:spacing w:after="0" w:line="92"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i w:val="1"/>
          <w:iCs w:val="1"/>
          <w:color w:val="auto"/>
        </w:rPr>
        <w:t>The forward-looking statements in this release are made as of the date of this release and we assume no obligation to update or revise any forward-looking statement, whether as a result of new information, future developments, or otherwise, except as required by the federal securities laws.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Lisa Durante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412-928-3400, and follow the prompts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investors@lbfoster.com</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L.B. Foster Company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415 Holiday Drive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Suite 100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Pittsburgh, PA 15220</w:t>
      </w:r>
    </w:p>
    <w:p>
      <w:pPr>
        <w:sectPr>
          <w:pgSz w:w="11900" w:h="16838" w:orient="portrait"/>
          <w:cols w:equalWidth="0" w:num="1">
            <w:col w:w="11240"/>
          </w:cols>
          <w:pgMar w:left="320" w:top="76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41" w:lineRule="exact"/>
        <w:rPr>
          <w:sz w:val="20"/>
          <w:szCs w:val="20"/>
          <w:color w:val="auto"/>
        </w:rPr>
      </w:pPr>
    </w:p>
    <w:p>
      <w:pPr>
        <w:jc w:val="center"/>
        <w:ind w:left="850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jc w:val="center"/>
        <w:ind w:left="850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color w:val="auto"/>
              </w:rPr>
              <w:t>2026</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color w:val="auto"/>
              </w:rPr>
              <w:t>2025</w:t>
            </w:r>
          </w:p>
        </w:tc>
      </w:tr>
      <w:tr>
        <w:trPr>
          <w:trHeight w:val="37"/>
        </w:trPr>
        <w:tc>
          <w:tcPr>
            <w:tcW w:w="8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of goods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86,548</w:t>
            </w:r>
          </w:p>
        </w:tc>
      </w:tr>
      <w:tr>
        <w:trPr>
          <w:trHeight w:val="229"/>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of services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11,244</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97,792</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80,933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66,938</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sold</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w:t>
            </w:r>
          </w:p>
        </w:tc>
      </w:tr>
      <w:tr>
        <w:trPr>
          <w:trHeight w:val="22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 of sales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77,641</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20,151</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20,952</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(1,923)</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r>
      <w:tr>
        <w:trPr>
          <w:trHeight w:val="229"/>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r>
      <w:tr>
        <w:trPr>
          <w:trHeight w:val="229"/>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r>
      <w:tr>
        <w:trPr>
          <w:trHeight w:val="229"/>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1"/>
        </w:trPr>
        <w:tc>
          <w:tcPr>
            <w:tcW w:w="85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attributable to L.B. Foster Company</w:t>
            </w: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(2,110)</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data attributable to L.B. Foster shareholders: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196"/>
        </w:trPr>
        <w:tc>
          <w:tcPr>
            <w:tcW w:w="8520" w:type="dxa"/>
            <w:vAlign w:val="bottom"/>
          </w:tcPr>
          <w:p>
            <w:pPr>
              <w:ind w:left="20"/>
              <w:spacing w:after="0" w:line="196" w:lineRule="exact"/>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(0.20)</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2"/>
        </w:trPr>
        <w:tc>
          <w:tcPr>
            <w:tcW w:w="85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earnings (loss) per common share:</w:t>
            </w: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10,540</w:t>
            </w:r>
          </w:p>
        </w:tc>
      </w:tr>
      <w:tr>
        <w:trPr>
          <w:trHeight w:val="239"/>
        </w:trPr>
        <w:tc>
          <w:tcPr>
            <w:tcW w:w="852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10,584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10,540</w:t>
            </w:r>
          </w:p>
        </w:tc>
      </w:tr>
    </w:tbl>
    <w:p>
      <w:pPr>
        <w:sectPr>
          <w:pgSz w:w="11900" w:h="16838" w:orient="portrait"/>
          <w:cols w:equalWidth="0" w:num="1">
            <w:col w:w="11200"/>
          </w:cols>
          <w:pgMar w:left="340" w:top="93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color w:val="auto"/>
              </w:rPr>
              <w:t>March 31,</w:t>
            </w:r>
          </w:p>
        </w:tc>
        <w:tc>
          <w:tcPr>
            <w:tcW w:w="140" w:type="dxa"/>
            <w:vAlign w:val="bottom"/>
          </w:tcPr>
          <w:p>
            <w:pPr>
              <w:spacing w:after="0"/>
              <w:rPr>
                <w:sz w:val="14"/>
                <w:szCs w:val="14"/>
                <w:color w:val="auto"/>
              </w:rPr>
            </w:pP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December 31,</w:t>
            </w:r>
          </w:p>
        </w:tc>
      </w:tr>
      <w:tr>
        <w:trPr>
          <w:trHeight w:val="185"/>
        </w:trPr>
        <w:tc>
          <w:tcPr>
            <w:tcW w:w="8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2025</w:t>
            </w:r>
          </w:p>
        </w:tc>
      </w:tr>
      <w:tr>
        <w:trPr>
          <w:trHeight w:val="192"/>
        </w:trPr>
        <w:tc>
          <w:tcPr>
            <w:tcW w:w="8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color w:val="auto"/>
              </w:rPr>
              <w:t>(Unaudited)</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Accounts receivable -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77,907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80,551</w:t>
            </w: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assets -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w:t>
            </w: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Inventories -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68,479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60,219</w:t>
            </w: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w:t>
            </w:r>
          </w:p>
        </w:tc>
      </w:tr>
      <w:tr>
        <w:trPr>
          <w:trHeight w:val="223"/>
        </w:trPr>
        <w:tc>
          <w:tcPr>
            <w:tcW w:w="860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162,209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156,871</w:t>
            </w: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77,183</w:t>
            </w: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Operating lease right-of-use assets -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28,309</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33,062</w:t>
            </w: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intangibles -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w:t>
            </w: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20,355</w:t>
            </w: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333,783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330,372</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8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 AND STOCKHOLDERS’ EQUITY</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52,519</w:t>
            </w: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5,900</w:t>
            </w: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employee benefits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14,003</w:t>
            </w:r>
          </w:p>
        </w:tc>
      </w:tr>
      <w:tr>
        <w:trPr>
          <w:trHeight w:val="223"/>
        </w:trPr>
        <w:tc>
          <w:tcPr>
            <w:tcW w:w="860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72,952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83,921</w:t>
            </w: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42,603</w:t>
            </w: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24,266</w:t>
            </w: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2,681</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44,782</w:t>
            </w: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176,624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175,124</w:t>
            </w: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(23,852)</w:t>
            </w:r>
          </w:p>
        </w:tc>
      </w:tr>
      <w:tr>
        <w:trPr>
          <w:trHeight w:val="229"/>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(20,889)</w:t>
            </w:r>
          </w:p>
        </w:tc>
      </w:tr>
      <w:tr>
        <w:trPr>
          <w:trHeight w:val="223"/>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L.B. Foster Company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175,276</w:t>
            </w:r>
          </w:p>
        </w:tc>
      </w:tr>
      <w:tr>
        <w:trPr>
          <w:trHeight w:val="223"/>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r>
      <w:tr>
        <w:trPr>
          <w:trHeight w:val="223"/>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174,494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175,998</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333,783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330,372</w:t>
            </w: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Non-GAAP Disclosures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earnings release discloses earnings before interest, taxes, depreciation, and amortization (“EBITDA”), adjusted EBITDA, and free cash flow. The Company believes that EBITDA is useful to investors as a supplemental way to evaluate the ongoing operations of the Company’s business since EBITDA may enhance investors’ ability to compare historical periods as it adjusts for the impact of financing methods, tax law and strategy changes, and depreciation and amortization. In addition, EBITDA is a financial measure that management and the Company’s Board of Directors use in their financial and operational decision-making and in the determination of certain compensation programs. Adjusted EBITDA adjusts for certain charges to EBITDA from continuing operations that the Company believes are unusual, non-recurring, unpredictable, or non-cash. In the three months ended March 31, 2026 and three months ended March 31, 2025, the Company made no adjustments to EBITDA.</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Non-GAAP financial measures are not a substitute for GAAP financial results and should only be considered in conjunction with the Company’s financial information that is presented in accordance with GAAP. The following tables present quantitative reconciliations of EBITDA and Free Cash Flow (in thousands):</w:t>
      </w:r>
    </w:p>
    <w:p>
      <w:pPr>
        <w:spacing w:after="0" w:line="248" w:lineRule="exact"/>
        <w:rPr>
          <w:sz w:val="20"/>
          <w:szCs w:val="20"/>
          <w:color w:val="auto"/>
        </w:rPr>
      </w:pPr>
    </w:p>
    <w:p>
      <w:pPr>
        <w:jc w:val="center"/>
        <w:ind w:left="846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jc w:val="center"/>
        <w:ind w:left="846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color w:val="auto"/>
              </w:rPr>
              <w:t>2026</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color w:val="auto"/>
              </w:rPr>
              <w:t>2025</w:t>
            </w:r>
          </w:p>
        </w:tc>
      </w:tr>
      <w:tr>
        <w:trPr>
          <w:trHeight w:val="37"/>
        </w:trPr>
        <w:tc>
          <w:tcPr>
            <w:tcW w:w="8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 Reconciliation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Net income (loss), as reported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left="293"/>
              <w:spacing w:after="0"/>
              <w:rPr>
                <w:sz w:val="20"/>
                <w:szCs w:val="20"/>
                <w:color w:val="auto"/>
              </w:rPr>
            </w:pPr>
            <w:r>
              <w:rPr>
                <w:rFonts w:ascii="Arial" w:cs="Arial" w:eastAsia="Arial" w:hAnsi="Arial"/>
                <w:sz w:val="18"/>
                <w:szCs w:val="18"/>
                <w:color w:val="auto"/>
                <w:w w:val="98"/>
              </w:rPr>
              <w:t>(2,117)</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rPr>
              <w:t>1,143</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rPr>
              <w:t>2,305</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rPr>
              <w:t>1,122</w:t>
            </w:r>
          </w:p>
        </w:tc>
      </w:tr>
      <w:tr>
        <w:trPr>
          <w:trHeight w:val="248"/>
        </w:trPr>
        <w:tc>
          <w:tcPr>
            <w:tcW w:w="8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313"/>
              <w:spacing w:after="0"/>
              <w:rPr>
                <w:sz w:val="20"/>
                <w:szCs w:val="20"/>
                <w:color w:val="auto"/>
              </w:rPr>
            </w:pPr>
            <w:r>
              <w:rPr>
                <w:rFonts w:ascii="Arial" w:cs="Arial" w:eastAsia="Arial" w:hAnsi="Arial"/>
                <w:sz w:val="18"/>
                <w:szCs w:val="18"/>
                <w:color w:val="auto"/>
              </w:rPr>
              <w:t>1,822</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jc w:val="center"/>
        <w:ind w:left="8320"/>
        <w:spacing w:after="0"/>
        <w:rPr>
          <w:sz w:val="20"/>
          <w:szCs w:val="20"/>
          <w:color w:val="auto"/>
        </w:rPr>
      </w:pPr>
      <w:r>
        <w:rPr>
          <w:rFonts w:ascii="Arial" w:cs="Arial" w:eastAsia="Arial" w:hAnsi="Arial"/>
          <w:sz w:val="14"/>
          <w:szCs w:val="14"/>
          <w:color w:val="auto"/>
        </w:rPr>
        <w:t>Three Months Ended</w:t>
      </w:r>
    </w:p>
    <w:p>
      <w:pPr>
        <w:jc w:val="center"/>
        <w:ind w:left="8320"/>
        <w:spacing w:after="0"/>
        <w:rPr>
          <w:sz w:val="20"/>
          <w:szCs w:val="20"/>
          <w:color w:val="auto"/>
        </w:rPr>
      </w:pPr>
      <w:r>
        <w:rPr>
          <w:rFonts w:ascii="Arial" w:cs="Arial" w:eastAsia="Arial" w:hAnsi="Arial"/>
          <w:sz w:val="14"/>
          <w:szCs w:val="14"/>
          <w:color w:val="auto"/>
        </w:rPr>
        <w:t>March 31,</w:t>
      </w:r>
    </w:p>
    <w:p>
      <w:pPr>
        <w:spacing w:after="0" w:line="15" w:lineRule="exact"/>
        <w:rPr>
          <w:sz w:val="20"/>
          <w:szCs w:val="20"/>
          <w:color w:val="auto"/>
        </w:rPr>
      </w:pPr>
    </w:p>
    <w:tbl>
      <w:tblPr>
        <w:tblLayout w:type="fixed"/>
        <w:tblInd w:w="100" w:type="dxa"/>
        <w:tblCellMar>
          <w:top w:w="0" w:type="dxa"/>
          <w:left w:w="0" w:type="dxa"/>
          <w:bottom w:w="0" w:type="dxa"/>
          <w:right w:w="0" w:type="dxa"/>
        </w:tblCellMar>
      </w:tblPr>
      <w:tr>
        <w:trPr>
          <w:trHeight w:val="200"/>
        </w:trPr>
        <w:tc>
          <w:tcPr>
            <w:tcW w:w="83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color w:val="auto"/>
              </w:rPr>
              <w:t>2026</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color w:val="auto"/>
              </w:rPr>
              <w:t>2025</w:t>
            </w:r>
          </w:p>
        </w:tc>
      </w:tr>
      <w:tr>
        <w:trPr>
          <w:trHeight w:val="210"/>
        </w:trPr>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(Unaudited)</w:t>
            </w:r>
          </w:p>
        </w:tc>
        <w:tc>
          <w:tcPr>
            <w:tcW w:w="900" w:type="dxa"/>
            <w:vAlign w:val="bottom"/>
          </w:tcPr>
          <w:p>
            <w:pPr>
              <w:spacing w:after="0"/>
              <w:rPr>
                <w:sz w:val="18"/>
                <w:szCs w:val="18"/>
                <w:color w:val="auto"/>
              </w:rPr>
            </w:pPr>
          </w:p>
        </w:tc>
      </w:tr>
      <w:tr>
        <w:trPr>
          <w:trHeight w:val="234"/>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 Reconciliation</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(10,438)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(26,136)</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capital expenditures on property, plant,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(28,711)</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2026-05-04T06:33:29Z</dcterms:created>
  <dcterms:modified xsi:type="dcterms:W3CDTF">2026-05-04T06:33:29Z</dcterms:modified>
</cp:coreProperties>
</file>