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5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199390</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32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6"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32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Commission file number 0-10436</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80"/>
        <w:spacing w:after="0"/>
        <w:tabs>
          <w:tab w:leader="none" w:pos="4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Full title of the plan and the address of plan, if different from that of the issuer named below</w:t>
      </w:r>
    </w:p>
    <w:p>
      <w:pPr>
        <w:spacing w:after="0" w:line="329"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L.B. Foster Company 401(k) and Profit Sharing Plan</w:t>
      </w:r>
    </w:p>
    <w:p>
      <w:pPr>
        <w:spacing w:after="0" w:line="200" w:lineRule="exact"/>
        <w:rPr>
          <w:sz w:val="24"/>
          <w:szCs w:val="24"/>
          <w:color w:val="auto"/>
        </w:rPr>
      </w:pPr>
    </w:p>
    <w:p>
      <w:pPr>
        <w:spacing w:after="0" w:line="313" w:lineRule="exact"/>
        <w:rPr>
          <w:sz w:val="24"/>
          <w:szCs w:val="24"/>
          <w:color w:val="auto"/>
        </w:rPr>
      </w:pPr>
    </w:p>
    <w:p>
      <w:pPr>
        <w:ind w:left="80"/>
        <w:spacing w:after="0"/>
        <w:tabs>
          <w:tab w:leader="none" w:pos="4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Name of issuer of the securities held pursuant to the plan and the address of its principal executive office</w:t>
      </w:r>
    </w:p>
    <w:p>
      <w:pPr>
        <w:spacing w:after="0" w:line="31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415 Holiday Drive</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Pittsburgh, PA 15220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25" w:right="7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jc w:val="center"/>
              <w:ind w:right="2210"/>
              <w:spacing w:after="0"/>
              <w:rPr>
                <w:sz w:val="20"/>
                <w:szCs w:val="20"/>
                <w:color w:val="auto"/>
              </w:rPr>
            </w:pPr>
            <w:r>
              <w:rPr>
                <w:rFonts w:ascii="Times New Roman" w:cs="Times New Roman" w:eastAsia="Times New Roman" w:hAnsi="Times New Roman"/>
                <w:sz w:val="18"/>
                <w:szCs w:val="18"/>
                <w:color w:val="auto"/>
                <w:w w:val="99"/>
              </w:rPr>
              <w:t>L.B. Foster Company</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2"/>
          </w:tcPr>
          <w:p>
            <w:pPr>
              <w:jc w:val="center"/>
              <w:ind w:right="1850"/>
              <w:spacing w:after="0"/>
              <w:rPr>
                <w:sz w:val="20"/>
                <w:szCs w:val="20"/>
                <w:color w:val="auto"/>
              </w:rPr>
            </w:pPr>
            <w:r>
              <w:rPr>
                <w:rFonts w:ascii="Times New Roman" w:cs="Times New Roman" w:eastAsia="Times New Roman" w:hAnsi="Times New Roman"/>
                <w:sz w:val="18"/>
                <w:szCs w:val="18"/>
                <w:color w:val="auto"/>
                <w:w w:val="99"/>
              </w:rPr>
              <w:t>401(k) and Profit Sharing Plan</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2"/>
          </w:tcPr>
          <w:p>
            <w:pPr>
              <w:jc w:val="center"/>
              <w:ind w:right="1850"/>
              <w:spacing w:after="0"/>
              <w:rPr>
                <w:sz w:val="20"/>
                <w:szCs w:val="20"/>
                <w:color w:val="auto"/>
              </w:rPr>
            </w:pPr>
            <w:r>
              <w:rPr>
                <w:rFonts w:ascii="Times New Roman" w:cs="Times New Roman" w:eastAsia="Times New Roman" w:hAnsi="Times New Roman"/>
                <w:sz w:val="18"/>
                <w:szCs w:val="18"/>
                <w:color w:val="auto"/>
                <w:w w:val="99"/>
              </w:rPr>
              <w:t>and Supplemental Schedule</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color w:val="auto"/>
              </w:rPr>
              <w:t>December 31, 2025 and 2024 and the</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color w:val="auto"/>
                <w:w w:val="99"/>
              </w:rPr>
              <w:t>Year Ended December 31, 2025</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648"/>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4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4620" w:type="dxa"/>
            <w:vAlign w:val="bottom"/>
            <w:gridSpan w:val="2"/>
          </w:tcPr>
          <w:p>
            <w:pPr>
              <w:spacing w:after="0"/>
              <w:rPr>
                <w:sz w:val="24"/>
                <w:szCs w:val="24"/>
                <w:color w:val="auto"/>
              </w:rPr>
            </w:pPr>
          </w:p>
        </w:tc>
        <w:tc>
          <w:tcPr>
            <w:tcW w:w="20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20" w:type="dxa"/>
            <w:vAlign w:val="bottom"/>
          </w:tcPr>
          <w:p>
            <w:pPr>
              <w:spacing w:after="0"/>
              <w:rPr>
                <w:sz w:val="24"/>
                <w:szCs w:val="24"/>
                <w:color w:val="auto"/>
              </w:rPr>
            </w:pPr>
          </w:p>
        </w:tc>
      </w:tr>
      <w:tr>
        <w:trPr>
          <w:trHeight w:val="520"/>
        </w:trPr>
        <w:tc>
          <w:tcPr>
            <w:tcW w:w="60" w:type="dxa"/>
            <w:vAlign w:val="bottom"/>
          </w:tcPr>
          <w:p>
            <w:pPr>
              <w:spacing w:after="0"/>
              <w:rPr>
                <w:sz w:val="24"/>
                <w:szCs w:val="24"/>
                <w:color w:val="auto"/>
              </w:rPr>
            </w:pPr>
          </w:p>
        </w:tc>
        <w:tc>
          <w:tcPr>
            <w:tcW w:w="8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60" w:type="dxa"/>
            <w:vAlign w:val="bottom"/>
          </w:tcPr>
          <w:p>
            <w:pPr>
              <w:spacing w:after="0"/>
              <w:rPr>
                <w:sz w:val="24"/>
                <w:szCs w:val="24"/>
                <w:color w:val="auto"/>
              </w:rPr>
            </w:pPr>
          </w:p>
        </w:tc>
        <w:tc>
          <w:tcPr>
            <w:tcW w:w="8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2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8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2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5</w:t>
            </w:r>
          </w:p>
        </w:tc>
      </w:tr>
      <w:tr>
        <w:trPr>
          <w:trHeight w:val="210"/>
        </w:trPr>
        <w:tc>
          <w:tcPr>
            <w:tcW w:w="60" w:type="dxa"/>
            <w:vAlign w:val="bottom"/>
          </w:tcPr>
          <w:p>
            <w:pPr>
              <w:spacing w:after="0"/>
              <w:rPr>
                <w:sz w:val="18"/>
                <w:szCs w:val="18"/>
                <w:color w:val="auto"/>
              </w:rPr>
            </w:pPr>
          </w:p>
        </w:tc>
        <w:tc>
          <w:tcPr>
            <w:tcW w:w="42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464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20" w:type="dxa"/>
            <w:vAlign w:val="bottom"/>
          </w:tcPr>
          <w:p>
            <w:pPr>
              <w:spacing w:after="0"/>
              <w:rPr>
                <w:sz w:val="18"/>
                <w:szCs w:val="18"/>
                <w:color w:val="auto"/>
              </w:rPr>
            </w:pPr>
          </w:p>
        </w:tc>
      </w:tr>
      <w:tr>
        <w:trPr>
          <w:trHeight w:val="520"/>
        </w:trPr>
        <w:tc>
          <w:tcPr>
            <w:tcW w:w="60" w:type="dxa"/>
            <w:vAlign w:val="bottom"/>
          </w:tcPr>
          <w:p>
            <w:pPr>
              <w:spacing w:after="0"/>
              <w:rPr>
                <w:sz w:val="24"/>
                <w:szCs w:val="24"/>
                <w:color w:val="auto"/>
              </w:rPr>
            </w:pPr>
          </w:p>
        </w:tc>
        <w:tc>
          <w:tcPr>
            <w:tcW w:w="21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6700" w:type="dxa"/>
            <w:vAlign w:val="bottom"/>
            <w:gridSpan w:val="5"/>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60" w:type="dxa"/>
            <w:vAlign w:val="bottom"/>
          </w:tcPr>
          <w:p>
            <w:pPr>
              <w:spacing w:after="0"/>
              <w:rPr>
                <w:sz w:val="24"/>
                <w:szCs w:val="24"/>
                <w:color w:val="auto"/>
              </w:rPr>
            </w:pPr>
          </w:p>
        </w:tc>
        <w:tc>
          <w:tcPr>
            <w:tcW w:w="4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Schedule H, Line 4i – Schedule of Assets (Held at End of Year)</w:t>
            </w:r>
          </w:p>
        </w:tc>
        <w:tc>
          <w:tcPr>
            <w:tcW w:w="4260" w:type="dxa"/>
            <w:vAlign w:val="bottom"/>
          </w:tcPr>
          <w:p>
            <w:pPr>
              <w:spacing w:after="0"/>
              <w:rPr>
                <w:sz w:val="24"/>
                <w:szCs w:val="24"/>
                <w:color w:val="auto"/>
              </w:rPr>
            </w:pPr>
          </w:p>
        </w:tc>
        <w:tc>
          <w:tcPr>
            <w:tcW w:w="2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736"/>
        </w:trPr>
        <w:tc>
          <w:tcPr>
            <w:tcW w:w="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3600" w:type="dxa"/>
            <w:vAlign w:val="bottom"/>
            <w:gridSpan w:val="5"/>
          </w:tcPr>
          <w:p>
            <w:pPr>
              <w:spacing w:after="0"/>
              <w:rPr>
                <w:sz w:val="24"/>
                <w:szCs w:val="24"/>
                <w:color w:val="auto"/>
              </w:rPr>
            </w:pPr>
          </w:p>
        </w:tc>
        <w:tc>
          <w:tcPr>
            <w:tcW w:w="4260" w:type="dxa"/>
            <w:vAlign w:val="bottom"/>
          </w:tcPr>
          <w:p>
            <w:pPr>
              <w:spacing w:after="0"/>
              <w:rPr>
                <w:sz w:val="24"/>
                <w:szCs w:val="24"/>
                <w:color w:val="auto"/>
              </w:rPr>
            </w:pPr>
          </w:p>
        </w:tc>
        <w:tc>
          <w:tcPr>
            <w:tcW w:w="2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12</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6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79"/>
        </w:trPr>
        <w:tc>
          <w:tcPr>
            <w:tcW w:w="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7860" w:type="dxa"/>
            <w:vAlign w:val="bottom"/>
            <w:gridSpan w:val="6"/>
          </w:tcPr>
          <w:p>
            <w:pPr>
              <w:spacing w:after="0"/>
              <w:rPr>
                <w:sz w:val="24"/>
                <w:szCs w:val="24"/>
                <w:color w:val="auto"/>
              </w:rPr>
            </w:pPr>
          </w:p>
        </w:tc>
        <w:tc>
          <w:tcPr>
            <w:tcW w:w="2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13</w:t>
            </w:r>
          </w:p>
        </w:tc>
      </w:tr>
      <w:tr>
        <w:trPr>
          <w:trHeight w:val="1006"/>
        </w:trPr>
        <w:tc>
          <w:tcPr>
            <w:tcW w:w="6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160" w:type="dxa"/>
            <w:vAlign w:val="bottom"/>
            <w:gridSpan w:val="7"/>
          </w:tcPr>
          <w:p>
            <w:pPr>
              <w:jc w:val="center"/>
              <w:ind w:left="1510"/>
              <w:spacing w:after="0"/>
              <w:rPr>
                <w:sz w:val="20"/>
                <w:szCs w:val="20"/>
                <w:color w:val="auto"/>
              </w:rPr>
            </w:pPr>
            <w:r>
              <w:rPr>
                <w:rFonts w:ascii="Times New Roman" w:cs="Times New Roman" w:eastAsia="Times New Roman" w:hAnsi="Times New Roman"/>
                <w:sz w:val="18"/>
                <w:szCs w:val="18"/>
                <w:color w:val="auto"/>
                <w:w w:val="88"/>
              </w:rPr>
              <w:t>2</w:t>
            </w:r>
          </w:p>
        </w:tc>
        <w:tc>
          <w:tcPr>
            <w:tcW w:w="19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Investment Committee of L.B. Foster Company and the Participants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L.B. Foster Company 401(k) and Profit Sharing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L.B. Foster Company 401(k) and Profit Sharing Plan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accompanying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to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Schneider Downs &amp; Co.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L.B. Foster Company</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401(k) and Profit Sharing Plan</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03"/>
        </w:trPr>
        <w:tc>
          <w:tcPr>
            <w:tcW w:w="7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102,140,470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90,877,258</w:t>
            </w:r>
          </w:p>
        </w:tc>
      </w:tr>
      <w:tr>
        <w:trPr>
          <w:trHeight w:val="20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1,624,827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1,430,784</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1,624,827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1,430,784</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103,765,297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92,308,042</w:t>
            </w: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50"/>
        </w:trPr>
        <w:tc>
          <w:tcPr>
            <w:tcW w:w="6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81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L.B. Foster Company</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1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401(k) and Profit Sharing Plan</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1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Statement of Changes in Net Assets Available for Benefits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1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Year Ended December 31, 2025</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9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0" w:type="dxa"/>
            <w:vAlign w:val="bottom"/>
          </w:tcPr>
          <w:p>
            <w:pPr>
              <w:spacing w:after="0"/>
              <w:rPr>
                <w:sz w:val="19"/>
                <w:szCs w:val="19"/>
                <w:color w:val="auto"/>
              </w:rPr>
            </w:pP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9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10,802,107</w:t>
            </w:r>
          </w:p>
        </w:tc>
      </w:tr>
      <w:tr>
        <w:trPr>
          <w:trHeight w:val="229"/>
        </w:trPr>
        <w:tc>
          <w:tcPr>
            <w:tcW w:w="60" w:type="dxa"/>
            <w:vAlign w:val="bottom"/>
          </w:tcPr>
          <w:p>
            <w:pPr>
              <w:spacing w:after="0"/>
              <w:rPr>
                <w:sz w:val="19"/>
                <w:szCs w:val="19"/>
                <w:color w:val="auto"/>
              </w:rPr>
            </w:pPr>
          </w:p>
        </w:tc>
        <w:tc>
          <w:tcPr>
            <w:tcW w:w="94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Interest and dividends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4,132,449</w:t>
            </w:r>
          </w:p>
        </w:tc>
      </w:tr>
      <w:tr>
        <w:trPr>
          <w:trHeight w:val="223"/>
        </w:trPr>
        <w:tc>
          <w:tcPr>
            <w:tcW w:w="60" w:type="dxa"/>
            <w:vAlign w:val="bottom"/>
          </w:tcPr>
          <w:p>
            <w:pPr>
              <w:spacing w:after="0"/>
              <w:rPr>
                <w:sz w:val="19"/>
                <w:szCs w:val="19"/>
                <w:color w:val="auto"/>
              </w:rPr>
            </w:pPr>
          </w:p>
        </w:tc>
        <w:tc>
          <w:tcPr>
            <w:tcW w:w="94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investment income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14,934,556</w:t>
            </w:r>
          </w:p>
        </w:tc>
      </w:tr>
      <w:tr>
        <w:trPr>
          <w:trHeight w:val="223"/>
        </w:trPr>
        <w:tc>
          <w:tcPr>
            <w:tcW w:w="60" w:type="dxa"/>
            <w:vAlign w:val="bottom"/>
          </w:tcPr>
          <w:p>
            <w:pPr>
              <w:spacing w:after="0"/>
              <w:rPr>
                <w:sz w:val="19"/>
                <w:szCs w:val="19"/>
                <w:color w:val="auto"/>
              </w:rPr>
            </w:pPr>
          </w:p>
        </w:tc>
        <w:tc>
          <w:tcPr>
            <w:tcW w:w="9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from notes receivable from participants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128,171</w:t>
            </w:r>
          </w:p>
        </w:tc>
      </w:tr>
      <w:tr>
        <w:trPr>
          <w:trHeight w:val="209"/>
        </w:trPr>
        <w:tc>
          <w:tcPr>
            <w:tcW w:w="60" w:type="dxa"/>
            <w:vAlign w:val="bottom"/>
          </w:tcPr>
          <w:p>
            <w:pPr>
              <w:spacing w:after="0"/>
              <w:rPr>
                <w:sz w:val="18"/>
                <w:szCs w:val="18"/>
                <w:color w:val="auto"/>
              </w:rPr>
            </w:pP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9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Employee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4,770,064</w:t>
            </w:r>
          </w:p>
        </w:tc>
      </w:tr>
      <w:tr>
        <w:trPr>
          <w:trHeight w:val="229"/>
        </w:trPr>
        <w:tc>
          <w:tcPr>
            <w:tcW w:w="60" w:type="dxa"/>
            <w:vAlign w:val="bottom"/>
          </w:tcPr>
          <w:p>
            <w:pPr>
              <w:spacing w:after="0"/>
              <w:rPr>
                <w:sz w:val="19"/>
                <w:szCs w:val="19"/>
                <w:color w:val="auto"/>
              </w:rPr>
            </w:pPr>
          </w:p>
        </w:tc>
        <w:tc>
          <w:tcPr>
            <w:tcW w:w="9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3,131,776</w:t>
            </w:r>
          </w:p>
        </w:tc>
      </w:tr>
      <w:tr>
        <w:trPr>
          <w:trHeight w:val="230"/>
        </w:trPr>
        <w:tc>
          <w:tcPr>
            <w:tcW w:w="60" w:type="dxa"/>
            <w:vAlign w:val="bottom"/>
          </w:tcPr>
          <w:p>
            <w:pPr>
              <w:spacing w:after="0"/>
              <w:rPr>
                <w:sz w:val="19"/>
                <w:szCs w:val="19"/>
                <w:color w:val="auto"/>
              </w:rPr>
            </w:pPr>
          </w:p>
        </w:tc>
        <w:tc>
          <w:tcPr>
            <w:tcW w:w="94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Rollover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483,826</w:t>
            </w:r>
          </w:p>
        </w:tc>
      </w:tr>
      <w:tr>
        <w:trPr>
          <w:trHeight w:val="223"/>
        </w:trPr>
        <w:tc>
          <w:tcPr>
            <w:tcW w:w="60" w:type="dxa"/>
            <w:vAlign w:val="bottom"/>
          </w:tcPr>
          <w:p>
            <w:pPr>
              <w:spacing w:after="0"/>
              <w:rPr>
                <w:sz w:val="19"/>
                <w:szCs w:val="19"/>
                <w:color w:val="auto"/>
              </w:rPr>
            </w:pPr>
          </w:p>
        </w:tc>
        <w:tc>
          <w:tcPr>
            <w:tcW w:w="94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contributions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8,385,666</w:t>
            </w:r>
          </w:p>
        </w:tc>
      </w:tr>
      <w:tr>
        <w:trPr>
          <w:trHeight w:val="223"/>
        </w:trPr>
        <w:tc>
          <w:tcPr>
            <w:tcW w:w="60" w:type="dxa"/>
            <w:vAlign w:val="bottom"/>
          </w:tcPr>
          <w:p>
            <w:pPr>
              <w:spacing w:after="0"/>
              <w:rPr>
                <w:sz w:val="19"/>
                <w:szCs w:val="19"/>
                <w:color w:val="auto"/>
              </w:rPr>
            </w:pPr>
          </w:p>
        </w:tc>
        <w:tc>
          <w:tcPr>
            <w:tcW w:w="9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23,448,393</w:t>
            </w:r>
          </w:p>
        </w:tc>
      </w:tr>
      <w:tr>
        <w:trPr>
          <w:trHeight w:val="209"/>
        </w:trPr>
        <w:tc>
          <w:tcPr>
            <w:tcW w:w="60" w:type="dxa"/>
            <w:vAlign w:val="bottom"/>
          </w:tcPr>
          <w:p>
            <w:pPr>
              <w:spacing w:after="0"/>
              <w:rPr>
                <w:sz w:val="18"/>
                <w:szCs w:val="18"/>
                <w:color w:val="auto"/>
              </w:rPr>
            </w:pP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9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Deductions from net assets attributable to:</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9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payments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11,966,410</w:t>
            </w:r>
          </w:p>
        </w:tc>
      </w:tr>
      <w:tr>
        <w:trPr>
          <w:trHeight w:val="229"/>
        </w:trPr>
        <w:tc>
          <w:tcPr>
            <w:tcW w:w="60" w:type="dxa"/>
            <w:vAlign w:val="bottom"/>
          </w:tcPr>
          <w:p>
            <w:pPr>
              <w:spacing w:after="0"/>
              <w:rPr>
                <w:sz w:val="19"/>
                <w:szCs w:val="19"/>
                <w:color w:val="auto"/>
              </w:rPr>
            </w:pPr>
          </w:p>
        </w:tc>
        <w:tc>
          <w:tcPr>
            <w:tcW w:w="9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w:t>
            </w:r>
          </w:p>
        </w:tc>
      </w:tr>
      <w:tr>
        <w:trPr>
          <w:trHeight w:val="230"/>
        </w:trPr>
        <w:tc>
          <w:tcPr>
            <w:tcW w:w="60" w:type="dxa"/>
            <w:vAlign w:val="bottom"/>
          </w:tcPr>
          <w:p>
            <w:pPr>
              <w:spacing w:after="0"/>
              <w:rPr>
                <w:sz w:val="19"/>
                <w:szCs w:val="19"/>
                <w:color w:val="auto"/>
              </w:rPr>
            </w:pPr>
          </w:p>
        </w:tc>
        <w:tc>
          <w:tcPr>
            <w:tcW w:w="9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Deemed distributions of notes receivable from participants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23"/>
        </w:trPr>
        <w:tc>
          <w:tcPr>
            <w:tcW w:w="60" w:type="dxa"/>
            <w:vAlign w:val="bottom"/>
          </w:tcPr>
          <w:p>
            <w:pPr>
              <w:spacing w:after="0"/>
              <w:rPr>
                <w:sz w:val="19"/>
                <w:szCs w:val="19"/>
                <w:color w:val="auto"/>
              </w:rPr>
            </w:pPr>
          </w:p>
        </w:tc>
        <w:tc>
          <w:tcPr>
            <w:tcW w:w="9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11,991,138</w:t>
            </w:r>
          </w:p>
        </w:tc>
      </w:tr>
      <w:tr>
        <w:trPr>
          <w:trHeight w:val="223"/>
        </w:trPr>
        <w:tc>
          <w:tcPr>
            <w:tcW w:w="60" w:type="dxa"/>
            <w:vAlign w:val="bottom"/>
          </w:tcPr>
          <w:p>
            <w:pPr>
              <w:spacing w:after="0"/>
              <w:rPr>
                <w:sz w:val="19"/>
                <w:szCs w:val="19"/>
                <w:color w:val="auto"/>
              </w:rPr>
            </w:pPr>
          </w:p>
        </w:tc>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net assets available for benefits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11,457,255</w:t>
            </w:r>
          </w:p>
        </w:tc>
      </w:tr>
      <w:tr>
        <w:trPr>
          <w:trHeight w:val="229"/>
        </w:trPr>
        <w:tc>
          <w:tcPr>
            <w:tcW w:w="60" w:type="dxa"/>
            <w:vAlign w:val="bottom"/>
          </w:tcPr>
          <w:p>
            <w:pPr>
              <w:spacing w:after="0"/>
              <w:rPr>
                <w:sz w:val="19"/>
                <w:szCs w:val="19"/>
                <w:color w:val="auto"/>
              </w:rPr>
            </w:pPr>
          </w:p>
        </w:tc>
        <w:tc>
          <w:tcPr>
            <w:tcW w:w="9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beginning of year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92,308,042</w:t>
            </w:r>
          </w:p>
        </w:tc>
      </w:tr>
      <w:tr>
        <w:trPr>
          <w:trHeight w:val="248"/>
        </w:trPr>
        <w:tc>
          <w:tcPr>
            <w:tcW w:w="60" w:type="dxa"/>
            <w:vAlign w:val="bottom"/>
          </w:tcPr>
          <w:p>
            <w:pPr>
              <w:spacing w:after="0"/>
              <w:rPr>
                <w:sz w:val="21"/>
                <w:szCs w:val="21"/>
                <w:color w:val="auto"/>
              </w:rPr>
            </w:pPr>
          </w:p>
        </w:tc>
        <w:tc>
          <w:tcPr>
            <w:tcW w:w="9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end of year</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103,765,297</w:t>
            </w:r>
          </w:p>
        </w:tc>
      </w:tr>
      <w:tr>
        <w:trPr>
          <w:trHeight w:val="20"/>
        </w:trPr>
        <w:tc>
          <w:tcPr>
            <w:tcW w:w="6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and Profit Sharing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brief description of the L.B. Foster Company 401(k) and Profit Sharing Plan (the “Plan”) is provided for general information purposes only. Participants should refer to the summary plan description for more complete information. The plan document is the governing instrument and should be referred to for a full description of the Plan and its provisions.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is a defined contribution plan extended to all eligible employees of L.B. Foster Company (the “Company”). The L.B. Foster Company Investment Committee, appointed by the Board of Directors of the Company, serves as the plan administrator. The Plan is subject to the provisions of the Employee Retirement Income Security Act of 1974 (“ERISA”), as amended. Fidelity Management Trust Company, Boston, Massachusetts, is the Plan trustee ("Trustee"), and Fidelity Investments, an affiliate of the Trustee, is the recordkeeper (collectively, "Fidelity").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employees, except those barred by specific scenarios disclosed within the plan document, are eligible to participate in the Plan beginning in the first payroll period of the subsequent month following their date of hire.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Contributions under the Plan are made by both the participants and the Company. Participants may contribute up to 75% of their annual pretax compensation and up to 100% of their compensation on an after-tax basis, as limited by the Internal Revenue Code (“IRC”). Participants who have attained age 50 before the end of the Plan year are eligible to make pre-tax catch-up contributions, as defined by the IRC. Participants may also contribute amounts representing distributions from other qualified defined benefit or defined contribution plans (rollover). Participant and Company contributions are invested in accordance with participant elections.</w:t>
      </w:r>
    </w:p>
    <w:p>
      <w:pPr>
        <w:spacing w:after="0" w:line="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Plan provides for Company matching contributions of 100% of employee contributions of the first 6% of the participant’s eligible compensation that is contributed to their account. To be eligible for the Company’s matching contributions, participants must make pre-tax deferral contributions or Roth 401(k) after-tax deferral contributions. The Plan will match the combined total of these participant deferrals up to the matching limit.</w:t>
      </w:r>
    </w:p>
    <w:p>
      <w:pPr>
        <w:spacing w:after="0" w:line="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upon resolution of the Board of Directors, may make a discretionary profit-sharing contribution of an amount out of, but not in excess of, the Company’s current or accumulated profits. Participants must have attained one year of service as of the last day of the plan year in order to be eligible for the discretionary profit-sharing contribution, if any, for that year, except those participants that become disabled, retire, or become deceased in that year. Discretionary profit-sharing contributions are directed into eligible participant accounts at the time the contribution is made. There were no discretionary profit-sharing contributions approved for 2025.</w:t>
      </w:r>
    </w:p>
    <w:p>
      <w:pPr>
        <w:spacing w:after="0" w:line="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held by the Plan on behalf of participants are participant-directed. One of the available investment options is the L.B. Foster Company stock fund. No more than 15% of a participant’s deferral and corresponding match can go into the L.B. Foster Company stock fund. Additionally, a participant can only transfer a portion of their existing account balance to purchase the L.B. Foster Company stock fund if the percentage of their account balance invested in the L.B. Foster Company stock fund is less than or equal to 15%. Transfers out of the L.B. Foster Company stock fund are permitted at any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Individual accounts are maintained for each Plan participant. Each participant account is credited with the participant’s contributions and rollovers, the Company’s matching contributions, an allocable share of Plan earnings or losses (based on each participant’s investment elections), and charged with withdrawals and administrative expenses. The total benefit to which a participant is entitled is the benefit that can be provided from the participant's vested balance.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Plan participants are immediately fully vested in their elective and rollover contributions, plus actual earnings thereon. Effective January 1, 2020, participants are immediately vested in the Company’s matching contributions. Participants are fully vested in the Company’s discretionary profit sharing contributions, if any, after two years of eligible service.</w:t>
      </w:r>
    </w:p>
    <w:p>
      <w:pPr>
        <w:spacing w:after="0" w:line="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Notwithstanding the above, a participant who terminates from the Plan by reason of retirement, disability, or death is fully vested in his or her participant account immediately upon such event.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participant’s termination, the unvested portion of the participant’s account is forfeited. Accumulated forfeitures may be used to pay Plan administrative expenses or to reduce future employer contributions. During the year ended December 31, 2025, Plan management utilized an insignificant amount of forfeitures to pay Plan administrative expenses, with no amounts used to reduce Company contributions. As of December 31, 2025 and 2024, insignificant balances of forfeitures existed.</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Payments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Normal retirement age is 65. Early retirement age is 55, provided that the participant has at least five years of service. In addition, a participant may obtain an early retirement distribution prior to reaching age 55, provided that the participant will turn 55 in the year the distribution occurs and that the participant has at least five years of service. The Plan also allows for age 59 </w:t>
      </w:r>
      <w:r>
        <w:rPr>
          <w:rFonts w:ascii="Times New Roman" w:cs="Times New Roman" w:eastAsia="Times New Roman" w:hAnsi="Times New Roman"/>
          <w:sz w:val="14"/>
          <w:szCs w:val="14"/>
          <w:color w:val="auto"/>
        </w:rPr>
        <w:t>1⁄2</w:t>
      </w:r>
      <w:r>
        <w:rPr>
          <w:rFonts w:ascii="Times New Roman" w:cs="Times New Roman" w:eastAsia="Times New Roman" w:hAnsi="Times New Roman"/>
          <w:sz w:val="18"/>
          <w:szCs w:val="18"/>
          <w:color w:val="auto"/>
        </w:rPr>
        <w:t xml:space="preserve"> in-service withdrawals of all or any portion of the participant’s vested account balance.</w:t>
      </w:r>
    </w:p>
    <w:p>
      <w:pPr>
        <w:spacing w:after="0" w:line="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provided by the Plan, the distribution to which a participant is entitled by reason of normal, early, or disability retirement, death, or termination of employment may be made in the form of a direct rollover, annuity, cash, or partly in cash and partly as an annuity. The amount of such distribution is equal to the participant’s vested account balance on the distribution date. Retired and separated participants with vested balances of $1,000 or less are required to take full distribution of their account.</w:t>
      </w:r>
    </w:p>
    <w:p>
      <w:pPr>
        <w:spacing w:after="0" w:line="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hardship and subject to certain restrictions and limitations, as defined by the plan document, a participant may withdraw their vested interest in the portion of their account attributable to the participant’s contributions, subject to a $500 minimum.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participant may borrow from the vested portion of his or her account, subject to a minimum of $1,000 and a maximum of $50,000. The loan proceeds are deducted from the participant’s account and are repaid by means of payroll deductions. Loans are required to be repaid within 60 months from the date on which the loan is originally granted and may be prepaid early without penalty at any time. The repayment period for a loan that is obtained for purchasing a primary residence may be as long as 120 months. The loans carry a reasonable interest rate based on the prime rate plus 1% on the date the loan is requested and remains fixed for the full term of the loan. Interest rates ranged from 4.25% to 9.5% at December 31,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Termination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under the Plan to discontinue its contributions at any time and to terminate the Plan subject to the provisions of ERISA. Should the Plan be terminated, participants will become fully vested in their accounts, and the assets of the Plan would be distributed to the participants based on their individual account balances as determined under the Plan's provisions.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the Plan are maintained under the accrual method of accounting in conformity with the accounting principles generally accepted in the United States of America (“U.S. GAAP”).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values for investments may decline for a number of reasons, including changes in prevailing market and interest rates, increases in defaults, and credit rating downgrades. The fair values assigned to the investments by the Plan are based upon available information believed to be reliable, which may be affected by conditions in the financial markets. The Plan may not be able to sell its investments when it desires to do so or to realize what it perceives to be its fair value in the event of a sale.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 and Income Recognition</w:t>
      </w:r>
    </w:p>
    <w:p>
      <w:pPr>
        <w:spacing w:after="0" w:line="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Investments are reported at fair value. Fair value is the price that would be received to sell an asset or paid to transfer a liability in an orderly transaction between market participants at the measurement date. See Note 4 for discussion of fair value measurements.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appreciation in fair value of investments includes the Plan’s gains and losses on investments bought and sold as well as held during the year. Dividend income is recorded on the ex-dividend date and interest income is accrued as earned.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If a participant ceases to make loan repayments and the plan administrator deems the participant loan to be a distribution, the participant loan balance is reduced and a benefit payment is recorded.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Payments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payments are recorded upon distribution of proceeds to a Plan participant.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 provided by the Plan, pays certain expenses of the Plan, which are excluded from these financial statements. Fees related to the administration of notes receivable from participants, distribution administrative fees, and account maintenance fees are charged directly to the participant’s account and are included in administrative expenses on the statement of changes in net assets available for benefits. Investment related expenses are included in net appreciation of fair value of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Income Tax Status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Internal Revenue Service (“IRS”) has determined and informed the Company by a letter dated June 30, 2020, that the Plan and related trust are designed in accordance with applicable sections of the IRC. Although the Plan has been amended since receiving the opinion letter, the Plan administrator and the Plan's tax counsel believe that the Plan is designed, and is currently being operated, in compliance with the applicable requirements of the IRC and, therefore, believe that the Plan is qualified, and the related trust is tax-exempt.</w:t>
      </w: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2025 and 2024, there are no uncertain positions taken or expected to be taken. The Plan has recognized no interest or penalties related to uncertain tax positions. The earliest year open to U.S. Federal examination is 2022. The Plan is subject to routine audits by taxing jurisdictions; however, there are currently no audits for any tax periods in progress.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applies the provisions of the Financial Accounting Standards Board’s Accounting Standards Codification (“ASC”) 820, “Fair Value Measurement” (“ASC 820”), to its financial assets carried in the financial statements at fair value on a recurring basis. ASC 820 defines fair value as the exchange price that would be received to sell an asset in an orderly transaction between market participants at the measurement date. ASC 820 also establishes a fair value hierarchy and requires categorization of assets measured at fair value into one of three levels based on the inputs used in the valuation. Assets are classified in their entirety based on the lowest level of input significant to the fair value measurement. The three levels are defined as:</w:t>
      </w:r>
    </w:p>
    <w:p>
      <w:pPr>
        <w:spacing w:after="0" w:line="21" w:lineRule="exact"/>
        <w:rPr>
          <w:sz w:val="20"/>
          <w:szCs w:val="20"/>
          <w:color w:val="auto"/>
        </w:rPr>
      </w:pPr>
    </w:p>
    <w:p>
      <w:pPr>
        <w:ind w:left="560" w:hanging="328"/>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based on quoted prices (unadjusted) in active markets for identical assets.</w:t>
      </w:r>
    </w:p>
    <w:p>
      <w:pPr>
        <w:spacing w:after="0" w:line="63" w:lineRule="exact"/>
        <w:rPr>
          <w:rFonts w:ascii="Times New Roman" w:cs="Times New Roman" w:eastAsia="Times New Roman" w:hAnsi="Times New Roman"/>
          <w:sz w:val="18"/>
          <w:szCs w:val="18"/>
          <w:color w:val="auto"/>
        </w:rPr>
      </w:pPr>
    </w:p>
    <w:p>
      <w:pPr>
        <w:ind w:left="560" w:hanging="328"/>
        <w:spacing w:after="0" w:line="281" w:lineRule="auto"/>
        <w:tabs>
          <w:tab w:leader="none" w:pos="5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those included in Level 1, based on quoted prices for similar assets in active markets or quoted prices for identical assets in inactive markets.</w:t>
      </w:r>
    </w:p>
    <w:p>
      <w:pPr>
        <w:spacing w:after="0" w:line="1" w:lineRule="exact"/>
        <w:rPr>
          <w:rFonts w:ascii="Times New Roman" w:cs="Times New Roman" w:eastAsia="Times New Roman" w:hAnsi="Times New Roman"/>
          <w:sz w:val="18"/>
          <w:szCs w:val="18"/>
          <w:color w:val="auto"/>
        </w:rPr>
      </w:pPr>
    </w:p>
    <w:p>
      <w:pPr>
        <w:ind w:left="560" w:hanging="328"/>
        <w:spacing w:after="0" w:line="281" w:lineRule="auto"/>
        <w:tabs>
          <w:tab w:leader="none" w:pos="5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reflect an entity’s own assumptions about the inputs a market participant would use in pricing the asset based on the best information available in the circumstances.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methodologies used at December 31, 2025 and 2024. The following is a description of the investments and valuation methodologies used for assets measured at fair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valued daily at the closing price reported on the active market.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Mutual funds</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Various mutual funds are offered to the Plan participants. Mutual funds are publicly traded investments and are valued daily at the closing price reported on the active market on which the funds are traded.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Stable value collective trust fund</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Fidelity Managed Income Portfolio Class 2 (“MIP CL 2 Fund”) is a stable value collective trust fund available to the Plan. The Plan uses the net asset value (“NAV”) per share of the fund provided by the trustee of the fund as a practical expedient to estimate fair value. The practical expedient would not be used if it is determined to be probable that the fund will sell the investment for an amount different from the reported NAV. Participant transactions (purchases and sales) may occur daily. If the Plan initiates a full redemption of the fund, the trustee reserves the right to require 12 months’ notification in order to ensure that securities liquidations will be carried out in an orderly business manner. As of December 31, 2025 and 2024, there were no unfunded commitments for the fund. The fund’s units are issued and redeemed daily at the constant NAV of $1 per unit.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Self-directed brokerage accounts</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primarily consist of publicly traded cash reserves, common stocks, preferred stocks, and publicly traded partnerships and trusts that are valued on the basis of readily determinable market prices.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hierarchy</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assets carried at fair value are classified in the tables below:</w:t>
            </w: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13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2025</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460" w:type="dxa"/>
            <w:vAlign w:val="bottom"/>
            <w:tcBorders>
              <w:top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93,658,688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93,658,688</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5,610,560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5,610,560</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1,771,926</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101,044,312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101,044,312</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Collective Trust Funds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1,096,158</w:t>
            </w:r>
          </w:p>
        </w:tc>
        <w:tc>
          <w:tcPr>
            <w:tcW w:w="0" w:type="dxa"/>
            <w:vAlign w:val="bottom"/>
          </w:tcPr>
          <w:p>
            <w:pPr>
              <w:spacing w:after="0"/>
              <w:rPr>
                <w:sz w:val="1"/>
                <w:szCs w:val="1"/>
                <w:color w:val="auto"/>
              </w:rPr>
            </w:pPr>
          </w:p>
        </w:tc>
      </w:tr>
      <w:tr>
        <w:trPr>
          <w:trHeight w:val="223"/>
        </w:trPr>
        <w:tc>
          <w:tcPr>
            <w:tcW w:w="6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101,044,312</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102,140,470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13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2024</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82,799,228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82,799,228</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4,514,089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4,514,089</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2,019,266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2,019,266</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89,335,678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89,335,678</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Collective Trust Funds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1,541,580</w:t>
            </w:r>
          </w:p>
        </w:tc>
        <w:tc>
          <w:tcPr>
            <w:tcW w:w="0" w:type="dxa"/>
            <w:vAlign w:val="bottom"/>
          </w:tcPr>
          <w:p>
            <w:pPr>
              <w:spacing w:after="0"/>
              <w:rPr>
                <w:sz w:val="1"/>
                <w:szCs w:val="1"/>
                <w:color w:val="auto"/>
              </w:rPr>
            </w:pPr>
          </w:p>
        </w:tc>
      </w:tr>
      <w:tr>
        <w:trPr>
          <w:trHeight w:val="223"/>
        </w:trPr>
        <w:tc>
          <w:tcPr>
            <w:tcW w:w="6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89,335,678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90,877,258</w:t>
            </w:r>
          </w:p>
        </w:tc>
        <w:tc>
          <w:tcPr>
            <w:tcW w:w="0" w:type="dxa"/>
            <w:vAlign w:val="bottom"/>
          </w:tcPr>
          <w:p>
            <w:pPr>
              <w:spacing w:after="0"/>
              <w:rPr>
                <w:sz w:val="1"/>
                <w:szCs w:val="1"/>
                <w:color w:val="auto"/>
              </w:rPr>
            </w:pPr>
          </w:p>
        </w:tc>
      </w:tr>
      <w:tr>
        <w:trPr>
          <w:trHeight w:val="21"/>
        </w:trPr>
        <w:tc>
          <w:tcPr>
            <w:tcW w:w="1360" w:type="dxa"/>
            <w:vAlign w:val="bottom"/>
            <w:vMerge w:val="restart"/>
          </w:tcPr>
          <w:p>
            <w:pPr>
              <w:ind w:left="20"/>
              <w:spacing w:after="0" w:line="200" w:lineRule="exact"/>
              <w:rPr>
                <w:sz w:val="20"/>
                <w:szCs w:val="20"/>
                <w:color w:val="auto"/>
              </w:rPr>
            </w:pPr>
            <w:r>
              <w:rPr>
                <w:rFonts w:ascii="Times New Roman" w:cs="Times New Roman" w:eastAsia="Times New Roman" w:hAnsi="Times New Roman"/>
                <w:sz w:val="18"/>
                <w:szCs w:val="18"/>
                <w:color w:val="auto"/>
              </w:rPr>
              <w:t>___________</w:t>
            </w: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40" w:right="3320" w:hanging="214"/>
        <w:spacing w:after="0" w:line="209" w:lineRule="auto"/>
        <w:tabs>
          <w:tab w:leader="none" w:pos="190" w:val="left"/>
        </w:tabs>
        <w:numPr>
          <w:ilvl w:val="1"/>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 accordance with ASU 2015-07, certain investments that are measured at fair value using net asset value per share (or its equivalent) practical expedient have not been classified on the fair value hierarchy. The fair value amounts presented in this table are intended to permit reconciliation of the fair value hierarchy to the amounts presented in the statements of net assets available for benefits.</w:t>
      </w:r>
    </w:p>
    <w:p>
      <w:pPr>
        <w:spacing w:after="0" w:line="191"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Parties-in-Interest</w:t>
      </w:r>
    </w:p>
    <w:p>
      <w:pPr>
        <w:spacing w:after="0" w:line="6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Plan’s investments represent funds invested in or administered by the Trustee, and therefore, these transactions represent exempt party-in-interest transactions. Additionally, certain expenses of the Plan are paid to service providers who may be considered parties-in-interest as defined by ERISA.</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trustee, accounting, and administrative expenses relating to the maintenance of participant records and the Plan’s administration are absorbed by the Company and may qualify as party-in-interest transactions under ERISA. The Company is the plan sponsor, and therefore, transactions with the Company may qualify as exempt party-in-interest. Certain administrative functions are performed by officers or employees of the Company. No such officer or employee receives compensation from the Plan. Notes receivable from participants also qualify as exempt party-in-interest transactions.</w:t>
      </w:r>
    </w:p>
    <w:p>
      <w:pPr>
        <w:spacing w:after="0" w:line="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also invests in Company stock. At December 31, 2025 and 2024, the Plan held an aggregate of 65,748 and 75,065 shares of the Company's common stock valued at $1,771,926 and $2,019,266, respectively. During 2025, the Plan purchased 3,254 shares of the Company's common stock at an aggregate cost of $78,608. The Plan recorded an investment loss on the Company’s common stock of $10,849 in 2025. In 2025, the Plan sold 12,571 shares of the Company’s common stock for proceeds of $315,099.</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and Profit Sharing Plan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EIN #25-1324733 Plan #201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(Held at End of Year)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  (b) Identity of Issue, Borrower, Lessor, or Similar Party</w:t>
            </w:r>
          </w:p>
        </w:tc>
        <w:tc>
          <w:tcPr>
            <w:tcW w:w="30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(c) Description of Investment</w:t>
            </w: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 Cost</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 Fair Market Value</w:t>
            </w:r>
          </w:p>
        </w:tc>
      </w:tr>
      <w:tr>
        <w:trPr>
          <w:trHeight w:val="23"/>
        </w:trPr>
        <w:tc>
          <w:tcPr>
            <w:tcW w:w="12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Investments:</w:t>
            </w:r>
          </w:p>
        </w:tc>
        <w:tc>
          <w:tcPr>
            <w:tcW w:w="3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Government Income Fund</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503,337</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Balanced Fund – Class K6</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3,419,180</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Low Price Stock Fund – Class K6</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1,887,339</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Discovery Fund – Class K6</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1,928,294</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Bond Fund</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2,339,065</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Appreciation Fund – Class K</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1,711,221</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Contrafund – Class K6</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4,207,569</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Extended Market Index Fund</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1,000,715</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International Index Fund</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2,247,731</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Small Cap Index Fund</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489,502</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Bond Index Fund</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1,207,190</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 Index Fund</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14,681,154</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Freedom Retirement Fund – Class K</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Emerging Markets Index Fund</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633,321</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Freedom 2010 – Class K</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36,515</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Freedom 2015 – Class K</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18,683</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Freedom 2020 – Class K</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1,266,895</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Freedom 2025 – Class K</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3,499,605</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Freedom 2030 – Class K</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10,309,828</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Freedom 2035 – Class K</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5,802,431</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Freedom 2040 – Class K</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7,204,651</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Freedom 2045 – Class K</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6,621,151</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Freedom 2050 – Class K</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4,835,525</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Freedom 2055 – Class K</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3,284,172</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Freedom 2060 – Class K</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1,691,536</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Freedom 2065 – Class K</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893,155</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Freedom 2070 – Class K</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 Money Market Fund - Class K6</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2,204,001</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Managed Income Portfolio Fund – Class 2</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Stable value collective trust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1,096,158</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Glenmede Small Cap EQ IS Fund</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904,489</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MFS Value Fund – Class R6</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2,465,912</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PGIM Jennison Mid-Cap Growth Fund – Class R6</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625,950</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Janus Henderson Triton Fund – Class N</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842,105</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PIMCO Real Return Fund Institutional Class</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454,354</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SPL Small Cap Value - Class R6</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469,642</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GQG Partners Emerging Markets Equity - Class R6</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347,877</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Touchstone Large Cap Focused Fund – Class A</w:t>
            </w: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3,600,509</w:t>
            </w:r>
          </w:p>
        </w:tc>
        <w:tc>
          <w:tcPr>
            <w:tcW w:w="10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 Directed Brokerage Accounts</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w:t>
            </w: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5,610,560</w:t>
            </w:r>
          </w:p>
        </w:tc>
        <w:tc>
          <w:tcPr>
            <w:tcW w:w="10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100,365,406</w:t>
            </w:r>
          </w:p>
        </w:tc>
        <w:tc>
          <w:tcPr>
            <w:tcW w:w="100" w:type="dxa"/>
            <w:vAlign w:val="bottom"/>
          </w:tcPr>
          <w:p>
            <w:pPr>
              <w:spacing w:after="0"/>
              <w:rPr>
                <w:sz w:val="19"/>
                <w:szCs w:val="19"/>
                <w:color w:val="auto"/>
              </w:rPr>
            </w:pPr>
          </w:p>
        </w:tc>
      </w:tr>
      <w:tr>
        <w:trPr>
          <w:trHeight w:val="736"/>
        </w:trPr>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L.B. Foster Company</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401(k) and Profit Sharing Plan</w:t>
      </w: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EIN #25-1324733 Plan #201</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Schedule H, Line 4i – Schedule of Assets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(Held at End of Year) (continued)</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  (b) Identity of Issue, Borrower, Lessor, or Similar Party</w:t>
            </w:r>
          </w:p>
        </w:tc>
        <w:tc>
          <w:tcPr>
            <w:tcW w:w="30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 Description of Investment</w:t>
            </w: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 Cost</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 Fair Market Value</w:t>
            </w:r>
          </w:p>
        </w:tc>
      </w:tr>
      <w:tr>
        <w:trPr>
          <w:trHeight w:val="23"/>
        </w:trPr>
        <w:tc>
          <w:tcPr>
            <w:tcW w:w="30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300" w:type="dxa"/>
            <w:vAlign w:val="bottom"/>
            <w:shd w:val="clear" w:color="auto" w:fill="CCEEFF"/>
          </w:tcPr>
          <w:p>
            <w:pPr>
              <w:spacing w:after="0"/>
              <w:rPr>
                <w:sz w:val="19"/>
                <w:szCs w:val="19"/>
                <w:color w:val="auto"/>
              </w:rPr>
            </w:pPr>
          </w:p>
        </w:tc>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L.B. Foster Company:</w:t>
            </w:r>
          </w:p>
        </w:tc>
        <w:tc>
          <w:tcPr>
            <w:tcW w:w="12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Stock Fund</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300" w:type="dxa"/>
            <w:vAlign w:val="bottom"/>
            <w:gridSpan w:val="2"/>
          </w:tcPr>
          <w:p>
            <w:pPr>
              <w:jc w:val="center"/>
              <w:ind w:left="655"/>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1,771,926</w:t>
            </w:r>
          </w:p>
        </w:tc>
      </w:tr>
      <w:tr>
        <w:trPr>
          <w:trHeight w:val="230"/>
        </w:trPr>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Money Market Account</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Purchase Account</w:t>
            </w:r>
          </w:p>
        </w:tc>
        <w:tc>
          <w:tcPr>
            <w:tcW w:w="1300" w:type="dxa"/>
            <w:vAlign w:val="bottom"/>
            <w:gridSpan w:val="2"/>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23"/>
        </w:trPr>
        <w:tc>
          <w:tcPr>
            <w:tcW w:w="30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1,775,064</w:t>
            </w:r>
          </w:p>
        </w:tc>
      </w:tr>
      <w:tr>
        <w:trPr>
          <w:trHeight w:val="156"/>
        </w:trPr>
        <w:tc>
          <w:tcPr>
            <w:tcW w:w="3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4840" w:type="dxa"/>
            <w:vAlign w:val="bottom"/>
            <w:gridSpan w:val="2"/>
            <w:shd w:val="clear" w:color="auto" w:fill="CCEEFF"/>
          </w:tcPr>
          <w:p>
            <w:pPr>
              <w:ind w:left="80"/>
              <w:spacing w:after="0" w:line="156" w:lineRule="exact"/>
              <w:rPr>
                <w:sz w:val="20"/>
                <w:szCs w:val="20"/>
                <w:color w:val="auto"/>
              </w:rPr>
            </w:pPr>
            <w:r>
              <w:rPr>
                <w:rFonts w:ascii="Times New Roman" w:cs="Times New Roman" w:eastAsia="Times New Roman" w:hAnsi="Times New Roman"/>
                <w:sz w:val="18"/>
                <w:szCs w:val="18"/>
                <w:color w:val="auto"/>
              </w:rPr>
              <w:t>Participant loans</w:t>
            </w:r>
          </w:p>
        </w:tc>
        <w:tc>
          <w:tcPr>
            <w:tcW w:w="30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Participant loans, interest rates ranging</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4"/>
        </w:trPr>
        <w:tc>
          <w:tcPr>
            <w:tcW w:w="30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4.25% to 9.5%, maturities ranging</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4"/>
        </w:trPr>
        <w:tc>
          <w:tcPr>
            <w:tcW w:w="300" w:type="dxa"/>
            <w:vAlign w:val="bottom"/>
            <w:shd w:val="clear" w:color="auto" w:fill="CCEEFF"/>
          </w:tcPr>
          <w:p>
            <w:pPr>
              <w:spacing w:after="0"/>
              <w:rPr>
                <w:sz w:val="20"/>
                <w:szCs w:val="20"/>
                <w:color w:val="auto"/>
              </w:rPr>
            </w:pPr>
          </w:p>
        </w:tc>
        <w:tc>
          <w:tcPr>
            <w:tcW w:w="4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six months to ten years</w:t>
            </w:r>
          </w:p>
        </w:tc>
        <w:tc>
          <w:tcPr>
            <w:tcW w:w="1300" w:type="dxa"/>
            <w:vAlign w:val="bottom"/>
            <w:gridSpan w:val="2"/>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1,624,827</w:t>
            </w:r>
          </w:p>
        </w:tc>
      </w:tr>
      <w:tr>
        <w:trPr>
          <w:trHeight w:val="223"/>
        </w:trPr>
        <w:tc>
          <w:tcPr>
            <w:tcW w:w="3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103,765,297</w:t>
            </w:r>
          </w:p>
        </w:tc>
      </w:tr>
      <w:tr>
        <w:trPr>
          <w:trHeight w:val="20"/>
        </w:trPr>
        <w:tc>
          <w:tcPr>
            <w:tcW w:w="3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Party in interest as defined by ERISA.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 Cost omitted for participant directed investments.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76"/>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9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380" w:type="dxa"/>
            <w:vAlign w:val="bottom"/>
          </w:tcPr>
          <w:p>
            <w:pPr>
              <w:spacing w:after="0"/>
              <w:rPr>
                <w:sz w:val="19"/>
                <w:szCs w:val="19"/>
                <w:color w:val="auto"/>
              </w:rPr>
            </w:pPr>
          </w:p>
        </w:tc>
        <w:tc>
          <w:tcPr>
            <w:tcW w:w="43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tbl>
      <w:tblPr>
        <w:tblLayout w:type="fixed"/>
        <w:tblInd w:w="240" w:type="dxa"/>
        <w:tblCellMar>
          <w:top w:w="0" w:type="dxa"/>
          <w:left w:w="0" w:type="dxa"/>
          <w:bottom w:w="0" w:type="dxa"/>
          <w:right w:w="0" w:type="dxa"/>
        </w:tblCellMar>
      </w:tblPr>
      <w:tr>
        <w:trPr>
          <w:trHeight w:val="199"/>
        </w:trPr>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080" w:type="dxa"/>
            <w:vAlign w:val="bottom"/>
            <w:tcBorders>
              <w:bottom w:val="single" w:sz="8" w:color="auto"/>
            </w:tcBorders>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9"/>
              </w:rPr>
              <w:t>L.B. Foster Company 401(k) and Profit Sharing Plan</w:t>
            </w:r>
          </w:p>
        </w:tc>
      </w:tr>
      <w:tr>
        <w:trPr>
          <w:trHeight w:val="250"/>
        </w:trPr>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Plan)</w:t>
            </w:r>
          </w:p>
        </w:tc>
      </w:tr>
      <w:tr>
        <w:trPr>
          <w:trHeight w:val="459"/>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June 16, 2026</w:t>
            </w: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 Jamie O’Neill</w:t>
            </w:r>
          </w:p>
        </w:tc>
      </w:tr>
      <w:tr>
        <w:trPr>
          <w:trHeight w:val="245"/>
        </w:trPr>
        <w:tc>
          <w:tcPr>
            <w:tcW w:w="44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940" w:type="dxa"/>
            <w:vAlign w:val="bottom"/>
          </w:tcPr>
          <w:p>
            <w:pPr>
              <w:spacing w:after="0"/>
              <w:rPr>
                <w:sz w:val="21"/>
                <w:szCs w:val="21"/>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Jamie O’Neill</w:t>
            </w:r>
          </w:p>
        </w:tc>
        <w:tc>
          <w:tcPr>
            <w:tcW w:w="2800" w:type="dxa"/>
            <w:vAlign w:val="bottom"/>
          </w:tcPr>
          <w:p>
            <w:pPr>
              <w:spacing w:after="0"/>
              <w:rPr>
                <w:sz w:val="21"/>
                <w:szCs w:val="21"/>
                <w:color w:val="auto"/>
              </w:rPr>
            </w:pPr>
          </w:p>
        </w:tc>
      </w:tr>
      <w:tr>
        <w:trPr>
          <w:trHeight w:val="229"/>
        </w:trPr>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w:t>
            </w:r>
          </w:p>
        </w:tc>
      </w:tr>
      <w:tr>
        <w:trPr>
          <w:trHeight w:val="234"/>
        </w:trPr>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Human Resources</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320" w:top="117" w:right="579" w:bottom="1440" w:gutter="0" w:footer="0" w:header="0"/>
        </w:sectPr>
      </w:pPr>
    </w:p>
    <w:bookmarkStart w:id="13" w:name="page14"/>
    <w:bookmarkEnd w:id="13"/>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333-226502) on Form S-8 of L.B. Foster Company, of our report dated June 16, 2026, with respect to the statements of net assets available for benefits of L.B. Foster Company 401(k) and Profit-Sharing Plan as of December 31, 2025 and 2024, the related statement of changes in net assets available for benefits for the year ended December 31, 2025 and the related supplemental schedule as of December 31, 2025, which report appears in the December 31, 2025 annual report on Form 11-K of L.B. Foster Company 401(k) and Profit-Sharing Plan.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Schneider Downs &amp; Co.,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16,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5"/>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2026-06-16T11:51:04Z</dcterms:created>
  <dcterms:modified xsi:type="dcterms:W3CDTF">2026-06-16T11:51:04Z</dcterms:modified>
</cp:coreProperties>
</file>