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Pursuant to Section 13 or 15(d) if the Securities and Exchange Act of 1934</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July 23, 2003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L. B. FOSTER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000-10436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25-1324733</w:t>
      </w:r>
    </w:p>
    <w:p>
      <w:pPr>
        <w:spacing w:after="0" w:line="238" w:lineRule="auto"/>
        <w:rPr>
          <w:sz w:val="20"/>
          <w:szCs w:val="20"/>
          <w:color w:val="auto"/>
        </w:rPr>
      </w:pPr>
      <w:r>
        <w:rPr>
          <w:rFonts w:ascii="Courier New" w:cs="Courier New" w:eastAsia="Courier New" w:hAnsi="Courier New"/>
          <w:sz w:val="18"/>
          <w:szCs w:val="18"/>
          <w:color w:val="auto"/>
        </w:rPr>
        <w:t>(I. R. 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540" w:space="520"/>
            <w:col w:w="2660" w:space="720"/>
            <w:col w:w="3779"/>
          </w:cols>
          <w:pgMar w:left="240" w:top="244" w:right="1440" w:bottom="1440" w:gutter="0" w:footer="0" w:header="0"/>
          <w:type w:val="continuous"/>
        </w:sectPr>
      </w:pPr>
    </w:p>
    <w:p>
      <w:pPr>
        <w:spacing w:after="0" w:line="24" w:lineRule="exact"/>
        <w:rPr>
          <w:sz w:val="24"/>
          <w:szCs w:val="24"/>
          <w:color w:val="auto"/>
        </w:rPr>
      </w:pPr>
    </w:p>
    <w:p>
      <w:pPr>
        <w:ind w:left="220" w:right="1600" w:hanging="210"/>
        <w:spacing w:after="0" w:line="290" w:lineRule="auto"/>
        <w:rPr>
          <w:sz w:val="20"/>
          <w:szCs w:val="20"/>
          <w:color w:val="auto"/>
        </w:rPr>
      </w:pPr>
      <w:r>
        <w:rPr>
          <w:rFonts w:ascii="Courier New" w:cs="Courier New" w:eastAsia="Courier New" w:hAnsi="Courier New"/>
          <w:sz w:val="16"/>
          <w:szCs w:val="16"/>
          <w:color w:val="auto"/>
        </w:rPr>
        <w:t>415 Holiday Drive, Pittsburgh, Pennsylvania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15220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6140" w:space="720"/>
            <w:col w:w="3359"/>
          </w:cols>
          <w:pgMar w:left="240" w:top="244" w:right="1440" w:bottom="1440" w:gutter="0" w:footer="0" w:header="0"/>
          <w:type w:val="continuous"/>
        </w:sect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(412) 928-3417</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July 23, 2003, L. B. Foster Company (the "Company") issued a press release announcing the Company's results of operations for the second quarter ended June 30, 2003. A copy of that press release is furnished with this report as Exhibit 99.1 and is incorporated herein by reference. In accordance with Securities Act Release No. 33-8216 and Exchange Act Release 34-47583, this report on Form 8-K shall be deemed provided under Items 9 and 12 of Form 8-K.</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July 23, 2003.</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3"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L. B. Foster Company</w:t>
      </w:r>
    </w:p>
    <w:p>
      <w:pPr>
        <w:ind w:left="48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July 23, 2003</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David J. Russo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David J. Russo</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Financial Officer and</w:t>
      </w:r>
    </w:p>
    <w:p>
      <w:pPr>
        <w:spacing w:after="0" w:line="237" w:lineRule="auto"/>
        <w:rPr>
          <w:sz w:val="20"/>
          <w:szCs w:val="20"/>
          <w:color w:val="auto"/>
        </w:rPr>
      </w:pPr>
      <w:r>
        <w:rPr>
          <w:rFonts w:ascii="Courier New" w:cs="Courier New" w:eastAsia="Courier New" w:hAnsi="Courier New"/>
          <w:sz w:val="18"/>
          <w:szCs w:val="18"/>
          <w:color w:val="auto"/>
        </w:rPr>
        <w:t>Treasurer</w:t>
      </w:r>
    </w:p>
    <w:p>
      <w:pPr>
        <w:sectPr>
          <w:pgSz w:w="11900" w:h="16838" w:orient="portrait"/>
          <w:cols w:equalWidth="0" w:num="2">
            <w:col w:w="4140" w:space="720"/>
            <w:col w:w="5359"/>
          </w:cols>
          <w:pgMar w:left="240" w:top="244" w:right="1440" w:bottom="1440" w:gutter="0" w:footer="0" w:header="0"/>
          <w:type w:val="continuous"/>
        </w:sectPr>
      </w:pPr>
    </w:p>
    <w:bookmarkStart w:id="1" w:name="page2"/>
    <w:bookmarkEnd w:id="1"/>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 B. Foster Company Reports Improved Second Quarter Results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PITTSBURGH, July 23 /PRNewswire-FirstCall/ -- L.B. Foster Company (Nasdaq: FSTR), a manufacturer, fabricator, and distributor of rail, construction, and tubular products, today reported net income from continuing operations of $1,123,000 ($0.12 per share) in 2003 versus net income from continuing operations of $1,063,000 ($0.11 per share) in the second quarter of 2002.</w:t>
      </w:r>
    </w:p>
    <w:p>
      <w:pPr>
        <w:spacing w:after="0" w:line="210"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Including a net loss from discontinued operations (related to the Company's Foster Technologies subsidiary), the Company reported net income of $1,086,000 ($0.11 per share) for the second quarter of 2003. This compares to second quarter of 2002 net income of $731,000 ($0.08 per share) which included a loss from discontinued operations of $332,000 ($0.03 per share).</w:t>
      </w:r>
    </w:p>
    <w:p>
      <w:pPr>
        <w:spacing w:after="0" w:line="185"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Net sales for the second quarter of 2003 were $75.8 million compared to $70.8 million in 2002, an increase of 7% due principally to an increase in Rail Product sales. Gross margins declined slightly by 0.2 percentage points to 12.1%, while selling and administrative expenses increased $0.3 million or 5% over the same prior year period. The gross profit margin decline was due primarily to lower Construction Segment margins, while the selling and administrative cost increase was due primarily to additions to the sales force and related employee benefits, along with increased risk management costs. Other income declined $0.2 million primarily as a result of the mark-to-market adjustments recorded by the Company related to its interest rate collars. Second quarter interest expense declined 9% from the prior year due principally to an $8.4 million reduction in debt.</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For the six months ended June 30, 2003, the Company reported net income from continuing operations of $1,187,000 ($0.12 per diluted share) versus net income from continuing operations of $1,091,000 ($0.11 per diluted share) for the same period a year ago.</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Including a net loss from discontinued operations of $0.3 million ($0.03 per share), the Company reported net income of $0.9 million ($0.10 per share) for the first six months of 2003. This compares to the first six months of 2002 net loss of $3.9 million ($0.42 per share) which included a loss from discontinued operations of $0.6 million ($0.07 per share) and a non-cash charge of $4.4 million ($0.46 per share) from the cumulative effect of a change in accounting principle as a result of the adoption of Financial Accounting Standards No. 142 "Goodwill and Other Intangible Assets".</w:t>
      </w:r>
    </w:p>
    <w:p>
      <w:pPr>
        <w:spacing w:after="0" w:line="18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Net sales for the six months ended June 30, 2003 were $135.3 million compared to $134.0 million in 2002. Gross margins improved by 0.3 percentage points to 11.9%, while selling and administrative expenses increased $0.5 million or 4% over the same prior year period. The gross profit margin improvement was due primarily to improved Rail Segment margins, while the selling and administrative cost increase was due primarily to additions to the sales force and related employee benefits, along with increased risk management costs. Interest expense declined 11% as a result of the previously mentioned reduction in corporate borrowings.</w:t>
      </w:r>
    </w:p>
    <w:p>
      <w:pPr>
        <w:spacing w:after="0" w:line="21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Cash flow from operations remained positive for the six months ended June 30, 2003, and combined with cash on hand from 2002 was adequate to fund a $2.3 million reduction in corporate borrowings for the period. Capital expenditures for the six months ended June 30, 2003 were $1.3 million as compared to $2.9 million for capital improvements and $2.2 million for the Greulich acquisition in the same period of 2002.</w:t>
      </w:r>
    </w:p>
    <w:p>
      <w:pPr>
        <w:spacing w:after="0" w:line="210"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Company President and CEO Stan Hasselbusch stated, "We are pleased with the performance of our entire Rail group in a market that continues to struggle. Second quarter sales and gross profit are up 10% and 20% respectively when compared to last year. Equally important was Rail's asset management and plant utilization performance, two areas targeted for improvement corporate-wide. Average assets are down $10 million year-to-year and plant contributions are $649,000 more than in 2002." Mr. Hasselbusch continued to say, "Our Tubular Product segment continues to improve over last year and we expect that trend to continue into the second half of 2003."</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Mr. Hasselbusch added, "In our construction markets, a 22% drop off in awarded highway contracts in the first quarter has led to weakness, particularly in Fabricated Products where revenues were down 32%. A large portion of these businesses are dependent upon government infrastructure spending, which has been declining as many states are experiencing budgetary shortfalls. While year-to-date net sales are still below last year, Foster's Piling Division's second quarter sales were stronger than in 2002 because of a consistent supply of sheet piling. We expect Piling Products to outperform 2002 in the second half of 2003.</w:t>
      </w:r>
    </w:p>
    <w:p>
      <w:pPr>
        <w:sectPr>
          <w:pgSz w:w="11900" w:h="16838" w:orient="portrait"/>
          <w:cols w:equalWidth="0" w:num="1">
            <w:col w:w="10219"/>
          </w:cols>
          <w:pgMar w:left="240" w:top="142" w:right="1440" w:bottom="0" w:gutter="0" w:footer="0" w:header="0"/>
        </w:sectPr>
      </w:pPr>
    </w:p>
    <w:bookmarkStart w:id="2" w:name="page3"/>
    <w:bookmarkEnd w:id="2"/>
    <w:p>
      <w:pPr>
        <w:ind w:right="1999" w:firstLine="421"/>
        <w:spacing w:after="0" w:line="236" w:lineRule="auto"/>
        <w:rPr>
          <w:sz w:val="20"/>
          <w:szCs w:val="20"/>
          <w:color w:val="auto"/>
        </w:rPr>
      </w:pPr>
      <w:r>
        <w:rPr>
          <w:rFonts w:ascii="Courier New" w:cs="Courier New" w:eastAsia="Courier New" w:hAnsi="Courier New"/>
          <w:sz w:val="18"/>
          <w:szCs w:val="18"/>
          <w:color w:val="auto"/>
        </w:rPr>
        <w:t>"Finally, in June we began to make tangible progress towards improving our manufacturing operations which we believe will result in improved efficiency levels and improved profitability," concluded Mr. Hasselbusch.</w:t>
      </w:r>
    </w:p>
    <w:p>
      <w:pPr>
        <w:spacing w:after="0" w:line="209"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The Company wishes to caution readers that various factors could cause the actual results of the Company to differ materially from those indicated by forward-looking statements in news releases, and other communications, including oral statements, such as references to future profitability, made from time to time by representatives of the Company. Specific risks and uncertainties that could affect the Company's profitability include, but are not limited to, general economic conditions, adequate funding for infrastructure projects, the Company's ability to obtain special trackwork products and continued availability of existing and new piling products. Matters discussed in such communications are forward-looking statements that involve risks and uncertainties. Sentences containing words such as "anticipates," "expects," or "will," generally should be considered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CONDENSED STATEMENTS OF CONSOLIDATED INCOME</w:t>
      </w:r>
    </w:p>
    <w:p>
      <w:pPr>
        <w:jc w:val="center"/>
        <w:ind w:right="2099"/>
        <w:spacing w:after="0" w:line="238" w:lineRule="auto"/>
        <w:rPr>
          <w:sz w:val="20"/>
          <w:szCs w:val="20"/>
          <w:color w:val="auto"/>
        </w:rPr>
      </w:pPr>
      <w:r>
        <w:rPr>
          <w:rFonts w:ascii="Courier New" w:cs="Courier New" w:eastAsia="Courier New" w:hAnsi="Courier New"/>
          <w:sz w:val="18"/>
          <w:szCs w:val="18"/>
          <w:color w:val="auto"/>
        </w:rPr>
        <w:t>L. B. FOSTER COMPANY AND SUBSIDIARIES</w:t>
      </w:r>
    </w:p>
    <w:tbl>
      <w:tblPr>
        <w:tblLayout w:type="fixed"/>
        <w:tblInd w:w="420" w:type="dxa"/>
        <w:tblCellMar>
          <w:top w:w="0" w:type="dxa"/>
          <w:left w:w="0" w:type="dxa"/>
          <w:bottom w:w="0" w:type="dxa"/>
          <w:right w:w="0" w:type="dxa"/>
        </w:tblCellMar>
      </w:tblPr>
      <w:tr>
        <w:trPr>
          <w:trHeight w:val="203"/>
        </w:trPr>
        <w:tc>
          <w:tcPr>
            <w:tcW w:w="5800" w:type="dxa"/>
            <w:vAlign w:val="bottom"/>
            <w:gridSpan w:val="3"/>
          </w:tcPr>
          <w:p>
            <w:pPr>
              <w:ind w:left="1580"/>
              <w:spacing w:after="0"/>
              <w:rPr>
                <w:sz w:val="20"/>
                <w:szCs w:val="20"/>
                <w:color w:val="auto"/>
              </w:rPr>
            </w:pPr>
            <w:r>
              <w:rPr>
                <w:rFonts w:ascii="Courier New" w:cs="Courier New" w:eastAsia="Courier New" w:hAnsi="Courier New"/>
                <w:sz w:val="18"/>
                <w:szCs w:val="18"/>
                <w:color w:val="auto"/>
                <w:w w:val="97"/>
              </w:rPr>
              <w:t>(In Thousands, Except Per Share Amounts)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5800" w:type="dxa"/>
            <w:vAlign w:val="bottom"/>
            <w:gridSpan w:val="3"/>
          </w:tcPr>
          <w:p>
            <w:pPr>
              <w:ind w:left="3700"/>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90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9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2003</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900" w:type="dxa"/>
            <w:vAlign w:val="bottom"/>
          </w:tcPr>
          <w:p>
            <w:pPr>
              <w:spacing w:after="0"/>
              <w:rPr>
                <w:sz w:val="17"/>
                <w:szCs w:val="17"/>
                <w:color w:val="auto"/>
              </w:rPr>
            </w:pPr>
          </w:p>
        </w:tc>
        <w:tc>
          <w:tcPr>
            <w:tcW w:w="19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$75,796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$70,806</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$135,315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$133,979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62,106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119,186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118,484</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Selling and administrative expenses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6,518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13,397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12,891</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1,307</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39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73,954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69,027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133,366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132,172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INCOME TAXES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1,807</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719</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716</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716</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BEFORE CUMULATIVE EFFECT OF CHANGE</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 OF FOSTER</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TECHNOLOGIES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DISCONTINUED OPERATIONS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 NET OF TAX</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$1,086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($3,948)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 BEFORE</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OF TAX</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 NET OF TAX</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BASIC EARNINGS (LOSS) PER SHARE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 BEFORE</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OF TAX</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 NET OF TAX</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DILUTED EARNINGS (LOSS) PER SHARE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AVERAGE NUMBER OF COMMON SHARES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9,568</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9,495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9,468</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AVERAGE NUMBER OF COMMON SHARES</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 DILUTED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9,671</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9,722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9,692</w:t>
            </w:r>
          </w:p>
        </w:tc>
      </w:tr>
      <w:tr>
        <w:trPr>
          <w:trHeight w:val="608"/>
        </w:trPr>
        <w:tc>
          <w:tcPr>
            <w:tcW w:w="6020" w:type="dxa"/>
            <w:vAlign w:val="bottom"/>
            <w:gridSpan w:val="3"/>
          </w:tcPr>
          <w:p>
            <w:pPr>
              <w:ind w:left="1900"/>
              <w:spacing w:after="0"/>
              <w:rPr>
                <w:sz w:val="20"/>
                <w:szCs w:val="20"/>
                <w:color w:val="auto"/>
              </w:rPr>
            </w:pPr>
            <w:r>
              <w:rPr>
                <w:rFonts w:ascii="Courier New" w:cs="Courier New" w:eastAsia="Courier New" w:hAnsi="Courier New"/>
                <w:sz w:val="18"/>
                <w:szCs w:val="18"/>
                <w:color w:val="auto"/>
              </w:rPr>
              <w:t>L. B. Foster Company and Subsidiaries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020" w:type="dxa"/>
            <w:vAlign w:val="bottom"/>
            <w:gridSpan w:val="3"/>
          </w:tcPr>
          <w:p>
            <w:pPr>
              <w:ind w:left="2540"/>
              <w:spacing w:after="0" w:line="203" w:lineRule="exact"/>
              <w:rPr>
                <w:sz w:val="20"/>
                <w:szCs w:val="20"/>
                <w:color w:val="auto"/>
              </w:rPr>
            </w:pPr>
            <w:r>
              <w:rPr>
                <w:rFonts w:ascii="Courier New" w:cs="Courier New" w:eastAsia="Courier New" w:hAnsi="Courier New"/>
                <w:sz w:val="18"/>
                <w:szCs w:val="18"/>
                <w:color w:val="auto"/>
              </w:rPr>
              <w:t>Consolidated Balance Sheet</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gridSpan w:val="2"/>
          </w:tcPr>
          <w:p>
            <w:pPr>
              <w:ind w:left="3480"/>
              <w:spacing w:after="0" w:line="203" w:lineRule="exact"/>
              <w:rPr>
                <w:sz w:val="20"/>
                <w:szCs w:val="20"/>
                <w:color w:val="auto"/>
              </w:rPr>
            </w:pPr>
            <w:r>
              <w:rPr>
                <w:rFonts w:ascii="Courier New" w:cs="Courier New" w:eastAsia="Courier New" w:hAnsi="Courier New"/>
                <w:sz w:val="18"/>
                <w:szCs w:val="18"/>
                <w:color w:val="auto"/>
              </w:rPr>
              <w:t>($ 000's)</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2003</w:t>
            </w:r>
          </w:p>
        </w:tc>
        <w:tc>
          <w:tcPr>
            <w:tcW w:w="6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6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items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$2,319</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$3,653</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and notes receivable:</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Trade</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44,047</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39,294</w:t>
            </w:r>
          </w:p>
        </w:tc>
      </w:tr>
      <w:tr>
        <w:trPr>
          <w:trHeight w:val="203"/>
        </w:trPr>
        <w:tc>
          <w:tcPr>
            <w:tcW w:w="4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40,690</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32,925</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deferred tax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1,494</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1,122</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assets of discontinued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4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89,826</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78,269</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OTHER ASSETS: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Property, plant &amp; equipment - net</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34,993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36,083</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Goodwill</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intangibles - net</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739</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13,213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12,718</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4,436</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4,454</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1,026</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1,175</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Assets of discontinued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54,682</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55,715</w:t>
            </w:r>
          </w:p>
        </w:tc>
      </w:tr>
      <w:tr>
        <w:trPr>
          <w:trHeight w:val="405"/>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$144,508</w:t>
            </w:r>
          </w:p>
        </w:tc>
        <w:tc>
          <w:tcPr>
            <w:tcW w:w="6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$133,984</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LIABILITIES AND STOCKHOLDERS'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maturities of long-term</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debt</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$805</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payable-trade and other</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34,354</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24,094</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payroll and employee</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benefits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2,602</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deferred tax liabilities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1,474</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1,474</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3,591</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2,695</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 of discontinued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4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43,029</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31,575</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LONG-TERM BORROWINGS</w:t>
            </w:r>
          </w:p>
        </w:tc>
        <w:tc>
          <w:tcPr>
            <w:tcW w:w="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21,000</w:t>
            </w:r>
          </w:p>
        </w:tc>
        <w:tc>
          <w:tcPr>
            <w:tcW w:w="6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23,000</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LONG-TERM DEBT</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3,712</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3,991</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4,195</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4,195</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5,313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5,210</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STOCKHOLDERS' EQUITY:</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Paid-in Capital</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35,013</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35,143</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36,128</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35,208</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Treasury Stock</w:t>
            </w:r>
          </w:p>
        </w:tc>
        <w:tc>
          <w:tcPr>
            <w:tcW w:w="6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(3,253)</w:t>
            </w:r>
          </w:p>
        </w:tc>
        <w:tc>
          <w:tcPr>
            <w:tcW w:w="6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(3,629)</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Other Comprehensive</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w:t>
            </w:r>
          </w:p>
        </w:tc>
        <w:tc>
          <w:tcPr>
            <w:tcW w:w="6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w:t>
            </w:r>
          </w:p>
        </w:tc>
        <w:tc>
          <w:tcPr>
            <w:tcW w:w="6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(811)</w:t>
            </w:r>
          </w:p>
        </w:tc>
      </w:tr>
      <w:tr>
        <w:trPr>
          <w:trHeight w:val="203"/>
        </w:trPr>
        <w:tc>
          <w:tcPr>
            <w:tcW w:w="4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67,259</w:t>
            </w:r>
          </w:p>
        </w:tc>
        <w:tc>
          <w:tcPr>
            <w:tcW w:w="6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66,013</w:t>
            </w:r>
          </w:p>
        </w:tc>
      </w:tr>
      <w:tr>
        <w:trPr>
          <w:trHeight w:val="405"/>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$144,508</w:t>
            </w:r>
          </w:p>
        </w:tc>
        <w:tc>
          <w:tcPr>
            <w:tcW w:w="6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$133,984</w:t>
            </w:r>
          </w:p>
        </w:tc>
      </w:tr>
    </w:tbl>
    <w:p>
      <w:pPr>
        <w:spacing w:after="0" w:line="1" w:lineRule="exact"/>
        <w:rPr>
          <w:sz w:val="20"/>
          <w:szCs w:val="20"/>
          <w:color w:val="auto"/>
        </w:rPr>
      </w:pP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2019-12-13T10:29:35Z</dcterms:created>
  <dcterms:modified xsi:type="dcterms:W3CDTF">2019-12-13T10:29:35Z</dcterms:modified>
</cp:coreProperties>
</file>