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 w:lineRule="exact"/>
        <w:rPr>
          <w:sz w:val="24"/>
          <w:szCs w:val="24"/>
          <w:color w:val="auto"/>
        </w:rPr>
      </w:pPr>
    </w:p>
    <w:p>
      <w:pPr>
        <w:ind w:left="920" w:hanging="588"/>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 (d) of the Securities Exchange Act of 1934</w:t>
      </w:r>
    </w:p>
    <w:p>
      <w:pPr>
        <w:spacing w:after="0" w:line="76"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920" w:hanging="588"/>
        <w:spacing w:after="0"/>
        <w:tabs>
          <w:tab w:leader="none" w:pos="9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00"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87" w:lineRule="exact"/>
        <w:rPr>
          <w:sz w:val="24"/>
          <w:szCs w:val="24"/>
          <w:color w:val="auto"/>
        </w:rPr>
      </w:pPr>
    </w:p>
    <w:p>
      <w:pPr>
        <w:sectPr>
          <w:pgSz w:w="11900" w:h="16838" w:orient="portrait"/>
          <w:cols w:equalWidth="0" w:num="2">
            <w:col w:w="3440" w:space="720"/>
            <w:col w:w="72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0-10436</w:t>
      </w:r>
    </w:p>
    <w:p>
      <w:pPr>
        <w:sectPr>
          <w:pgSz w:w="11900" w:h="16838" w:orient="portrait"/>
          <w:cols w:equalWidth="0" w:num="1">
            <w:col w:w="11420"/>
          </w:cols>
          <w:pgMar w:left="240" w:top="230" w:right="239" w:bottom="1440" w:gutter="0" w:footer="0" w:header="0"/>
          <w:type w:val="continuous"/>
        </w:sectPr>
      </w:pPr>
    </w:p>
    <w:p>
      <w:pPr>
        <w:spacing w:after="0" w:line="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L.B. FOSTER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7"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4900" w:type="dxa"/>
            <w:vAlign w:val="bottom"/>
          </w:tcPr>
          <w:p>
            <w:pPr>
              <w:jc w:val="center"/>
              <w:ind w:right="1482"/>
              <w:spacing w:after="0"/>
              <w:rPr>
                <w:sz w:val="20"/>
                <w:szCs w:val="20"/>
                <w:color w:val="auto"/>
              </w:rPr>
            </w:pPr>
            <w:r>
              <w:rPr>
                <w:rFonts w:ascii="Arial" w:cs="Arial" w:eastAsia="Arial" w:hAnsi="Arial"/>
                <w:sz w:val="18"/>
                <w:szCs w:val="18"/>
                <w:b w:val="1"/>
                <w:bCs w:val="1"/>
                <w:color w:val="auto"/>
                <w:w w:val="85"/>
              </w:rPr>
              <w:t>Pennsylvania</w:t>
            </w:r>
          </w:p>
        </w:tc>
        <w:tc>
          <w:tcPr>
            <w:tcW w:w="3500" w:type="dxa"/>
            <w:vAlign w:val="bottom"/>
          </w:tcPr>
          <w:p>
            <w:pPr>
              <w:jc w:val="right"/>
              <w:ind w:right="462"/>
              <w:spacing w:after="0"/>
              <w:rPr>
                <w:sz w:val="20"/>
                <w:szCs w:val="20"/>
                <w:color w:val="auto"/>
              </w:rPr>
            </w:pPr>
            <w:r>
              <w:rPr>
                <w:rFonts w:ascii="Arial" w:cs="Arial" w:eastAsia="Arial" w:hAnsi="Arial"/>
                <w:sz w:val="18"/>
                <w:szCs w:val="18"/>
                <w:b w:val="1"/>
                <w:bCs w:val="1"/>
                <w:color w:val="auto"/>
              </w:rPr>
              <w:t>25-1324733</w:t>
            </w:r>
          </w:p>
        </w:tc>
      </w:tr>
      <w:tr>
        <w:trPr>
          <w:trHeight w:val="145"/>
        </w:trPr>
        <w:tc>
          <w:tcPr>
            <w:tcW w:w="4900" w:type="dxa"/>
            <w:vAlign w:val="bottom"/>
          </w:tcPr>
          <w:p>
            <w:pPr>
              <w:jc w:val="center"/>
              <w:ind w:right="1482"/>
              <w:spacing w:after="0" w:line="145" w:lineRule="exact"/>
              <w:rPr>
                <w:sz w:val="20"/>
                <w:szCs w:val="20"/>
                <w:color w:val="auto"/>
              </w:rPr>
            </w:pPr>
            <w:r>
              <w:rPr>
                <w:rFonts w:ascii="Arial" w:cs="Arial" w:eastAsia="Arial" w:hAnsi="Arial"/>
                <w:sz w:val="14"/>
                <w:szCs w:val="14"/>
                <w:i w:val="1"/>
                <w:iCs w:val="1"/>
                <w:color w:val="auto"/>
                <w:w w:val="90"/>
              </w:rPr>
              <w:t>(State of Incorporation)</w:t>
            </w:r>
          </w:p>
        </w:tc>
        <w:tc>
          <w:tcPr>
            <w:tcW w:w="3500" w:type="dxa"/>
            <w:vAlign w:val="bottom"/>
          </w:tcPr>
          <w:p>
            <w:pPr>
              <w:jc w:val="center"/>
              <w:ind w:left="1482"/>
              <w:spacing w:after="0" w:line="145" w:lineRule="exact"/>
              <w:rPr>
                <w:sz w:val="20"/>
                <w:szCs w:val="20"/>
                <w:color w:val="auto"/>
              </w:rPr>
            </w:pPr>
            <w:r>
              <w:rPr>
                <w:rFonts w:ascii="Arial" w:cs="Arial" w:eastAsia="Arial" w:hAnsi="Arial"/>
                <w:sz w:val="14"/>
                <w:szCs w:val="14"/>
                <w:i w:val="1"/>
                <w:iCs w:val="1"/>
                <w:color w:val="auto"/>
                <w:w w:val="89"/>
              </w:rPr>
              <w:t>(I.R.S. Employer Identification No.)</w:t>
            </w:r>
          </w:p>
        </w:tc>
      </w:tr>
      <w:tr>
        <w:trPr>
          <w:trHeight w:val="220"/>
        </w:trPr>
        <w:tc>
          <w:tcPr>
            <w:tcW w:w="4900" w:type="dxa"/>
            <w:vAlign w:val="bottom"/>
          </w:tcPr>
          <w:p>
            <w:pPr>
              <w:jc w:val="center"/>
              <w:ind w:right="1482"/>
              <w:spacing w:after="0"/>
              <w:rPr>
                <w:sz w:val="20"/>
                <w:szCs w:val="20"/>
                <w:color w:val="auto"/>
              </w:rPr>
            </w:pPr>
            <w:r>
              <w:rPr>
                <w:rFonts w:ascii="Arial" w:cs="Arial" w:eastAsia="Arial" w:hAnsi="Arial"/>
                <w:sz w:val="18"/>
                <w:szCs w:val="18"/>
                <w:b w:val="1"/>
                <w:bCs w:val="1"/>
                <w:color w:val="auto"/>
                <w:w w:val="89"/>
              </w:rPr>
              <w:t>415 Holiday Drive, Pittsburgh, Pennsylvania</w:t>
            </w:r>
          </w:p>
        </w:tc>
        <w:tc>
          <w:tcPr>
            <w:tcW w:w="3500" w:type="dxa"/>
            <w:vAlign w:val="bottom"/>
          </w:tcPr>
          <w:p>
            <w:pPr>
              <w:jc w:val="right"/>
              <w:ind w:right="662"/>
              <w:spacing w:after="0"/>
              <w:rPr>
                <w:sz w:val="20"/>
                <w:szCs w:val="20"/>
                <w:color w:val="auto"/>
              </w:rPr>
            </w:pPr>
            <w:r>
              <w:rPr>
                <w:rFonts w:ascii="Arial" w:cs="Arial" w:eastAsia="Arial" w:hAnsi="Arial"/>
                <w:sz w:val="18"/>
                <w:szCs w:val="18"/>
                <w:b w:val="1"/>
                <w:bCs w:val="1"/>
                <w:color w:val="auto"/>
              </w:rPr>
              <w:t>15220</w:t>
            </w:r>
          </w:p>
        </w:tc>
      </w:tr>
      <w:tr>
        <w:trPr>
          <w:trHeight w:val="172"/>
        </w:trPr>
        <w:tc>
          <w:tcPr>
            <w:tcW w:w="4900" w:type="dxa"/>
            <w:vAlign w:val="bottom"/>
          </w:tcPr>
          <w:p>
            <w:pPr>
              <w:jc w:val="center"/>
              <w:ind w:right="1482"/>
              <w:spacing w:after="0"/>
              <w:rPr>
                <w:sz w:val="20"/>
                <w:szCs w:val="20"/>
                <w:color w:val="auto"/>
              </w:rPr>
            </w:pPr>
            <w:r>
              <w:rPr>
                <w:rFonts w:ascii="Arial" w:cs="Arial" w:eastAsia="Arial" w:hAnsi="Arial"/>
                <w:sz w:val="14"/>
                <w:szCs w:val="14"/>
                <w:i w:val="1"/>
                <w:iCs w:val="1"/>
                <w:color w:val="auto"/>
                <w:w w:val="87"/>
              </w:rPr>
              <w:t>(Address of principal executive offices)</w:t>
            </w:r>
          </w:p>
        </w:tc>
        <w:tc>
          <w:tcPr>
            <w:tcW w:w="3500" w:type="dxa"/>
            <w:vAlign w:val="bottom"/>
          </w:tcPr>
          <w:p>
            <w:pPr>
              <w:jc w:val="center"/>
              <w:ind w:left="1482"/>
              <w:spacing w:after="0"/>
              <w:rPr>
                <w:sz w:val="20"/>
                <w:szCs w:val="20"/>
                <w:color w:val="auto"/>
              </w:rPr>
            </w:pPr>
            <w:r>
              <w:rPr>
                <w:rFonts w:ascii="Arial" w:cs="Arial" w:eastAsia="Arial" w:hAnsi="Arial"/>
                <w:sz w:val="14"/>
                <w:szCs w:val="14"/>
                <w:i w:val="1"/>
                <w:iCs w:val="1"/>
                <w:color w:val="auto"/>
                <w:w w:val="87"/>
              </w:rPr>
              <w:t>(Zip Code)</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(412) 928-3400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230" w:right="239" w:bottom="1440" w:gutter="0" w:footer="0" w:header="0"/>
          <w:type w:val="continuous"/>
        </w:sectPr>
      </w:pPr>
    </w:p>
    <w:p>
      <w:pPr>
        <w:spacing w:after="0" w:line="65" w:lineRule="exact"/>
        <w:rPr>
          <w:sz w:val="24"/>
          <w:szCs w:val="24"/>
          <w:color w:val="auto"/>
        </w:rPr>
      </w:pPr>
    </w:p>
    <w:p>
      <w:pPr>
        <w:ind w:left="236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36" w:lineRule="exact"/>
        <w:rPr>
          <w:sz w:val="24"/>
          <w:szCs w:val="24"/>
          <w:color w:val="auto"/>
        </w:rPr>
      </w:pPr>
    </w:p>
    <w:p>
      <w:pPr>
        <w:sectPr>
          <w:pgSz w:w="11900" w:h="16838" w:orient="portrait"/>
          <w:cols w:equalWidth="0" w:num="2">
            <w:col w:w="6580" w:space="720"/>
            <w:col w:w="4120"/>
          </w:cols>
          <w:pgMar w:left="240" w:top="230" w:right="239" w:bottom="1440" w:gutter="0" w:footer="0" w:header="0"/>
          <w:type w:val="continuous"/>
        </w:sectPr>
      </w:pPr>
    </w:p>
    <w:p>
      <w:pPr>
        <w:ind w:left="1740"/>
        <w:spacing w:after="0"/>
        <w:rPr>
          <w:sz w:val="20"/>
          <w:szCs w:val="20"/>
          <w:color w:val="auto"/>
        </w:rPr>
      </w:pPr>
      <w:r>
        <w:rPr>
          <w:rFonts w:ascii="Arial" w:cs="Arial" w:eastAsia="Arial" w:hAnsi="Arial"/>
          <w:sz w:val="15"/>
          <w:szCs w:val="15"/>
          <w:color w:val="auto"/>
        </w:rPr>
        <w:t>Common Stock, Par Value $0.01</w:t>
      </w:r>
    </w:p>
    <w:p>
      <w:pPr>
        <w:spacing w:after="0" w:line="29" w:lineRule="exact"/>
        <w:rPr>
          <w:sz w:val="24"/>
          <w:szCs w:val="24"/>
          <w:color w:val="auto"/>
        </w:rPr>
      </w:pPr>
    </w:p>
    <w:p>
      <w:pPr>
        <w:ind w:left="1760"/>
        <w:spacing w:after="0"/>
        <w:rPr>
          <w:sz w:val="20"/>
          <w:szCs w:val="20"/>
          <w:color w:val="auto"/>
        </w:rPr>
      </w:pPr>
      <w:r>
        <w:rPr>
          <w:rFonts w:ascii="Arial" w:cs="Arial" w:eastAsia="Arial" w:hAnsi="Arial"/>
          <w:sz w:val="15"/>
          <w:szCs w:val="15"/>
          <w:color w:val="auto"/>
        </w:rPr>
        <w:t>Preferred Stock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NASDAQ Global Select Market</w:t>
      </w:r>
    </w:p>
    <w:p>
      <w:pPr>
        <w:spacing w:after="0" w:line="101" w:lineRule="exact"/>
        <w:rPr>
          <w:sz w:val="24"/>
          <w:szCs w:val="24"/>
          <w:color w:val="auto"/>
        </w:rPr>
      </w:pPr>
    </w:p>
    <w:p>
      <w:pPr>
        <w:sectPr>
          <w:pgSz w:w="11900" w:h="16838" w:orient="portrait"/>
          <w:cols w:equalWidth="0" w:num="2">
            <w:col w:w="6800" w:space="720"/>
            <w:col w:w="39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230" w:right="239" w:bottom="1440" w:gutter="0" w:footer="0" w:header="0"/>
          <w:type w:val="continuous"/>
        </w:sectPr>
      </w:pPr>
    </w:p>
    <w:p>
      <w:pPr>
        <w:spacing w:after="0" w:line="4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7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0" w:lineRule="exact"/>
        <w:rPr>
          <w:sz w:val="24"/>
          <w:szCs w:val="24"/>
          <w:color w:val="auto"/>
        </w:rPr>
      </w:pPr>
    </w:p>
    <w:p>
      <w:pPr>
        <w:sectPr>
          <w:pgSz w:w="11900" w:h="16838" w:orient="portrait"/>
          <w:cols w:equalWidth="0" w:num="3">
            <w:col w:w="8700" w:space="180"/>
            <w:col w:w="500" w:space="340"/>
            <w:col w:w="1700"/>
          </w:cols>
          <w:pgMar w:left="240" w:top="230" w:right="239" w:bottom="1440" w:gutter="0" w:footer="0" w:header="0"/>
          <w:type w:val="continuous"/>
        </w:sectPr>
      </w:pPr>
    </w:p>
    <w:p>
      <w:pPr>
        <w:spacing w:after="0" w:line="1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73" w:lineRule="exact"/>
        <w:rPr>
          <w:sz w:val="24"/>
          <w:szCs w:val="24"/>
          <w:color w:val="auto"/>
        </w:rPr>
      </w:pPr>
    </w:p>
    <w:p>
      <w:pPr>
        <w:sectPr>
          <w:pgSz w:w="11900" w:h="16838" w:orient="portrait"/>
          <w:cols w:equalWidth="0" w:num="5">
            <w:col w:w="9020" w:space="180"/>
            <w:col w:w="160" w:space="80"/>
            <w:col w:w="260" w:space="340"/>
            <w:col w:w="160" w:space="100"/>
            <w:col w:w="1120"/>
          </w:cols>
          <w:pgMar w:left="240" w:top="230" w:right="239" w:bottom="1440" w:gutter="0" w:footer="0" w:header="0"/>
          <w:type w:val="continuous"/>
        </w:sect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jc w:val="both"/>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220" w:firstLine="456"/>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420"/>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12" w:lineRule="exact"/>
        <w:rPr>
          <w:sz w:val="24"/>
          <w:szCs w:val="24"/>
          <w:color w:val="auto"/>
        </w:rPr>
      </w:pPr>
    </w:p>
    <w:p>
      <w:pPr>
        <w:sectPr>
          <w:pgSz w:w="11900" w:h="16838" w:orient="portrait"/>
          <w:cols w:equalWidth="0" w:num="7">
            <w:col w:w="1580" w:space="100"/>
            <w:col w:w="600" w:space="720"/>
            <w:col w:w="1160" w:space="100"/>
            <w:col w:w="940" w:space="720"/>
            <w:col w:w="3260" w:space="60"/>
            <w:col w:w="1940" w:space="80"/>
            <w:col w:w="16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84" w:lineRule="exact"/>
        <w:rPr>
          <w:sz w:val="24"/>
          <w:szCs w:val="24"/>
          <w:color w:val="auto"/>
        </w:rPr>
      </w:pPr>
    </w:p>
    <w:p>
      <w:pPr>
        <w:sectPr>
          <w:pgSz w:w="11900" w:h="16838" w:orient="portrait"/>
          <w:cols w:equalWidth="0" w:num="5">
            <w:col w:w="8440" w:space="160"/>
            <w:col w:w="160" w:space="80"/>
            <w:col w:w="260" w:space="220"/>
            <w:col w:w="160" w:space="100"/>
            <w:col w:w="1840"/>
          </w:cols>
          <w:pgMar w:left="240" w:top="230" w:right="239" w:bottom="1440" w:gutter="0" w:footer="0" w:header="0"/>
          <w:type w:val="continuous"/>
        </w:sectPr>
      </w:pPr>
    </w:p>
    <w:p>
      <w:pPr>
        <w:ind w:right="220" w:firstLine="456"/>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$338,114,276.</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ectPr>
          <w:pgSz w:w="11900" w:h="16838" w:orient="portrait"/>
          <w:cols w:equalWidth="0" w:num="1">
            <w:col w:w="11420"/>
          </w:cols>
          <w:pgMar w:left="240" w:top="230" w:right="239" w:bottom="1440" w:gutter="0" w:footer="0" w:header="0"/>
          <w:type w:val="continuous"/>
        </w:sectPr>
      </w:pPr>
    </w:p>
    <w:p>
      <w:pPr>
        <w:spacing w:after="0" w:line="86" w:lineRule="exact"/>
        <w:rPr>
          <w:sz w:val="24"/>
          <w:szCs w:val="24"/>
          <w:color w:val="auto"/>
        </w:rPr>
      </w:pPr>
    </w:p>
    <w:p>
      <w:pPr>
        <w:ind w:left="2740"/>
        <w:spacing w:after="0"/>
        <w:rPr>
          <w:sz w:val="20"/>
          <w:szCs w:val="20"/>
          <w:color w:val="auto"/>
        </w:rPr>
      </w:pPr>
      <w:r>
        <w:rPr>
          <w:rFonts w:ascii="Arial" w:cs="Arial" w:eastAsia="Arial" w:hAnsi="Arial"/>
          <w:sz w:val="11"/>
          <w:szCs w:val="11"/>
          <w:b w:val="1"/>
          <w:bCs w:val="1"/>
          <w:color w:val="auto"/>
        </w:rPr>
        <w:t>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Outstanding at February 23, 2016</w:t>
      </w:r>
    </w:p>
    <w:p>
      <w:pPr>
        <w:spacing w:after="0" w:line="36" w:lineRule="exact"/>
        <w:rPr>
          <w:sz w:val="24"/>
          <w:szCs w:val="24"/>
          <w:color w:val="auto"/>
        </w:rPr>
      </w:pPr>
    </w:p>
    <w:p>
      <w:pPr>
        <w:sectPr>
          <w:pgSz w:w="11900" w:h="16838" w:orient="portrait"/>
          <w:cols w:equalWidth="0" w:num="2">
            <w:col w:w="6960" w:space="720"/>
            <w:col w:w="3740"/>
          </w:cols>
          <w:pgMar w:left="240" w:top="230" w:right="239" w:bottom="1440" w:gutter="0" w:footer="0" w:header="0"/>
          <w:type w:val="continuous"/>
        </w:sectPr>
      </w:pPr>
    </w:p>
    <w:p>
      <w:pPr>
        <w:ind w:left="1740"/>
        <w:spacing w:after="0"/>
        <w:rPr>
          <w:sz w:val="20"/>
          <w:szCs w:val="20"/>
          <w:color w:val="auto"/>
        </w:rPr>
      </w:pPr>
      <w:r>
        <w:rPr>
          <w:rFonts w:ascii="Arial" w:cs="Arial" w:eastAsia="Arial" w:hAnsi="Arial"/>
          <w:sz w:val="15"/>
          <w:szCs w:val="15"/>
          <w:color w:val="auto"/>
        </w:rPr>
        <w:t>Common Stock, Par Value $0.01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10,232,471 shares</w:t>
      </w:r>
    </w:p>
    <w:p>
      <w:pPr>
        <w:spacing w:after="0" w:line="63" w:lineRule="exact"/>
        <w:rPr>
          <w:sz w:val="24"/>
          <w:szCs w:val="24"/>
          <w:color w:val="auto"/>
        </w:rPr>
      </w:pPr>
    </w:p>
    <w:p>
      <w:pPr>
        <w:sectPr>
          <w:pgSz w:w="11900" w:h="16838" w:orient="portrait"/>
          <w:cols w:equalWidth="0" w:num="2">
            <w:col w:w="7300" w:space="720"/>
            <w:col w:w="340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Documents Incorporated by Reference:</w:t>
      </w:r>
    </w:p>
    <w:p>
      <w:pPr>
        <w:sectPr>
          <w:pgSz w:w="11900" w:h="16838" w:orient="portrait"/>
          <w:cols w:equalWidth="0" w:num="1">
            <w:col w:w="11420"/>
          </w:cols>
          <w:pgMar w:left="240" w:top="230" w:right="239" w:bottom="1440" w:gutter="0" w:footer="0" w:header="0"/>
          <w:type w:val="continuous"/>
        </w:sectPr>
      </w:pPr>
    </w:p>
    <w:p>
      <w:pPr>
        <w:spacing w:after="0" w:line="125" w:lineRule="exact"/>
        <w:rPr>
          <w:sz w:val="24"/>
          <w:szCs w:val="24"/>
          <w:color w:val="auto"/>
        </w:rPr>
      </w:pPr>
    </w:p>
    <w:p>
      <w:pPr>
        <w:ind w:left="460"/>
        <w:spacing w:after="0"/>
        <w:rPr>
          <w:sz w:val="20"/>
          <w:szCs w:val="20"/>
          <w:color w:val="auto"/>
        </w:rPr>
      </w:pPr>
      <w:r>
        <w:rPr>
          <w:rFonts w:ascii="Arial" w:cs="Arial" w:eastAsia="Arial" w:hAnsi="Arial"/>
          <w:sz w:val="15"/>
          <w:szCs w:val="15"/>
          <w:color w:val="auto"/>
        </w:rPr>
        <w:t>Portions of the Proxy Statement prepared for the 2016 Annual Meeting of Shareholders are incorporated by reference in Items 10, 11, 12, 13 and 14 of Part</w:t>
      </w:r>
    </w:p>
    <w:p>
      <w:pPr>
        <w:spacing w:after="0" w:line="50" w:lineRule="exact"/>
        <w:rPr>
          <w:sz w:val="24"/>
          <w:szCs w:val="24"/>
          <w:color w:val="auto"/>
        </w:rPr>
      </w:pPr>
    </w:p>
    <w:p>
      <w:pPr>
        <w:ind w:right="80" w:firstLine="8"/>
        <w:spacing w:after="0" w:line="261" w:lineRule="auto"/>
        <w:tabs>
          <w:tab w:leader="none" w:pos="219" w:val="left"/>
        </w:tabs>
        <w:numPr>
          <w:ilvl w:val="0"/>
          <w:numId w:val="3"/>
        </w:numPr>
        <w:rPr>
          <w:rFonts w:ascii="Arial" w:cs="Arial" w:eastAsia="Arial" w:hAnsi="Arial"/>
          <w:sz w:val="18"/>
          <w:szCs w:val="18"/>
          <w:color w:val="auto"/>
        </w:rPr>
      </w:pPr>
      <w:r>
        <w:rPr>
          <w:rFonts w:ascii="Arial" w:cs="Arial" w:eastAsia="Arial" w:hAnsi="Arial"/>
          <w:sz w:val="18"/>
          <w:szCs w:val="18"/>
          <w:color w:val="auto"/>
        </w:rPr>
        <w:t>of this Form 10-K. The 2016 Proxy Statement will be filed with the U.S. Securities and Exchange Commission within 120 days after the end of the fiscal year to which this report relates.</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8"/>
          </w:tcPr>
          <w:p>
            <w:pPr>
              <w:jc w:val="center"/>
              <w:ind w:right="2660"/>
              <w:spacing w:after="0"/>
              <w:rPr>
                <w:sz w:val="20"/>
                <w:szCs w:val="20"/>
                <w:color w:val="auto"/>
              </w:rPr>
            </w:pPr>
            <w:r>
              <w:rPr>
                <w:rFonts w:ascii="Arial" w:cs="Arial" w:eastAsia="Arial" w:hAnsi="Arial"/>
                <w:sz w:val="18"/>
                <w:szCs w:val="18"/>
                <w:b w:val="1"/>
                <w:bCs w:val="1"/>
                <w:color w:val="auto"/>
                <w:w w:val="96"/>
              </w:rPr>
              <w:t>TABLE OF CONTENTS</w:t>
            </w:r>
          </w:p>
        </w:tc>
        <w:tc>
          <w:tcPr>
            <w:tcW w:w="1360" w:type="dxa"/>
            <w:vAlign w:val="bottom"/>
          </w:tcPr>
          <w:p>
            <w:pPr>
              <w:spacing w:after="0"/>
              <w:rPr>
                <w:sz w:val="19"/>
                <w:szCs w:val="19"/>
                <w:color w:val="auto"/>
              </w:rPr>
            </w:pPr>
          </w:p>
        </w:tc>
      </w:tr>
      <w:tr>
        <w:trPr>
          <w:trHeight w:val="412"/>
        </w:trPr>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6"/>
          </w:tcPr>
          <w:p>
            <w:pPr>
              <w:jc w:val="center"/>
              <w:ind w:right="3780"/>
              <w:spacing w:after="0"/>
              <w:rPr>
                <w:sz w:val="20"/>
                <w:szCs w:val="20"/>
                <w:color w:val="auto"/>
              </w:rPr>
            </w:pPr>
            <w:r>
              <w:rPr>
                <w:rFonts w:ascii="Arial" w:cs="Arial" w:eastAsia="Arial" w:hAnsi="Arial"/>
                <w:sz w:val="18"/>
                <w:szCs w:val="18"/>
                <w:b w:val="1"/>
                <w:bCs w:val="1"/>
                <w:color w:val="auto"/>
                <w:w w:val="98"/>
              </w:rPr>
              <w:t>PART I</w:t>
            </w:r>
          </w:p>
        </w:tc>
        <w:tc>
          <w:tcPr>
            <w:tcW w:w="1360" w:type="dxa"/>
            <w:vAlign w:val="bottom"/>
          </w:tcPr>
          <w:p>
            <w:pPr>
              <w:spacing w:after="0"/>
              <w:rPr>
                <w:sz w:val="24"/>
                <w:szCs w:val="24"/>
                <w:color w:val="auto"/>
              </w:rPr>
            </w:pPr>
          </w:p>
        </w:tc>
      </w:tr>
      <w:tr>
        <w:trPr>
          <w:trHeight w:val="184"/>
        </w:trPr>
        <w:tc>
          <w:tcPr>
            <w:tcW w:w="9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9060" w:type="dxa"/>
            <w:vAlign w:val="bottom"/>
            <w:gridSpan w:val="20"/>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4</w:t>
            </w:r>
          </w:p>
        </w:tc>
      </w:tr>
      <w:tr>
        <w:trPr>
          <w:trHeight w:val="20"/>
        </w:trPr>
        <w:tc>
          <w:tcPr>
            <w:tcW w:w="9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6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9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Unresolved Staff Comments</w:t>
              </w:r>
            </w:hyperlink>
          </w:p>
        </w:tc>
        <w:tc>
          <w:tcPr>
            <w:tcW w:w="7060" w:type="dxa"/>
            <w:vAlign w:val="bottom"/>
            <w:gridSpan w:val="11"/>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Properties</w:t>
              </w:r>
            </w:hyperlink>
          </w:p>
        </w:tc>
        <w:tc>
          <w:tcPr>
            <w:tcW w:w="8340" w:type="dxa"/>
            <w:vAlign w:val="bottom"/>
            <w:gridSpan w:val="1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06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9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06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390"/>
        </w:trPr>
        <w:tc>
          <w:tcPr>
            <w:tcW w:w="9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6"/>
          </w:tcPr>
          <w:p>
            <w:pPr>
              <w:jc w:val="center"/>
              <w:ind w:right="3800"/>
              <w:spacing w:after="0"/>
              <w:rPr>
                <w:sz w:val="20"/>
                <w:szCs w:val="20"/>
                <w:color w:val="auto"/>
              </w:rPr>
            </w:pPr>
            <w:r>
              <w:rPr>
                <w:rFonts w:ascii="Arial" w:cs="Arial" w:eastAsia="Arial" w:hAnsi="Arial"/>
                <w:sz w:val="18"/>
                <w:szCs w:val="18"/>
                <w:b w:val="1"/>
                <w:bCs w:val="1"/>
                <w:color w:val="auto"/>
                <w:w w:val="99"/>
              </w:rPr>
              <w:t>PART II</w:t>
            </w:r>
          </w:p>
        </w:tc>
        <w:tc>
          <w:tcPr>
            <w:tcW w:w="1360" w:type="dxa"/>
            <w:vAlign w:val="bottom"/>
          </w:tcPr>
          <w:p>
            <w:pPr>
              <w:spacing w:after="0"/>
              <w:rPr>
                <w:sz w:val="24"/>
                <w:szCs w:val="24"/>
                <w:color w:val="auto"/>
              </w:rPr>
            </w:pPr>
          </w:p>
        </w:tc>
      </w:tr>
      <w:tr>
        <w:trPr>
          <w:trHeight w:val="184"/>
        </w:trPr>
        <w:tc>
          <w:tcPr>
            <w:tcW w:w="90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line="184"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Market for Registrant’s Common Equity, Related Stockholder Matters and Issuer Purchases of Equity Securities</w:t>
              </w:r>
            </w:hyperlink>
          </w:p>
        </w:tc>
        <w:tc>
          <w:tcPr>
            <w:tcW w:w="1180" w:type="dxa"/>
            <w:vAlign w:val="bottom"/>
          </w:tcPr>
          <w:p>
            <w:pPr>
              <w:spacing w:after="0"/>
              <w:rPr>
                <w:sz w:val="15"/>
                <w:szCs w:val="15"/>
                <w:color w:val="auto"/>
              </w:rPr>
            </w:pPr>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17</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06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9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276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480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06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9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060" w:type="dxa"/>
            <w:vAlign w:val="bottom"/>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Change in and Disagreements with Accountants on Accounting and Financial Disclosure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282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7340" w:type="dxa"/>
            <w:vAlign w:val="bottom"/>
            <w:gridSpan w:val="1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390"/>
        </w:trPr>
        <w:tc>
          <w:tcPr>
            <w:tcW w:w="9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6"/>
          </w:tcPr>
          <w:p>
            <w:pPr>
              <w:jc w:val="center"/>
              <w:ind w:right="3780"/>
              <w:spacing w:after="0"/>
              <w:rPr>
                <w:sz w:val="20"/>
                <w:szCs w:val="20"/>
                <w:color w:val="auto"/>
              </w:rPr>
            </w:pPr>
            <w:r>
              <w:rPr>
                <w:rFonts w:ascii="Arial" w:cs="Arial" w:eastAsia="Arial" w:hAnsi="Arial"/>
                <w:sz w:val="18"/>
                <w:szCs w:val="18"/>
                <w:b w:val="1"/>
                <w:bCs w:val="1"/>
                <w:color w:val="auto"/>
              </w:rPr>
              <w:t>PART III</w:t>
            </w:r>
          </w:p>
        </w:tc>
        <w:tc>
          <w:tcPr>
            <w:tcW w:w="1360" w:type="dxa"/>
            <w:vAlign w:val="bottom"/>
          </w:tcPr>
          <w:p>
            <w:pPr>
              <w:spacing w:after="0"/>
              <w:rPr>
                <w:sz w:val="24"/>
                <w:szCs w:val="24"/>
                <w:color w:val="auto"/>
              </w:rPr>
            </w:pPr>
          </w:p>
        </w:tc>
      </w:tr>
      <w:tr>
        <w:trPr>
          <w:trHeight w:val="184"/>
        </w:trPr>
        <w:tc>
          <w:tcPr>
            <w:tcW w:w="90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84"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Directors, Executive Officers and Corporate Governance</w:t>
              </w:r>
            </w:hyperlink>
          </w:p>
        </w:tc>
        <w:tc>
          <w:tcPr>
            <w:tcW w:w="5060" w:type="dxa"/>
            <w:vAlign w:val="bottom"/>
            <w:gridSpan w:val="7"/>
          </w:tcPr>
          <w:p>
            <w:pPr>
              <w:spacing w:after="0"/>
              <w:rPr>
                <w:sz w:val="15"/>
                <w:szCs w:val="15"/>
                <w:color w:val="auto"/>
              </w:rPr>
            </w:pPr>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81</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Executive Compensation</w:t>
              </w:r>
            </w:hyperlink>
          </w:p>
        </w:tc>
        <w:tc>
          <w:tcPr>
            <w:tcW w:w="7300" w:type="dxa"/>
            <w:vAlign w:val="bottom"/>
            <w:gridSpan w:val="1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Security Ownership of Certain Beneficial Owners and Management and Related Stockholder Matters</w:t>
              </w:r>
            </w:hyperlink>
          </w:p>
        </w:tc>
        <w:tc>
          <w:tcPr>
            <w:tcW w:w="194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Certain Relationships and Related Transactions, and Director Independence</w:t>
              </w:r>
            </w:hyperlink>
          </w:p>
        </w:tc>
        <w:tc>
          <w:tcPr>
            <w:tcW w:w="3740" w:type="dxa"/>
            <w:vAlign w:val="bottom"/>
            <w:gridSpan w:val="5"/>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060" w:type="dxa"/>
            <w:vAlign w:val="bottom"/>
            <w:gridSpan w:val="2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390"/>
        </w:trPr>
        <w:tc>
          <w:tcPr>
            <w:tcW w:w="9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6"/>
          </w:tcPr>
          <w:p>
            <w:pPr>
              <w:jc w:val="center"/>
              <w:ind w:right="3780"/>
              <w:spacing w:after="0"/>
              <w:rPr>
                <w:sz w:val="20"/>
                <w:szCs w:val="20"/>
                <w:color w:val="auto"/>
              </w:rPr>
            </w:pPr>
            <w:r>
              <w:rPr>
                <w:rFonts w:ascii="Arial" w:cs="Arial" w:eastAsia="Arial" w:hAnsi="Arial"/>
                <w:sz w:val="18"/>
                <w:szCs w:val="18"/>
                <w:b w:val="1"/>
                <w:bCs w:val="1"/>
                <w:color w:val="auto"/>
                <w:w w:val="98"/>
              </w:rPr>
              <w:t>PART IV</w:t>
            </w:r>
          </w:p>
        </w:tc>
        <w:tc>
          <w:tcPr>
            <w:tcW w:w="1360" w:type="dxa"/>
            <w:vAlign w:val="bottom"/>
          </w:tcPr>
          <w:p>
            <w:pPr>
              <w:spacing w:after="0"/>
              <w:rPr>
                <w:sz w:val="24"/>
                <w:szCs w:val="24"/>
                <w:color w:val="auto"/>
              </w:rPr>
            </w:pPr>
          </w:p>
        </w:tc>
      </w:tr>
      <w:tr>
        <w:trPr>
          <w:trHeight w:val="184"/>
        </w:trPr>
        <w:tc>
          <w:tcPr>
            <w:tcW w:w="90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9060" w:type="dxa"/>
            <w:vAlign w:val="bottom"/>
            <w:gridSpan w:val="20"/>
          </w:tcPr>
          <w:p>
            <w:pPr>
              <w:spacing w:after="0" w:line="184" w:lineRule="exact"/>
              <w:rPr>
                <w:rFonts w:ascii="Arial" w:cs="Arial" w:eastAsia="Arial" w:hAnsi="Arial"/>
                <w:sz w:val="18"/>
                <w:szCs w:val="18"/>
                <w:color w:val="0000EE"/>
              </w:rPr>
            </w:pPr>
            <w:hyperlink w:anchor="page82">
              <w:r>
                <w:rPr>
                  <w:rFonts w:ascii="Arial" w:cs="Arial" w:eastAsia="Arial" w:hAnsi="Arial"/>
                  <w:sz w:val="18"/>
                  <w:szCs w:val="18"/>
                  <w:color w:val="0000EE"/>
                </w:rPr>
                <w:t>Exhibits and Financial Statement Schedules</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82</w:t>
            </w:r>
          </w:p>
        </w:tc>
      </w:tr>
      <w:tr>
        <w:trPr>
          <w:trHeight w:val="196"/>
        </w:trPr>
        <w:tc>
          <w:tcPr>
            <w:tcW w:w="900" w:type="dxa"/>
            <w:vAlign w:val="bottom"/>
          </w:tcPr>
          <w:p>
            <w:pPr>
              <w:spacing w:after="0"/>
              <w:rPr>
                <w:sz w:val="17"/>
                <w:szCs w:val="17"/>
                <w:color w:val="auto"/>
              </w:rPr>
            </w:pPr>
          </w:p>
        </w:tc>
        <w:tc>
          <w:tcPr>
            <w:tcW w:w="3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5980" w:type="dxa"/>
            <w:vAlign w:val="bottom"/>
            <w:gridSpan w:val="9"/>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383"/>
        </w:trPr>
        <w:tc>
          <w:tcPr>
            <w:tcW w:w="90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4580" w:type="dxa"/>
            <w:vAlign w:val="bottom"/>
            <w:gridSpan w:val="12"/>
          </w:tcPr>
          <w:p>
            <w:pPr>
              <w:jc w:val="right"/>
              <w:ind w:right="372"/>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This Annual Report on Form 10-K contains “forward 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Forward-looking statements provide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generally should be considered forward-looking statements. Forward-looking statements in this Annual Report on Form 10-K may concern, among other things, L.B. Foster Company’s expectations regarding our strategy, goals, projections and plans regarding our financial position, liquidity and capital resources, the outcome of litigation and product warranty claims, results of operations, decisions regarding our strategic growth initiatives, market position, and product development, all of which are based on current estimates that involve inherent risks and uncertainties.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an economic slowdown or a continuation of the current economic slowdown in the markets we serve, the risk of doing business in international markets, a decrease in freight or passenger rail traffic, continued and sustained declines in energy prices, a lack of state or federal funding for new infrastructure projects, an increase in manufacturing or material costs, our ability to effectuate our strategy including evaluating potential opportunities such as strategic acquisitions, joint ventures, and other initiatives, and our ability to effectively integrate new businesses and realize anticipated benefits, costs of and impacts associated with shareholder activism, the timeliness and availability of material from major suppliers, labor disputes, the impact of competition, the effective implementation of an enterprise resource planning system, variances in current accounting estimates and assumptions and their ultimate outcomes, the seasonality of the Company’s business, the adequacy of internal and external sources of funds to meet financing needs, the Company’s ability to curb its working capital requirements and manage indebtedness, domestic and international income taxes, foreign currency fluctuations, inflation, the ultimate number of concrete ties that will have to be replaced pursuant to product warranty claims, an overall resolution of the related contract claims, the costs associated with and the outcome of a lawsuit filed by Union Pacific Railroad (“UPRR”), the loss of future revenues from current customers, risks inherent in litigation, and domestic and foreign governmental regulations. Should one or more of these risks or uncertainties materialize, or should the assumptions underlying the forward-looking statements prove incorrect, actual outcomes could vary materially from those indicated. The risks and uncertainties that may affect the operations, performance, and results of the Company’s business and forward-looking statements include, but are not limited to, those set forth under Item 1A, “Risk Factors,” and elsewhere in this Annual Report on Form 10-K.</w:t>
      </w:r>
    </w:p>
    <w:p>
      <w:pPr>
        <w:spacing w:after="0" w:line="5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The forward looking statements in this report are made as of the date of this report and we assume no obligation to update or revise any forward looking statement, whether as a result of new information, future developments, or otherwise, except as required by securities laws.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data unless otherwise noted)</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Description of Businesses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Formed in 1902, L.B. Foster Company is a Pennsylvania corporation with its principal office in Pittsburgh, PA. L.B. Foster Company is a leading manufacturer, fabricator, and distributor of products and services for the rail, construction, energy and utility markets. As used herein, “Foster”, the “Company”, “we”, “us”, and “our” or similar references refer collectively to L.B. Foster Company and its divisions and subsidiaries, unless the context otherwise requires.</w:t>
      </w:r>
    </w:p>
    <w:p>
      <w:pPr>
        <w:spacing w:after="0" w:line="26"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As a result of recently completed acquisitions, during the first quarter of 2015, the Company renamed the Rail Products and Tubular Products business segments to be Rail Products and Services and Tubular and Energy Services, respectively. The name changes principally reflect the additional businesses conducted by those segments as a result of acquisitions that have enhanced our product and service offerings within the rail and energy markets.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for the last three fiscal years, the net sales generated by each business segment as a percentage of total net sales.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0"/>
              </w:rPr>
              <w:t>Percentage of Net Sales</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0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Rail Products and Services</w:t>
            </w:r>
          </w:p>
        </w:tc>
        <w:tc>
          <w:tcPr>
            <w:tcW w:w="9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53%</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Construction Products</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Tubular and Energy Services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9000" w:type="dxa"/>
            <w:vAlign w:val="bottom"/>
          </w:tcPr>
          <w:p>
            <w:pPr>
              <w:spacing w:after="0"/>
              <w:rPr>
                <w:sz w:val="19"/>
                <w:szCs w:val="19"/>
                <w:color w:val="auto"/>
              </w:rPr>
            </w:pPr>
          </w:p>
        </w:tc>
        <w:tc>
          <w:tcPr>
            <w:tcW w:w="940" w:type="dxa"/>
            <w:vAlign w:val="bottom"/>
            <w:gridSpan w:val="2"/>
          </w:tcPr>
          <w:p>
            <w:pPr>
              <w:jc w:val="right"/>
              <w:ind w:right="392"/>
              <w:spacing w:after="0"/>
              <w:rPr>
                <w:sz w:val="20"/>
                <w:szCs w:val="20"/>
                <w:color w:val="auto"/>
              </w:rPr>
            </w:pPr>
            <w:r>
              <w:rPr>
                <w:rFonts w:ascii="Arial" w:cs="Arial" w:eastAsia="Arial" w:hAnsi="Arial"/>
                <w:sz w:val="18"/>
                <w:szCs w:val="18"/>
                <w:color w:val="auto"/>
                <w:w w:val="99"/>
              </w:rPr>
              <w:t>100%</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r>
      <w:tr>
        <w:trPr>
          <w:trHeight w:val="20"/>
        </w:trPr>
        <w:tc>
          <w:tcPr>
            <w:tcW w:w="9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Financial information concerning these segments is set forth in Part II, Item 8, Note 2 to the financial statements included herein, which is incorporated by reference into this Item 1.</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Rail Products and Services</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L.B. Foster Company’s Rail Products and Services (“Rail”) segment is comprised of several manufacturing and distribution businesses that provide a variety of products and services for freight and passenger railroads and industrial companies throughout the world. The Rail segment has sales offices throughout the Americas and Europe, and frequently bids on rail projects where it offers products manufactured by the Company, or sourced from numerous supply chain partners, and aftermarket services. The Rail segment is comprised of the following business units: Rail Products, Rail Technologies, and CXT Concrete Ties.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Rail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Rail Products business is comprised of the Company’s Rail Distribution, Allegheny Rail, Transit, and Trackwork divisions.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Rail Distribution sells new rail mainly to passenger and shortline freight railroads, industrial companies, and rail contractors for the replacement of existing lines or expansion of new lines. Rail accessories sold by the Rail Distribution division include track spikes, bolts, angle bars, and other products required to install or maintain rail lines. These products are manufactured by the Company or purchased from other manufacturers and distributed accordingly.</w:t>
      </w:r>
    </w:p>
    <w:p>
      <w:pPr>
        <w:spacing w:after="0" w:line="2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Company’s Allegheny Rail Products (“ARP”) division engineers and fabricates insulated rail joints and related accessories for freight and passenger railroads and industrial customers. Insulated joints are manufactured at the Company’s facilities in Pueblo, CO and Niles, OH.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Company’s Transit Products division supplies power rail, direct fixation fasteners, coverboards, and special accessories primarily for passenger railroad systems. These products are fabricated at Company facilities or by subcontractors and are usually sold by sealed bid to passenger railroads or to rail contractors.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Trackwork division sells trackwork products to Class II and III railroads, industrial, and export markets.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Rail Technologies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L.B. Foster Rail Technologies, Inc. (“Rail Technologies”) engineers, manufactures, and fabricates friction management products and application systems, railroad condition monitoring equipment, wheel impact load detection, railroad condition monitoring systems, rail anchors and spikes, wayside data collection and management systems, epoxy and nylon-encapsulated insulated rail joints, track fasteners, and provides aftermarket services. The Company’s friction management products control the friction at the rail/wheel interface, helping its customers to reduce fuel consumption, improve operating efficiencies, extend the life of operating assets such as rail and wheels, and reduce track stresses, and lower related maintenance and operating costs. Friction management products include mobile and wayside systems that apply lubricants and liquid or solid friction modifiers. These products and systems are designed, engineered, manufactured, and fabricated by certain wholly-owned subsidiaries located in the United States, Canada, United Kingdom, and Germany.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CXT Concrete Ties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L.B. Foster manufactures engineered concrete railroad ties at its subsidiary, CXT Incorporated, for freight and passenger railroads and industrial companies at its facility in Spokane, WA.</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Construction Products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Construction products segment is composed of the following product groups: Piling Products, Fabricated Bridge Products, and Precast Concrete Products.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Piling Products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Sheet piling products are interlocking structural steel sections that are generally used to provide lateral support at construction sites. Bearing piling products are steel H-beam sections which are driven into the ground for support of structures such as bridge piers and high-rise buildings. Piling is often used in water and land applications including cellular cofferdams and OPEN CELL</w:t>
      </w:r>
      <w:r>
        <w:rPr>
          <w:rFonts w:ascii="Arial" w:cs="Arial" w:eastAsia="Arial" w:hAnsi="Arial"/>
          <w:sz w:val="10"/>
          <w:szCs w:val="10"/>
          <w:color w:val="auto"/>
        </w:rPr>
        <w:t>®</w:t>
      </w:r>
      <w:r>
        <w:rPr>
          <w:rFonts w:ascii="Arial" w:cs="Arial" w:eastAsia="Arial" w:hAnsi="Arial"/>
          <w:sz w:val="16"/>
          <w:szCs w:val="16"/>
          <w:color w:val="auto"/>
        </w:rPr>
        <w:t xml:space="preserve"> structures in inland river systems and ports.</w:t>
      </w:r>
    </w:p>
    <w:p>
      <w:pPr>
        <w:spacing w:after="0" w:line="2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Piling products are sourced from various manufacturers and either sold or rented to project owners and contractors. The piling division, via a sales force deployed throughout the United States, markets and sells piling domestically and internationally. This division offers its customers various types and dimensions of structural beam piling, sheet piling, and pipe piling. The Company is the primary distributor of domestic steel sheet piling for its primary supplier.</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Fabricated Bridge Products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fabricated products facility in Bedford, PA manufactures a number of fabricated steel and aluminum products primarily for the highway, bridge, and transit industries including concrete reinforced steel grid deck, open steel grid deck, aluminum bridge railing, and stay-in-place steel bridge forms.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Precast Concrete Products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precast concrete products unit primarily manufactures concrete buildings for national, state, and municipal parks. This unit manufactures restrooms, concession stands, and other protective storage buildings available in multiple designs, textures, and colors. The Company is a leading high-end supplier in terms of volume, product options, and capabilities. The unit also manufactures various other precast products such as burial vaults, bridge beams, box culverts, septic tanks, and other custom pre-stressed and precast concrete products. The products are manufactured in Spokane, WA, Hillsboro, TX, and Waverly, WV.</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Tubular and Energy Services</w:t>
      </w:r>
    </w:p>
    <w:p>
      <w:pPr>
        <w:spacing w:after="0" w:line="90"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Tubular and Energy Services segment has four primary product or service groups: Coated Pipe, Threaded Products, precision measurement systems and upstream test and inspection services. The segment provides products and services predominantly to the mid and upstream oil and gas markets.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Coated Pipe</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There are two pipeline services locations that make up the Coated Pipe business unit. The Birmingham, AL facility coats the outside diameter and, to a lesser extent, the inside diameter of pipe primarily for oil &amp; gas transmission pipelines. This location partners with its primary customer, a pipe manufacturer, to market fusion bonded epoxy coatings, abrasion resistant coatings, and internal linings for a wide variety of pipe diameters for pipeline projects throughout North America. The second location is in Willis, TX. The Willis facility applies specialty outside and inside diameter coatings for a wide variety of pipe diameters for oil &amp; gas transmission, mining, and waste water pipelines. This location also provides custom coatings for specialty fittings and field service connections.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Threaded Products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Company’s Magnolia, TX facility cuts, threads, and paints pipe primarily for water well applications for the agriculture industry, municipal water authorities, and Oil Country Tubular Goods (“OCTG”) markets.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Precision Measurement Systems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manufactures and provides a turnkey solution for metering and injection systems for the oil and gas industry. The Willis, TX location operates a fabrication plant that builds metering systems for custody transfer applications including crude oil and other petroleum-based products. These systems are used at well sites, pipelines, refineries, chemical plants, and loading/unloading facilities. The Willis location also manufactures and installs additive and dye injection systems. These systems are used to inject performance additives and/or dyes into petroleum products.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Upstream Test and Inspection Services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Company provides inspection and tubular integrity management services for the upstream oil and gas industry. Services include non-destructive testing, inspection, and other asset integrity services such as repair and threading for OCTG and drill tools. Inspection and testing of these products, which includes replaceable and re-usable products such as casing, production tubing, drill pipe, directional motors, drill collars, and related equipment is a critical preventative measure to ensure personnel and well-site safety, enhance efficiency, and avoid costly equipment failures and well-site shutdowns. The Company offers these services in every major oil and gas producing region throughout the United States.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L.B. Pipe Joint Venture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a member of a joint venture, LB Pipe &amp; Coupling Products, LLC (“LB Pipe JV”), in which it maintains a 45% ownership interest. The LB Pipe JV manufactures, markets, and sells various precision couplings and other tubular products for the energy, utility, and construction markets and is scheduled to terminate on June 30, 2019. More information concerning the LB Pipe JV is set forth in Part II, Item 8, Note 8 to the Consolidated Financial Statements included herein, which is incorporated by reference into this Item 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Competition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L.B. Foster Company generally markets its rail products directly in all major industrial areas of the United States, Canada, and Europe. The construction and energy products and services are primarily marketed domestically. The Company employs a sales force of approximately 100 people which is supplemented with a network of agents across Europe, South America, and Asia to reach current customers and cultivate potential customers in these areas. For the years ended 2015, 2014, and 2013, approximately 16%, 18%, and 17%, respectively, of the Company’s total sales were outside the United States.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major markets for the Company’s products are highly competitive. Product availability, quality, service, and price are principal factors of competition within each of these markets. No other company provides the same product mix to the various markets the Company serves. However, there are one or more companies that compete with the Company in each product line. Therefore, the Company faces significant competition from different groups of companies.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2015, 2014, and 2013, no single customer accounted for more than 10% of the Company’s consolidated net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Most of the Company’s products are purchased in the form of finished or semi-finished products. The Company purchases the majority of its supplies from domestic and foreign steel producers. Generally, the Company has a number of vendor options. However, the Company has an arrangement with a steel mill to distribute steel sheet piling in North America. Should sheet piling from its present supplier not be available for any reason, the Company risks not being able to provide product to its customers.</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Company’s purchases from foreign suppliers are subject to the usual risks associated with changes in international conditions and to United States and international laws that could impose import restrictions on selected classes of products and for anti-dumping duties if products are sold in the United States at prices that are below specified prices.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dollar amount of firm, unfilled customer orders at December 31, 2015 and 2014 by business segment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Rail Products and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$ 104,821</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Construction Products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45,371</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65,843</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Tubular and Energy Services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164,707</w:t>
            </w:r>
          </w:p>
        </w:tc>
        <w:tc>
          <w:tcPr>
            <w:tcW w:w="6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$ 184,350</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Approximately 4% of the December 31, 2015 backlog is related to projects that will extend beyond 2016. Backlog from businesses acquired during 2015 represented 8% of the total at December 31,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Expenditures for research and development approximated $3,937, $3,096, and $3,154 in 2015, 2014, and 2013, respectively. These expenditures were predominately associated with expanding product lines and capabilities within the Company’s Rail Technologies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Company owns a number of domestic and international patents and trademarks primarily related to its Rail Technologies products. Our business segments are not dependent upon any individual patent or related group of patents, or any licenses or distribution rights. We believe that, in the aggregate, the rights under our patents, trademarks, and licenses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environmental matters is included in Part II, Item 8, Note 19, which is incorporated by reference into this Item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Employee Relations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December 31, 2015, the Company had approximately 1,406 employees, 1,245 within the Americas and 161 of whom were located in Europe. There were 712 hourly production workers and 694 salaried employees. Of the hourly production workers, approximately 177 are represented by unions. The Company has not suffered any major work stoppages during the past five years and considers its relations with its employees to be satisfactory. No significant collective bargaining agreements expire prior to 2017.</w:t>
      </w:r>
    </w:p>
    <w:p>
      <w:pPr>
        <w:spacing w:after="0" w:line="6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Substantially all of the Company’s hourly paid employees are covered by one of the Company’s noncontributory, defined benefit plans or defined contribution plans. Substantially all of the Company’s salaried employees are covered by defined contribution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Liquidity and Capital Resources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Information concerning the Company’s liquidity and capital resources and the Company’s working capital requirements can be found in Part II, Item 7, Management’s Discussion and Analysis of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Financial information about geographic areas is set forth in Part II, Item 8, Note 2 to the Consolidated Financial Statements included herein, which is incorporated by reference into this Item 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Financial information about segments is set forth in Part II, Item 8, Note 2 to the Consolidated Financial Statements included herein, which is incorporated by reference into this Item 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L.B. Foster Company has a legal and ethical conduct policy applicable to all directors and employees, including its Chief Executive Officer, Chief Financial Officer, and Controller. This policy is posted on the Company’s website, </w:t>
      </w:r>
      <w:r>
        <w:rPr>
          <w:rFonts w:ascii="Arial" w:cs="Arial" w:eastAsia="Arial" w:hAnsi="Arial"/>
          <w:sz w:val="18"/>
          <w:szCs w:val="18"/>
          <w:i w:val="1"/>
          <w:iCs w:val="1"/>
          <w:u w:val="single" w:color="auto"/>
          <w:color w:val="auto"/>
        </w:rPr>
        <w:t>www.lbfoster.com</w:t>
      </w:r>
      <w:r>
        <w:rPr>
          <w:rFonts w:ascii="Arial" w:cs="Arial" w:eastAsia="Arial" w:hAnsi="Arial"/>
          <w:sz w:val="18"/>
          <w:szCs w:val="18"/>
          <w:color w:val="auto"/>
        </w:rPr>
        <w:t>. The Company intends to satisfy the disclosure requirement regarding certain amendments to, or waivers from, provisions of its policy by posting such information on the Company’s website. In addition, our ethics hotline can also be used by employees and others for the anonymous communication of concerns about financial controls, human resource concerns, and other reporting matters.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 xml:space="preserve">The Company makes certain filings with the Securities and Exchange Commission (“SEC”), including its Annual Report on Form 10-K, Quarterly Reports on Form 10-Q, Current Reports on Form 8-K, and all amendments and exhibits to those reports, available free of charge through its website, </w:t>
      </w:r>
      <w:r>
        <w:rPr>
          <w:rFonts w:ascii="Arial" w:cs="Arial" w:eastAsia="Arial" w:hAnsi="Arial"/>
          <w:sz w:val="16"/>
          <w:szCs w:val="16"/>
          <w:i w:val="1"/>
          <w:iCs w:val="1"/>
          <w:u w:val="single" w:color="auto"/>
          <w:color w:val="auto"/>
        </w:rPr>
        <w:t>www.lbfoster.com</w:t>
      </w:r>
      <w:r>
        <w:rPr>
          <w:rFonts w:ascii="Arial" w:cs="Arial" w:eastAsia="Arial" w:hAnsi="Arial"/>
          <w:sz w:val="16"/>
          <w:szCs w:val="16"/>
          <w:color w:val="auto"/>
        </w:rPr>
        <w:t>, as soon as reasonably practicable after they are filed with the SEC. These filings are also available at the SEC’s Public Reference Room at 100 F Street N.E.</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Washington, D.C. 20549 or by calling 1-800-SEC-0330. These filings are also available on the internet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The Company’s press releases and recent investor presentations are also available on its website.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executive officers of the Company is set forth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Age</w:t>
            </w:r>
          </w:p>
        </w:tc>
        <w:tc>
          <w:tcPr>
            <w:tcW w:w="248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Bauer</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5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Merry L. Brumbaugh</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5200" w:type="dxa"/>
            <w:vAlign w:val="bottom"/>
            <w:gridSpan w:val="3"/>
          </w:tcPr>
          <w:p>
            <w:pPr>
              <w:ind w:left="220"/>
              <w:spacing w:after="0"/>
              <w:rPr>
                <w:sz w:val="20"/>
                <w:szCs w:val="20"/>
                <w:color w:val="auto"/>
              </w:rPr>
            </w:pPr>
            <w:r>
              <w:rPr>
                <w:rFonts w:ascii="Arial" w:cs="Arial" w:eastAsia="Arial" w:hAnsi="Arial"/>
                <w:sz w:val="18"/>
                <w:szCs w:val="18"/>
                <w:color w:val="auto"/>
              </w:rPr>
              <w:t>Vice President — Tubular Products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K. Fisher</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5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 Rail Distribution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Patrick J. Guinee</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5200" w:type="dxa"/>
            <w:vAlign w:val="bottom"/>
            <w:gridSpan w:val="3"/>
          </w:tcPr>
          <w:p>
            <w:pPr>
              <w:ind w:left="220"/>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F. Kasel</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5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 Rail Products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Brian H. Kelly</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5200" w:type="dxa"/>
            <w:vAlign w:val="bottom"/>
            <w:gridSpan w:val="3"/>
          </w:tcPr>
          <w:p>
            <w:pPr>
              <w:ind w:left="220"/>
              <w:spacing w:after="0"/>
              <w:rPr>
                <w:sz w:val="20"/>
                <w:szCs w:val="20"/>
                <w:color w:val="auto"/>
              </w:rPr>
            </w:pPr>
            <w:r>
              <w:rPr>
                <w:rFonts w:ascii="Arial" w:cs="Arial" w:eastAsia="Arial" w:hAnsi="Arial"/>
                <w:sz w:val="18"/>
                <w:szCs w:val="18"/>
                <w:color w:val="auto"/>
              </w:rPr>
              <w:t>Vice President — Human Resources and Administration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W. Lippard</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5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 Rail Sales and Products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Konstantinos Papazoglou</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5200" w:type="dxa"/>
            <w:vAlign w:val="bottom"/>
            <w:gridSpan w:val="3"/>
          </w:tcPr>
          <w:p>
            <w:pPr>
              <w:ind w:left="220"/>
              <w:spacing w:after="0"/>
              <w:rPr>
                <w:sz w:val="20"/>
                <w:szCs w:val="20"/>
                <w:color w:val="auto"/>
              </w:rPr>
            </w:pPr>
            <w:r>
              <w:rPr>
                <w:rFonts w:ascii="Arial" w:cs="Arial" w:eastAsia="Arial" w:hAnsi="Arial"/>
                <w:sz w:val="18"/>
                <w:szCs w:val="18"/>
                <w:color w:val="auto"/>
              </w:rPr>
              <w:t>Vice President — Rail Technologies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Russo</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5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David R. Sauder</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5200" w:type="dxa"/>
            <w:vAlign w:val="bottom"/>
            <w:gridSpan w:val="3"/>
          </w:tcPr>
          <w:p>
            <w:pPr>
              <w:ind w:left="220"/>
              <w:spacing w:after="0"/>
              <w:rPr>
                <w:sz w:val="20"/>
                <w:szCs w:val="20"/>
                <w:color w:val="auto"/>
              </w:rPr>
            </w:pPr>
            <w:r>
              <w:rPr>
                <w:rFonts w:ascii="Arial" w:cs="Arial" w:eastAsia="Arial" w:hAnsi="Arial"/>
                <w:sz w:val="18"/>
                <w:szCs w:val="18"/>
                <w:color w:val="auto"/>
              </w:rPr>
              <w:t>Vice President — Global Business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T. Scanlon</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5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Controller and Chief Accounting Officer</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Mr. Bauer was elected President and Chief Executive Officer upon joining the Company in 2012. Prior to joining the Company, beginning in 2011,</w:t>
      </w:r>
    </w:p>
    <w:p>
      <w:pPr>
        <w:spacing w:after="0" w:line="38"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Mr. Bauer previously served as President of the Refrigeration Division of the Climate Technologies business of Emerson Electric Company, a diversified global manufacturing and technology company. From 2002 until 2011, Mr. Bauer served as President of Emerson Network Power’s Liebert Division.</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Ms. Brumbaugh was elected Vice President — Tubular Products in 2004, having previously served as General Manager, Coated Products since 1996.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 Brumbaugh has served in various capacities with the Company since her initial employment in 1980.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Fisher’s was elected Vice President — Rail Distribution effective 2011, having previously served as Senior Vice President — Rail since 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Fisher has served in various capacities within the Company since his initial employment 1977.</w:t>
      </w:r>
    </w:p>
    <w:p>
      <w:pPr>
        <w:spacing w:after="0" w:line="8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Mr. Guinee was elected Vice President, General Counsel and Secretary in 2014. Prior to joining the Company, Mr. Guinee served as Vice President — Securities &amp; Corporate and Assistant Secretary at Education Management Corporation from 2013 to early 2014, and was employed by H. J. Heinz Company from 1997 to 2013, last serving as Vice President — Corporate Governance &amp; Securities and Assistant Secretary.</w:t>
      </w:r>
    </w:p>
    <w:p>
      <w:pPr>
        <w:spacing w:after="0" w:line="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Kasel was elected Senior Vice President — Rail Products and Services in 2012 having previously served as Senior Vice President — Operations and Manufacturing since 2005 and Vice President — Operations and Manufacturing since 2003. Mr. Kasel served as Vice President of Operations for Mammoth, Inc., a Nortek company from 2000 to 2003.</w:t>
      </w:r>
    </w:p>
    <w:p>
      <w:pPr>
        <w:spacing w:after="0" w:line="5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Kelly was elected Vice President — Human Resources and Administration in 2012 having previously served as Vice President, Human Resources since 2006. Prior to joining the Company, Mr. Kelly headed Human Resources for 84 Lumber Company from 2004. Previously, he served as a Director of Human Resources for American Greetings Corp. from 1994 to 2004.</w:t>
      </w:r>
    </w:p>
    <w:p>
      <w:pPr>
        <w:spacing w:after="0" w:line="5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Mr. Lippard was elected Vice President — Rail Sales and Products in 2012 having previously served as Vice President — Rail Product Sales since 2000. Prior to re-joining the Company in 2000, Mr. Lippard served as Vice President — International Trading for Tube City, Inc. from 1998. Mr. Lippard served in various other capacities with the Company since his initial employment in 1991.</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Mr. Papazoglou was elected Vice President — Rail Technologies in 2012 having previously served as Vice President — Friction Management since 2011. Prior to joining the Company in 2010, Mr. Papazoglou served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Executive Vice President and Chief Operating Officer for Portec Rail Products, Inc. from 2006. Mr. Papazoglou served in various other capacities with Portec since his initial employment in 1978.</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Mr. Russo is the Senior Vice President, Chief Financial Officer and Treasurer having resigned as Chief Accounting Officer in 2012 upon the appointment of Mr. Scanlon as Controller and Chief Accounting Officer in 2012. Mr. Russo was previously elected Senior Vice President, Chief Financial and Accounting Officer and Treasurer in 2010 having served previously as Senior Vice President, Chief Financial Officer and Treasurer since 2002. Mr. Russo was Corporate Controller of WESCO International Inc. from 1999 until joining the Company in 2002.</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Sauder was elected Vice President — Global Business Development upon joining the Company in 2008. Prior to joining the Company, Mr. Sauder was Director, Global Business Development at Joy Mining Machinery where he was responsible for leading mergers and acquisitions and new business initiatives from 2007.</w:t>
      </w:r>
    </w:p>
    <w:p>
      <w:pPr>
        <w:spacing w:after="0" w:line="5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Mr. Scanlon was elected Controller and Chief Accounting Officer in 2012. Prior to joining the Company, Mr. Scanlon served as the Online Higher Education Division Controller of Education Management Corporation from 2009 to 2012. Mr. Scanlon served as Manager of Central Accounting Services for Bayer Corporation, from 2007 until 2009.</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Officers are elected annually at the organizational meeting of the Board of Directors following the annual meeting of stockholders.</w:t>
      </w:r>
    </w:p>
    <w:p>
      <w:pPr>
        <w:spacing w:after="0" w:line="20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operate in a changing environment that involves numerous known and unknown risks and uncertainties that could have a material adverse effect on our business, financial condition, and results of operations. The following risks highlight some of the more significant factors that have affected us and could affect us in the future. We may also be affected by unknown risks or risks that we currently believe are immaterial. If any such events actually occur, our business, financial condition, and results of operations could be materially adversely affected. You should carefully consider the following factors and other information contained in this Annual Report on Form 10-K before deciding to invest in our common stock.</w:t>
      </w:r>
    </w:p>
    <w:p>
      <w:pPr>
        <w:spacing w:after="0" w:line="116"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Our inability to successfully identify, manage and execute acquisitions, joint ventures, divestitures, and other significant transactions could harm our financial results, business, and prospects.</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part of our business strategy, we may acquire companies or businesses, divest businesses or assets, enter into strategic alliances and joint ventures, and make investments to realize anticipated benefits, which actions involve a number of inherent risks and uncertainties. We evaluate acquisition opportunities that have the potential to support and strengthen our business. We can give no assurances that the opportunities will be consummated or that financing will be available. In addition, acquisitions involve inherent risks that the acquired business will not perform in accordance with our expectations. We may not be able to achieve the synergies and other benefits we expect from the integration as successfully or rapidly as projected, if at all. Our failure to integrate newly-acquired operations could prevent us from realizing our expected rate of return on an acquired business and could have a material or adverse effect on our results of operations and financial condition.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performance and market value could cause additional write-downs of long-lived and intangible assets in future periods.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required under U.S. generally accepted accounting principles to review intangible assets for impairment when events or changes in circumstances indicate the carrying value may not be recoverable. Goodwill is required to be tested for impairment at least annually. Factors that may be considered to be a change in circumstances indicating that the carrying value of our intangible assets may not be recoverable include, but are not limited to, a decline in stock price and market capitalization, a significant decrease in the market value of an asset, or a significant decrease in operating or cash flow projections. During the third quarter of 2015, we per-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formed an interim goodwill test and concluded that the carrying amounts of the Inspection Oilfield Services, Inc. (“IOS”) and Chemtec Energy Services,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(“Chemtec”) reporting units’ goodwill exceeded the implied fair values of that goodwill. We recognized a non-cash goodwill impairment charge of $80,337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($63,887 net of taxes) to write down the carrying values to the implied fair values, of which $69,908 represents the full carrying value of goodwill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IOS acquisition and the remaining $10,429 relates to the Chemtec reporting unit. No assurances can be given that we will not be required to record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charges related to tangible or intangible asset impairments.</w:t>
      </w:r>
    </w:p>
    <w:p>
      <w:pPr>
        <w:spacing w:after="0" w:line="165" w:lineRule="exact"/>
        <w:rPr>
          <w:sz w:val="20"/>
          <w:szCs w:val="20"/>
          <w:color w:val="auto"/>
        </w:rPr>
      </w:pPr>
    </w:p>
    <w:p>
      <w:pPr>
        <w:ind w:left="240" w:right="720"/>
        <w:spacing w:after="0" w:line="268" w:lineRule="auto"/>
        <w:rPr>
          <w:sz w:val="20"/>
          <w:szCs w:val="20"/>
          <w:color w:val="auto"/>
        </w:rPr>
      </w:pPr>
      <w:r>
        <w:rPr>
          <w:rFonts w:ascii="Arial" w:cs="Arial" w:eastAsia="Arial" w:hAnsi="Arial"/>
          <w:sz w:val="18"/>
          <w:szCs w:val="18"/>
          <w:b w:val="1"/>
          <w:bCs w:val="1"/>
          <w:i w:val="1"/>
          <w:iCs w:val="1"/>
          <w:color w:val="auto"/>
        </w:rPr>
        <w:t>Our indebtedness could materially adversely affect our business, financial condition, and results of operations and prevent us from fulfilling our indebtedness obligations.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indebtedness could materially adversely affect our business, financial condition, and results of operations. For example, it could:</w:t>
      </w:r>
    </w:p>
    <w:p>
      <w:pPr>
        <w:spacing w:after="0" w:line="90" w:lineRule="exact"/>
        <w:rPr>
          <w:sz w:val="20"/>
          <w:szCs w:val="20"/>
          <w:color w:val="auto"/>
        </w:rPr>
      </w:pPr>
    </w:p>
    <w:p>
      <w:pPr>
        <w:ind w:left="660" w:right="2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of our indebtedness, which would reduce the availability of our cash flow to fund working capital, capital expenditures, expansion efforts, and other general corporate purposes;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 among other things, our ability to borrow additional funds for working capital, capital expenditures, general corporate purposes, or acquisitions.</w:t>
      </w:r>
    </w:p>
    <w:p>
      <w:pPr>
        <w:spacing w:after="0" w:line="113"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Our inability to comply with covenants in place or our inability to make the required principal and interest payments may cause an event of default, which could have a substantial adverse impact to our business, financial condition, and results of operation. There is no assurance that refinancings or asset dispositions could be effected on a timely basis or on satisfactory terms, if at all, particularly if credit market conditions deteriorate. Furthermore, there can be no assurance that refinancings or asset dispositions would be permitted by the terms of our credit agreements or debt instruments. Our existing credit agreements contain, and any future debt agreements we may enter into may contain, certain financial tests and other covenants that limit our ability to incur indebtedness, acquire other businesses, and impose various other restrictions. Our ability to comply with financial tests may be adversely affected by changes in economic or business conditions beyond our control, and these covenants may limit our ability to take advantage of potential business opportunities as they arise. We cannot be certain that we will be able to comply with the financial tests and other covenants, or, if we fail to do so, that we will be able to obtain waivers or amended terms from our lenders. An uncured default with respect to one or more of the covenants could result in the amounts outstanding under one or more of the agreements being declared immediately due and payable, which may also trigger an obligation to redeem our outstanding debt securities and repay all other outstanding indebtedness. Any such acceleration of our indebtedness would have a material adverse effect on our business, financial condition, and results of operations.</w:t>
      </w:r>
    </w:p>
    <w:p>
      <w:pPr>
        <w:spacing w:after="0" w:line="112"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Prolonged low energy prices and other unfavorable changes in U.S., global, or regional economic and market conditions could adversely affect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could be adversely impacted by prolonged negative changes in economic conditions affecting either our suppliers or customers as well as the capital markets. Negative changes in government spending may result in delayed or permanent deferrals of existing or potential projects. No assurances can be given that we will be able to successfully mitigate various prolonged uncertainties including materials cost variability, delayed or reduced customer orders and payments, and access to available capital resources outside of operations.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current volatile market conditions and significant declines in energy prices may continue for an extended period, which could continue to negatively affect our business prospects. Historically, oil and natural gas prices have been volatile and are subject to fluctuations in response to changes in supply and demand, market uncertainty, and a variety of additional factors that are beyond our control. Sustained declines, such as began to occur in 2015, in the price of oil and natural gas will likely continue to have a material adverse effect on our operations and financial condition.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maintain or improve our profitability could be adversely impacted by cost pressures.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profitability is dependent upon the efficient use of our resources. Rising inflation, labor costs, labor disruptions, and other increases in costs in the geographies where we operate could have a significant adverse impact on our profitability and 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operates in highly competitive industries and a failure to react to changing market conditions could adversely impact our business.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face strong competition in each of the markets in which we participate. A slow response to competitor pricing actions and new competitor entries into our product lines could negatively impact our overall pricing. Efforts to improve pricing could negatively impact our sales volume in all product categories. We may be required to invest more heavily to maintain and expand our product offerings. There can be no assurance that new product offerings will be widely accepted in the markets we serve. Significant negative developments in any of these areas could adversely affect our financial results and condition.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are unable to protect our intellectual property and prevent its improper use by third parties, our ability to compete may be harmed.</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own a number of patents and trademarks under the intellectual property laws of the United States, Canada, Europe, and other countries where product sales are possible. However, we have not perfected patent and trademark protection of our proprietary intellectual property for all products in all countries. The decision not to obtain patent and trademark protection in other countries may result in other companies copying and marketing products that are based upon our proprietary intellectual property. This could impede growth into new markets where we do not have such protections and result in a greater supply of similar products in such markets, which in turn could result in a loss of pricing power and reduced revenue.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success is in part dependent on the accuracy and proper utilization of our management information and communications systems.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currently working through an enterprise resource program (“ERP”) system upgrade and certain divisions of our Company will be transitioned into the new ERP system during 2016. The system upgrade is intended to enable us to better meet the information requirements of our users, increase our integration efficiencies, and identify additional synergies in the future. The implementation of our ERP system is complex because of the wide range of processes and systems to be integrated across our business. Project delays, business interruptions, or loss of expected benefits could have a material adverse effect on our business, financial condition, or results of operations. Any disruptions, delays, or deficiencies in the design, operation, or implementation of our various systems, or in the performance of our systems, particularly any disruptions, delays, or deficiencies that impact our operations, could adversely affect our ability to effectively run and manage our business, including our ability to receive, process, ship, and bill for orders in a timely manner or our ability to properly manage our inventory or accurately present our inventory availability or pricing.</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cybersecurity risks and may incur increasing costs in an effort to minimize those risks.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business employs systems and websites that allow for the storage and transmission of proprietary or confidential information regarding our customers, employees, job applicants, and other parties, including financial information, intellectual property, and personal identification information. Security breaches and other disruptions could compromise our information, expose us to liability, and harm our reputation and business. The steps we take to deter and mitigate these risks may not be successful. We may not have the resources or technical sophistication to anticipate or prevent current or rapidly evolving types of cyber-attacks. Data and security breaches can also occur as a result of non-technical issues, including an intentional or inadvertent breach by our employees or by persons with whom we have commercial relationships. Any compromise or breach of our security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upon key customers.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could be adversely affected by changes in the business or financial condition of a customer or customers. A significant decrease in capital spending by our railroad customers could negatively impact our product revenue. As a result of the ongoing litigation and termination of the amended 2005 concrete tie supply agreement with Union Pacific Railroad (“UPRR”), our sales to, and new orders from UPRR have ceased which has adversely affected our results during 2015. No assurances can be given that a significant downturn in the business or financial condition of a current customer, or customers, or potential litigation with a current customer, would not also impact our results of operations and/or financial condition.</w:t>
      </w:r>
    </w:p>
    <w:p>
      <w:pPr>
        <w:spacing w:after="0" w:line="116" w:lineRule="exact"/>
        <w:rPr>
          <w:sz w:val="20"/>
          <w:szCs w:val="20"/>
          <w:color w:val="auto"/>
        </w:rPr>
      </w:pPr>
    </w:p>
    <w:p>
      <w:pPr>
        <w:ind w:left="240"/>
        <w:spacing w:after="0" w:line="357" w:lineRule="auto"/>
        <w:rPr>
          <w:sz w:val="20"/>
          <w:szCs w:val="20"/>
          <w:color w:val="auto"/>
        </w:rPr>
      </w:pPr>
      <w:r>
        <w:rPr>
          <w:rFonts w:ascii="Arial" w:cs="Arial" w:eastAsia="Arial" w:hAnsi="Arial"/>
          <w:sz w:val="15"/>
          <w:szCs w:val="15"/>
          <w:b w:val="1"/>
          <w:bCs w:val="1"/>
          <w:i w:val="1"/>
          <w:iCs w:val="1"/>
          <w:color w:val="auto"/>
        </w:rPr>
        <w:t>An adverse outcome in any pending or future litigation or pending or future warranty claims against the Company or its subsidiaries or our determination that a customer has a substantial product warranty claim could negatively impact our financial results and/or our financial condition.</w:t>
      </w:r>
    </w:p>
    <w:p>
      <w:pPr>
        <w:ind w:firstLine="456"/>
        <w:spacing w:after="0" w:line="318" w:lineRule="auto"/>
        <w:rPr>
          <w:sz w:val="20"/>
          <w:szCs w:val="20"/>
          <w:color w:val="auto"/>
        </w:rPr>
      </w:pPr>
      <w:r>
        <w:rPr>
          <w:rFonts w:ascii="Arial" w:cs="Arial" w:eastAsia="Arial" w:hAnsi="Arial"/>
          <w:sz w:val="15"/>
          <w:szCs w:val="15"/>
          <w:color w:val="auto"/>
        </w:rPr>
        <w:t>We are party to various legal proceedings. In addition, from time to time our customers assert claims against us relating to the warranties which apply to products we sell. There is the potential that a result materially adverse to us or our subsidiaries in pending or future legal proceedings or pending or future product warranty claims could materially exceed any accruals we have established and adversely affect our financial results and/or financial condition. In addition, we could suffer a significant loss of business from a customer who is dissatisfied with the resolution of a warranty claim. For example, UPRR terminated our amended 2005 concrete tie supply agreement over allegedly defective ties and ceased new orders for other products which negatively impacted our 2015 results.</w:t>
      </w:r>
    </w:p>
    <w:p>
      <w:pPr>
        <w:spacing w:after="0" w:line="1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January 2015, UPRR filed a lawsuit against the Company asserting that we were in material breach of our amended 2005 concrete tie supply agreement with UPRR due to claimed failures to provide warranty ties to replace alleged defective concrete ties. UPRR seeks various types of relief including incidental, consequential, and other damages in amounts to be determined at trial under various legal theories. See Part II, Item 8, Note 19 for additional information regarding UPRR’s lawsuit. We continue to work with UPRR in an attempt to reach a resolution on this matter. However, such discussions may not be successful, and the results of litigation and any settlement or judgment amounts resulting from this matter may not be within the range of our estimated accrual. Consequently, while we believe the claims in the UPRR lawsuit are without merit, and we intend to vigorously defend ourselves and have asserted a counterclaim for damages in the UPRR lawsuit, an adverse outcome could result in a substantial judgment against us that could have a material adverse effect on our financial condition, results of operations, liquidity, and capital resources. No assurances can be given that prior to any settlement or judgment, that we will not take additional material charges because our warranty reserve accrual for UPRR is based upon our current estimate of the number of defective concrete ties that need to be replaced and facts could emerge which would cause us to materially increase this estimate.</w:t>
      </w:r>
    </w:p>
    <w:p>
      <w:pPr>
        <w:spacing w:after="0" w:line="123"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A portion of our sales are derived from our international operations, which exposes us to certain risks inherent in doing business on an international level.</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Doing business outside the United States subjects the Company to various risks, including changing economic climate and political conditions, work stoppages, exchange controls, currency fluctuations, armed conflicts, and unexpected changes in United States and foreign laws relating to tariffs, trade restrictions, transportation regulations, foreign investments, and taxation. Increasing sales to foreign countries exposes the Company to increased risk of loss from foreign currency fluctuations and exchange controls as well as longer accounts receivable payment cycles. We have little control over most of these risks and may be unable to anticipate changes in international economic and political conditions and, therefore, unable to alter its business practices in time to avoid the adverse effect of any of these possible changes.</w:t>
      </w:r>
    </w:p>
    <w:p>
      <w:pPr>
        <w:spacing w:after="0" w:line="6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Changes in exchange rates for foreign currencies may reduce international demand for our products or increase our labor or supply costs in non-U.S. markets. Fluctuations in the relative values of the United States dollar, Canadian dollar, British pound, and Euro will require adjustments in reported earnings and operations to reflect exchange rate translation in our Canadian and European sales and operations. If the United States dollar strengthens in value as compared to the value of the Canadian dollar, British pound, or Euro, our reported earn-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ings in dollars from sales in those currencies will be unfavorable. Conversely, a favorable result will be reported if the United States dollar weakens in value as compared to the value of the Canadian dollar, British pound, or Euro.</w:t>
      </w:r>
    </w:p>
    <w:p>
      <w:pPr>
        <w:spacing w:after="0" w:line="132" w:lineRule="exact"/>
        <w:rPr>
          <w:sz w:val="20"/>
          <w:szCs w:val="20"/>
          <w:color w:val="auto"/>
        </w:rPr>
      </w:pPr>
    </w:p>
    <w:p>
      <w:pPr>
        <w:ind w:left="240" w:right="60"/>
        <w:spacing w:after="0" w:line="332" w:lineRule="auto"/>
        <w:rPr>
          <w:sz w:val="20"/>
          <w:szCs w:val="20"/>
          <w:color w:val="auto"/>
        </w:rPr>
      </w:pPr>
      <w:r>
        <w:rPr>
          <w:rFonts w:ascii="Arial" w:cs="Arial" w:eastAsia="Arial" w:hAnsi="Arial"/>
          <w:sz w:val="16"/>
          <w:szCs w:val="16"/>
          <w:b w:val="1"/>
          <w:bCs w:val="1"/>
          <w:i w:val="1"/>
          <w:iCs w:val="1"/>
          <w:color w:val="auto"/>
        </w:rPr>
        <w:t>Violations of foreign governmental regulations, including the U.S. Foreign Corrupt Practices Act and similar worldwide anti-corruption laws could result in fines, penalties, and criminal sanctions against the Company, its officers, or both and could adversely affect our business.</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foreign operations are subject to governmental regulations in the countries in which we operate as well as U.S. laws. These include regulations relating to currency conversion, repatriation of earnings, taxation of our earnings and the earnings of our personnel, and the increasing requirement in some countries to make greater use of local employees and suppliers, including, in some jurisdictions, mandates that provide for greater local participation in the ownership and control of certain local business assets.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 Foreign Corrupt Practices Act and similar other worldwide anti-corruption laws, such as the U.K. Bribery Act, prohibit improper payments for the purpose of obtaining or retaining business. Although we have established an internal control structure, corporate policies, compliance, and training processes to reduce the risk of violation, we cannot ensure that these procedures will protect us from violations of such policies by our employees or agents. Failure to comply with applicable laws or regulations could subject us to fines, penalties, and suspension or debarment from contracting. Events of non-compliance could harm our reputation, reduce our revenues and profits, and subject us to criminal and civil enforcement actions. Violations of such laws or allegations of violation could disrupt our business and result in material adverse results to our operating results or future profitability.</w:t>
      </w:r>
    </w:p>
    <w:p>
      <w:pPr>
        <w:spacing w:after="0" w:line="120"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Certain divisions of our business depend on a small number of suppliers. The loss of any such supplier could have a material adverse effect on our business, financial condition, and result of operations.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our rail products businesses, we rely on a limited number of suppliers for key products that we sell to our customers. In addition, our piling business is predominantly dependent upon one supplier for sheet piling. A significant downturn in the business of one or more of these suppliers, a disruption in their manufacturing operations, an unwillingness to continue to sell to us, or a disruption in the availability of existing and new piling and rail products may adversely impact our financial results.</w:t>
      </w:r>
    </w:p>
    <w:p>
      <w:pPr>
        <w:spacing w:after="0" w:line="14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Fluctuations in the price, quality, and availability of the primary raw materials used in our business could have a material adverse effect on our operations and profitability.</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Most of our businesses utilize steel as a significant product component. The steel industry is cyclical and prices and availability are subject to these cycles as well as to international market forces. We also use significant amounts of cement and aggregate in our concrete railroad tie and our precast concrete products businesses. No assurances can be given that our financial results would not be adversely affected if prices or availability of these materials were to change in a significantly unfavorable manner.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Labor disputes may have a material adverse effect on our operations and profitability.</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Four of our manufacturing facilities are staffed by employees represented by labor unions. Approximately 177 employees employed at these facilities are currently working under three separate collective bargaining agreements. Disputes with regard to the terms of these agreements or our potential inability to renegotiate acceptable contracts with these unions could result in, among other things, strikes, work stoppages, slowdowns, or lockouts, which could cause a disruption of our operations and have a material adverse effect on our results of operations, financial condition, and liquidity.</w:t>
      </w:r>
    </w:p>
    <w:p>
      <w:pPr>
        <w:spacing w:after="0" w:line="113"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Actions of activist shareholders could be disruptive and potentially costly and the possibility that activist shareholders may seek changes that conflict with our strategic direction could cause uncertainty about the strategic direction of our business.</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February 2016, the Company entered into an agreement with an activist investor, Legion Partners Asset Management, LLC and various of its affiliates (collectively, “Legion Partners”) that had filed a Schedule 13D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with the SEC with respect to the Company. Pursuant to that agreement, the Company agreed to appoint a representative of Legion Partners to the Company’s Board of Directors and Legion Partners agreed to various standstill provisions and to vote for the Company’s director nominees at the Company’s 2016 Annual Meeting of Shareholders.</w:t>
      </w:r>
    </w:p>
    <w:p>
      <w:pPr>
        <w:spacing w:after="0" w:line="59"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Activist investors may attempt to effect changes in the Company’s strategic direction and how the Company is governed, or to acquire control over the Company. Some investors seek to increase short-term stockholder value by advocating corporate actions such as financial restructuring, increased borrowing, special dividends, stock repurchases, or even sales of assets or the entire company. While the Company welcomes varying opinions from all shareholders, activist campaigns that contest or conflict with our strategic direction could have an adverse effect on the Company’s results of operations and financial condition as responding to proxy contests and other actions by activist shareholders can disrupt our operations, be costly and time-consuming, and divert the attention of the Company’s board and senior management from the pursuit of business strategies. In addition, perceived uncertainties as to our future direction as a result of changes to the composition of our Board may lead to the perception of a change in the direction of the business, instability or lack of continuity which may be exploited by our competitors, may cause concern to our current or potential customers, may result in the loss of potential business opportunities and may make it more difficult to attract and retain qualified personnel and business partners. These types of actions could cause significant fluctuations in our stock price based on temporary or speculative market perceptions or other factors that do not necessarily reflect the underlying fundamentals and prospects of our business.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is highly dependent on the continued service and availability of qualified personnel.</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Much of our future success depends on the continued availability and service of key personnel, including our Chief Executive Officer, the executive team, and other highly skilled employees. Changes in demographics, training requirements, and the availability of qualified personnel could negatively affect our ability to compete and lead to a reduction in our profitability.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foresee or be able to control certain events that could adversely affect our business.</w:t>
      </w:r>
    </w:p>
    <w:p>
      <w:pPr>
        <w:spacing w:after="0" w:line="9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Unexpected events including fires or explosions at our facilities, natural disasters, armed conflicts, unplanned outages, equipment failures, failure to meet product specifications, or a disruption in certain of our operations may cause our operating costs to increase or otherwise impact our financial performance.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Shifting federal, state, local, and foreign regulatory policies impose risks to our operations.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subject to regulation from federal, state, local, and foreign regulatory agencies. We are required to comply with numerous laws and regulations and to obtain numerous authorizations, permits, approvals, and certificates from governmental agencies. Compliance with emerging regulatory initiatives, delays, discontinuations, or reversals of existing regulatory policies in the markets in which we operate could have an adverse effect on our business, results of operations, cash flows, and financial condition.</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substantial portion of our operations are heavily dependent on governmental funding of infrastructure projects. Many of these projects have “Buy America” or “Buy American” provisions. Significant changes in the level of government funding of these projects could have a favorable or unfavorable impact on our operating results. Additionally, government actions concerning “Buy America” provisions, taxation, tariffs, the environment, or other matters could impact our operating results.</w:t>
      </w:r>
    </w:p>
    <w:p>
      <w:pPr>
        <w:spacing w:after="0" w:line="17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location and general description of the principal properties which are owned or leased by L.B. Foster Company, together with the segment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business using such properties, are set forth in the following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Function</w:t>
            </w: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Acres</w:t>
            </w:r>
          </w:p>
        </w:tc>
        <w:tc>
          <w:tcPr>
            <w:tcW w:w="2080" w:type="dxa"/>
            <w:vAlign w:val="bottom"/>
            <w:gridSpan w:val="3"/>
          </w:tcPr>
          <w:p>
            <w:pPr>
              <w:ind w:left="160"/>
              <w:spacing w:after="0"/>
              <w:rPr>
                <w:sz w:val="20"/>
                <w:szCs w:val="20"/>
                <w:color w:val="auto"/>
              </w:rPr>
            </w:pPr>
            <w:r>
              <w:rPr>
                <w:rFonts w:ascii="Arial" w:cs="Arial" w:eastAsia="Arial" w:hAnsi="Arial"/>
                <w:sz w:val="14"/>
                <w:szCs w:val="14"/>
                <w:b w:val="1"/>
                <w:bCs w:val="1"/>
                <w:color w:val="auto"/>
              </w:rPr>
              <w:t>Business Segment</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Bedford, PA</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Bridge component fabricating plant</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Birmingham, AL</w:t>
            </w:r>
          </w:p>
        </w:tc>
        <w:tc>
          <w:tcPr>
            <w:tcW w:w="3740" w:type="dxa"/>
            <w:vAlign w:val="bottom"/>
            <w:gridSpan w:val="2"/>
          </w:tcPr>
          <w:p>
            <w:pPr>
              <w:spacing w:after="0"/>
              <w:rPr>
                <w:sz w:val="20"/>
                <w:szCs w:val="20"/>
                <w:color w:val="auto"/>
              </w:rPr>
            </w:pPr>
            <w:r>
              <w:rPr>
                <w:rFonts w:ascii="Arial" w:cs="Arial" w:eastAsia="Arial" w:hAnsi="Arial"/>
                <w:sz w:val="18"/>
                <w:szCs w:val="18"/>
                <w:color w:val="auto"/>
              </w:rPr>
              <w:t>Pipe coating facility</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Tubular and Energy</w:t>
            </w:r>
          </w:p>
        </w:tc>
        <w:tc>
          <w:tcPr>
            <w:tcW w:w="66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Burnaby, British Columbia, Canada</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Friction management products plant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Rail</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Channelview, TX</w:t>
            </w:r>
          </w:p>
        </w:tc>
        <w:tc>
          <w:tcPr>
            <w:tcW w:w="3740" w:type="dxa"/>
            <w:vAlign w:val="bottom"/>
            <w:gridSpan w:val="2"/>
          </w:tcPr>
          <w:p>
            <w:pPr>
              <w:spacing w:after="0"/>
              <w:rPr>
                <w:sz w:val="20"/>
                <w:szCs w:val="20"/>
                <w:color w:val="auto"/>
              </w:rPr>
            </w:pPr>
            <w:r>
              <w:rPr>
                <w:rFonts w:ascii="Arial" w:cs="Arial" w:eastAsia="Arial" w:hAnsi="Arial"/>
                <w:sz w:val="18"/>
                <w:szCs w:val="18"/>
                <w:color w:val="auto"/>
              </w:rPr>
              <w:t>Threading, test, and inspection facility</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73</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Tubular and Energy</w:t>
            </w:r>
          </w:p>
        </w:tc>
        <w:tc>
          <w:tcPr>
            <w:tcW w:w="800" w:type="dxa"/>
            <w:vAlign w:val="bottom"/>
            <w:gridSpan w:val="2"/>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Columbia City, IN</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Rail processing facility and yard storage</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Rail</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Hillsboro, TX</w:t>
            </w:r>
          </w:p>
        </w:tc>
        <w:tc>
          <w:tcPr>
            <w:tcW w:w="3740" w:type="dxa"/>
            <w:vAlign w:val="bottom"/>
            <w:gridSpan w:val="2"/>
          </w:tcPr>
          <w:p>
            <w:pPr>
              <w:spacing w:after="0"/>
              <w:rPr>
                <w:sz w:val="20"/>
                <w:szCs w:val="20"/>
                <w:color w:val="auto"/>
              </w:rPr>
            </w:pPr>
            <w:r>
              <w:rPr>
                <w:rFonts w:ascii="Arial" w:cs="Arial" w:eastAsia="Arial" w:hAnsi="Arial"/>
                <w:sz w:val="18"/>
                <w:szCs w:val="18"/>
                <w:color w:val="auto"/>
              </w:rPr>
              <w:t>Precast concrete facility</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Construction</w:t>
            </w:r>
          </w:p>
        </w:tc>
        <w:tc>
          <w:tcPr>
            <w:tcW w:w="800" w:type="dxa"/>
            <w:vAlign w:val="bottom"/>
            <w:gridSpan w:val="2"/>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Kimball, NE</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Threading, test, and inspection facility</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Tubular and Energy</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Leming, TX</w:t>
            </w:r>
          </w:p>
        </w:tc>
        <w:tc>
          <w:tcPr>
            <w:tcW w:w="3740" w:type="dxa"/>
            <w:vAlign w:val="bottom"/>
            <w:gridSpan w:val="2"/>
          </w:tcPr>
          <w:p>
            <w:pPr>
              <w:spacing w:after="0"/>
              <w:rPr>
                <w:sz w:val="20"/>
                <w:szCs w:val="20"/>
                <w:color w:val="auto"/>
              </w:rPr>
            </w:pPr>
            <w:r>
              <w:rPr>
                <w:rFonts w:ascii="Arial" w:cs="Arial" w:eastAsia="Arial" w:hAnsi="Arial"/>
                <w:sz w:val="18"/>
                <w:szCs w:val="18"/>
                <w:color w:val="auto"/>
              </w:rPr>
              <w:t>Threading, test, and inspection facility</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63</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Tubular and Energy</w:t>
            </w:r>
          </w:p>
        </w:tc>
        <w:tc>
          <w:tcPr>
            <w:tcW w:w="800" w:type="dxa"/>
            <w:vAlign w:val="bottom"/>
            <w:gridSpan w:val="2"/>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Magnolia, TX</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Threading facility and joint venture manufacturing</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Tubular and Energy</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Morgantown, WV</w:t>
            </w:r>
          </w:p>
        </w:tc>
        <w:tc>
          <w:tcPr>
            <w:tcW w:w="3740" w:type="dxa"/>
            <w:vAlign w:val="bottom"/>
            <w:gridSpan w:val="2"/>
          </w:tcPr>
          <w:p>
            <w:pPr>
              <w:spacing w:after="0"/>
              <w:rPr>
                <w:sz w:val="20"/>
                <w:szCs w:val="20"/>
                <w:color w:val="auto"/>
              </w:rPr>
            </w:pPr>
            <w:r>
              <w:rPr>
                <w:rFonts w:ascii="Arial" w:cs="Arial" w:eastAsia="Arial" w:hAnsi="Arial"/>
                <w:sz w:val="18"/>
                <w:szCs w:val="18"/>
                <w:color w:val="auto"/>
              </w:rPr>
              <w:t>Test, and inspection facility</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Tubular and Energy</w:t>
            </w:r>
          </w:p>
        </w:tc>
        <w:tc>
          <w:tcPr>
            <w:tcW w:w="660" w:type="dxa"/>
            <w:vAlign w:val="bottom"/>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Niles, OH</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Rail fabrication, friction management products, and</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Rail</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yard storage</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Petersburg, VA</w:t>
            </w:r>
          </w:p>
        </w:tc>
        <w:tc>
          <w:tcPr>
            <w:tcW w:w="3740" w:type="dxa"/>
            <w:vAlign w:val="bottom"/>
            <w:gridSpan w:val="2"/>
          </w:tcPr>
          <w:p>
            <w:pPr>
              <w:spacing w:after="0"/>
              <w:rPr>
                <w:sz w:val="20"/>
                <w:szCs w:val="20"/>
                <w:color w:val="auto"/>
              </w:rPr>
            </w:pPr>
            <w:r>
              <w:rPr>
                <w:rFonts w:ascii="Arial" w:cs="Arial" w:eastAsia="Arial" w:hAnsi="Arial"/>
                <w:sz w:val="18"/>
                <w:szCs w:val="18"/>
                <w:color w:val="auto"/>
              </w:rPr>
              <w:t>Piling storage facility</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Construction</w:t>
            </w:r>
          </w:p>
        </w:tc>
        <w:tc>
          <w:tcPr>
            <w:tcW w:w="800" w:type="dxa"/>
            <w:vAlign w:val="bottom"/>
            <w:gridSpan w:val="2"/>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Pueblo, CO</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Rail joint manufacturing</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Rail</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Saint-Jean-sur-Richelieu, Quebec, Canada</w:t>
            </w:r>
          </w:p>
        </w:tc>
        <w:tc>
          <w:tcPr>
            <w:tcW w:w="3740" w:type="dxa"/>
            <w:vAlign w:val="bottom"/>
            <w:gridSpan w:val="2"/>
          </w:tcPr>
          <w:p>
            <w:pPr>
              <w:spacing w:after="0"/>
              <w:rPr>
                <w:sz w:val="20"/>
                <w:szCs w:val="20"/>
                <w:color w:val="auto"/>
              </w:rPr>
            </w:pPr>
            <w:r>
              <w:rPr>
                <w:rFonts w:ascii="Arial" w:cs="Arial" w:eastAsia="Arial" w:hAnsi="Arial"/>
                <w:sz w:val="18"/>
                <w:szCs w:val="18"/>
                <w:color w:val="auto"/>
                <w:w w:val="93"/>
              </w:rPr>
              <w:t>Rail anchors and track spikes manufacturing plant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17</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Rail</w:t>
            </w:r>
          </w:p>
        </w:tc>
        <w:tc>
          <w:tcPr>
            <w:tcW w:w="800" w:type="dxa"/>
            <w:vAlign w:val="bottom"/>
            <w:gridSpan w:val="2"/>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Sheffield, United Kingdom</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Track component and friction management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Rail</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 facility</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Spokane, WA</w:t>
            </w:r>
          </w:p>
        </w:tc>
        <w:tc>
          <w:tcPr>
            <w:tcW w:w="3740" w:type="dxa"/>
            <w:vAlign w:val="bottom"/>
            <w:gridSpan w:val="2"/>
          </w:tcPr>
          <w:p>
            <w:pPr>
              <w:spacing w:after="0"/>
              <w:rPr>
                <w:sz w:val="20"/>
                <w:szCs w:val="20"/>
                <w:color w:val="auto"/>
              </w:rPr>
            </w:pPr>
            <w:r>
              <w:rPr>
                <w:rFonts w:ascii="Arial" w:cs="Arial" w:eastAsia="Arial" w:hAnsi="Arial"/>
                <w:sz w:val="18"/>
                <w:szCs w:val="18"/>
                <w:color w:val="auto"/>
              </w:rPr>
              <w:t>CXT concrete tie plant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Rail</w:t>
            </w:r>
          </w:p>
        </w:tc>
        <w:tc>
          <w:tcPr>
            <w:tcW w:w="66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Spokane, WA</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Precast concrete facility</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Waverly, WV</w:t>
            </w:r>
          </w:p>
        </w:tc>
        <w:tc>
          <w:tcPr>
            <w:tcW w:w="3740" w:type="dxa"/>
            <w:vAlign w:val="bottom"/>
            <w:gridSpan w:val="2"/>
          </w:tcPr>
          <w:p>
            <w:pPr>
              <w:spacing w:after="0"/>
              <w:rPr>
                <w:sz w:val="20"/>
                <w:szCs w:val="20"/>
                <w:color w:val="auto"/>
              </w:rPr>
            </w:pPr>
            <w:r>
              <w:rPr>
                <w:rFonts w:ascii="Arial" w:cs="Arial" w:eastAsia="Arial" w:hAnsi="Arial"/>
                <w:sz w:val="18"/>
                <w:szCs w:val="18"/>
                <w:color w:val="auto"/>
              </w:rPr>
              <w:t>Precast concrete facility</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85</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Construction</w:t>
            </w:r>
          </w:p>
        </w:tc>
        <w:tc>
          <w:tcPr>
            <w:tcW w:w="800" w:type="dxa"/>
            <w:vAlign w:val="bottom"/>
            <w:gridSpan w:val="2"/>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Willis, TX</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coating facility</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Tubular and Energy</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Willis, TX</w:t>
            </w:r>
          </w:p>
        </w:tc>
        <w:tc>
          <w:tcPr>
            <w:tcW w:w="3740" w:type="dxa"/>
            <w:vAlign w:val="bottom"/>
            <w:gridSpan w:val="2"/>
          </w:tcPr>
          <w:p>
            <w:pPr>
              <w:spacing w:after="0"/>
              <w:rPr>
                <w:sz w:val="20"/>
                <w:szCs w:val="20"/>
                <w:color w:val="auto"/>
              </w:rPr>
            </w:pPr>
            <w:r>
              <w:rPr>
                <w:rFonts w:ascii="Arial" w:cs="Arial" w:eastAsia="Arial" w:hAnsi="Arial"/>
                <w:sz w:val="18"/>
                <w:szCs w:val="18"/>
                <w:color w:val="auto"/>
              </w:rPr>
              <w:t>Measurement services facility</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Tubular and Energy</w:t>
            </w:r>
          </w:p>
        </w:tc>
        <w:tc>
          <w:tcPr>
            <w:tcW w:w="800" w:type="dxa"/>
            <w:vAlign w:val="bottom"/>
            <w:gridSpan w:val="2"/>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Included in the table above are certain facilities leased by the Company for which there is no acreage included in the lease. For these properties a “N/A” has been included in the “Acres” column.</w:t>
      </w:r>
    </w:p>
    <w:p>
      <w:pPr>
        <w:spacing w:after="0" w:line="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Including the properties listed above, the Company has a total of 28 sales offices, including its headquarters in Pittsburgh, PA and 36 warehouses, plant, and yard facilities located throughout the United States, Canada, and Europe. The Company’s facilities are in good condition and suitable for the Company’s business as currently conducted and as currently planned to be conducted.</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96"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Information regarding the Company’s legal proceedings and other commitments and contingencies is set forth in Part II, Item 8, Note 19 to the Consolidated Financial Statements included herein, which is incorporated by reference into this Item 3.</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item is not applicable to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140" w:right="8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Market Information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had 336 common shareholders of record on February 23, 2016. Common stock prices are quoted daily through the NASDAQ Global Select Market quotation service (Symbol: FSTR). The following table sets forth the range of high and low sales prices per share of our common stock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4"/>
              </w:rPr>
              <w:t>Quarter</w:t>
            </w:r>
          </w:p>
        </w:tc>
        <w:tc>
          <w:tcPr>
            <w:tcW w:w="238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52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2"/>
                <w:szCs w:val="12"/>
                <w:color w:val="auto"/>
              </w:rPr>
            </w:pPr>
          </w:p>
        </w:tc>
        <w:tc>
          <w:tcPr>
            <w:tcW w:w="10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Low</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Dividends</w:t>
            </w:r>
          </w:p>
        </w:tc>
        <w:tc>
          <w:tcPr>
            <w:tcW w:w="540" w:type="dxa"/>
            <w:vAlign w:val="bottom"/>
          </w:tcPr>
          <w:p>
            <w:pPr>
              <w:spacing w:after="0"/>
              <w:rPr>
                <w:sz w:val="12"/>
                <w:szCs w:val="12"/>
                <w:color w:val="auto"/>
              </w:rPr>
            </w:pPr>
          </w:p>
        </w:tc>
        <w:tc>
          <w:tcPr>
            <w:tcW w:w="5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2"/>
                <w:szCs w:val="12"/>
                <w:color w:val="auto"/>
              </w:rPr>
            </w:pPr>
          </w:p>
        </w:tc>
        <w:tc>
          <w:tcPr>
            <w:tcW w:w="54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Low</w:t>
            </w:r>
          </w:p>
        </w:tc>
        <w:tc>
          <w:tcPr>
            <w:tcW w:w="540" w:type="dxa"/>
            <w:vAlign w:val="bottom"/>
          </w:tcPr>
          <w:p>
            <w:pPr>
              <w:spacing w:after="0"/>
              <w:rPr>
                <w:sz w:val="12"/>
                <w:szCs w:val="12"/>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Dividends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w:t>
            </w:r>
          </w:p>
        </w:tc>
        <w:tc>
          <w:tcPr>
            <w:tcW w:w="2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$ 52.00</w:t>
            </w:r>
          </w:p>
        </w:tc>
        <w:tc>
          <w:tcPr>
            <w:tcW w:w="5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$ 37.00</w:t>
            </w: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0.04</w:t>
            </w:r>
          </w:p>
        </w:tc>
        <w:tc>
          <w:tcPr>
            <w:tcW w:w="5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$ 48.41</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$ 40.09</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0.03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Second</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47.97</w:t>
            </w:r>
          </w:p>
        </w:tc>
        <w:tc>
          <w:tcPr>
            <w:tcW w:w="1600" w:type="dxa"/>
            <w:vAlign w:val="bottom"/>
            <w:gridSpan w:val="3"/>
          </w:tcPr>
          <w:p>
            <w:pPr>
              <w:ind w:left="680"/>
              <w:spacing w:after="0"/>
              <w:rPr>
                <w:sz w:val="20"/>
                <w:szCs w:val="20"/>
                <w:color w:val="auto"/>
              </w:rPr>
            </w:pPr>
            <w:r>
              <w:rPr>
                <w:rFonts w:ascii="Arial" w:cs="Arial" w:eastAsia="Arial" w:hAnsi="Arial"/>
                <w:sz w:val="18"/>
                <w:szCs w:val="18"/>
                <w:color w:val="auto"/>
              </w:rPr>
              <w:t>33.96</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0.04</w:t>
            </w:r>
          </w:p>
        </w:tc>
        <w:tc>
          <w:tcPr>
            <w:tcW w:w="520" w:type="dxa"/>
            <w:vAlign w:val="bottom"/>
          </w:tcPr>
          <w:p>
            <w:pPr>
              <w:jc w:val="right"/>
              <w:spacing w:after="0"/>
              <w:rPr>
                <w:sz w:val="20"/>
                <w:szCs w:val="20"/>
                <w:color w:val="auto"/>
              </w:rPr>
            </w:pPr>
            <w:r>
              <w:rPr>
                <w:rFonts w:ascii="Arial" w:cs="Arial" w:eastAsia="Arial" w:hAnsi="Arial"/>
                <w:sz w:val="18"/>
                <w:szCs w:val="18"/>
                <w:color w:val="auto"/>
              </w:rPr>
              <w:t>54.68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44.82</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6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12.10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Fourth</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16.66</w:t>
            </w:r>
          </w:p>
        </w:tc>
        <w:tc>
          <w:tcPr>
            <w:tcW w:w="1600" w:type="dxa"/>
            <w:vAlign w:val="bottom"/>
            <w:gridSpan w:val="3"/>
          </w:tcPr>
          <w:p>
            <w:pPr>
              <w:ind w:left="680"/>
              <w:spacing w:after="0"/>
              <w:rPr>
                <w:sz w:val="20"/>
                <w:szCs w:val="20"/>
                <w:color w:val="auto"/>
              </w:rPr>
            </w:pPr>
            <w:r>
              <w:rPr>
                <w:rFonts w:ascii="Arial" w:cs="Arial" w:eastAsia="Arial" w:hAnsi="Arial"/>
                <w:sz w:val="18"/>
                <w:szCs w:val="18"/>
                <w:color w:val="auto"/>
              </w:rPr>
              <w:t>10.10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0.04</w:t>
            </w:r>
          </w:p>
        </w:tc>
        <w:tc>
          <w:tcPr>
            <w:tcW w:w="520" w:type="dxa"/>
            <w:vAlign w:val="bottom"/>
          </w:tcPr>
          <w:p>
            <w:pPr>
              <w:jc w:val="right"/>
              <w:spacing w:after="0"/>
              <w:rPr>
                <w:sz w:val="20"/>
                <w:szCs w:val="20"/>
                <w:color w:val="auto"/>
              </w:rPr>
            </w:pPr>
            <w:r>
              <w:rPr>
                <w:rFonts w:ascii="Arial" w:cs="Arial" w:eastAsia="Arial" w:hAnsi="Arial"/>
                <w:sz w:val="18"/>
                <w:szCs w:val="18"/>
                <w:color w:val="auto"/>
              </w:rPr>
              <w:t>54.41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43.81</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There have been no changes to the October 2014 Board of Directors authorization to increase the regular quarterly dividend to $0.04 per share. The Company expects to continue its policy of paying regular cash dividends, although there is no assurance as to future dividends because they depend on future earnings, capital requirements, and financial condition.</w:t>
      </w:r>
    </w:p>
    <w:p>
      <w:pPr>
        <w:spacing w:after="0" w:line="5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March 13, 2015 credit facility permits it to pay dividends and distributions and make redemptions with respect to its stock providing no event of default or potential default (as defined in the facility agreement) has occurred prior to or after giving effect to the dividend, distribution, or redemption. Dividends, distributions, and redemptions are capped at $25,000,000 per year when funds are drawn on the facility. If no drawings on the facility exist, dividends, distributions, and redemptions in excess of $25,000,000 per year are subjected to a limitation of $75,000,000 in the aggregate. The $75,000,000 aggregate limitation also permits certain loans, strategic investments, and acquisitions.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peer group consists of Accuride Corporation, Alamo Group, Inc., AM Castle &amp; Co., American Railcar Industries, Inc., CIRCOR International, Inc., Columbus McKinnon Corporation, Furmanite Corporation, Gibraltar Industries, Inc., Houston Wire &amp; Cable Company, Insteel Industries Inc., Lindsay Corporation, Lydall Inc., MYR Group, Inc., NN Inc., Northwest Pipe Co., Olympic Steel Inc., Orion Marine Group, Inc., Quanex Building Products Corporation, Raven Industries Inc., and Sterling Construction Co. Inc.</w:t>
      </w:r>
    </w:p>
    <w:p>
      <w:pPr>
        <w:spacing w:after="0" w:line="6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following tables compare total shareholder returns for the Company over the last five years to the NASDAQ Composite Index and the peer groups assuming a $100 investment made on December 31, 2010. Each of the three measures of cumulative total return assumes reinvestment of dividends. The stock performance shown on the graph below is not necessarily indicative of future price performance.</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Among L.B. Foster Company, the NASDAQ Composite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58420</wp:posOffset>
            </wp:positionV>
            <wp:extent cx="4356735" cy="2607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5673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12/31/10 in stock or index, including reinvestment of dividends. Fiscal year ending December 31.</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640" w:type="dxa"/>
            <w:vAlign w:val="bottom"/>
            <w:tcBorders>
              <w:top w:val="single" w:sz="8" w:color="auto"/>
              <w:left w:val="single" w:sz="8" w:color="auto"/>
              <w:bottom w:val="single" w:sz="8" w:color="auto"/>
            </w:tcBorders>
          </w:tcPr>
          <w:p>
            <w:pPr>
              <w:spacing w:after="0"/>
              <w:rPr>
                <w:sz w:val="22"/>
                <w:szCs w:val="22"/>
                <w:color w:val="auto"/>
              </w:rPr>
            </w:pPr>
          </w:p>
        </w:tc>
        <w:tc>
          <w:tcPr>
            <w:tcW w:w="2540" w:type="dxa"/>
            <w:vAlign w:val="bottom"/>
            <w:tcBorders>
              <w:top w:val="single" w:sz="8" w:color="auto"/>
              <w:bottom w:val="single" w:sz="8" w:color="auto"/>
              <w:right w:val="single" w:sz="8" w:color="auto"/>
            </w:tcBorders>
          </w:tcPr>
          <w:p>
            <w:pPr>
              <w:spacing w:after="0"/>
              <w:rPr>
                <w:sz w:val="22"/>
                <w:szCs w:val="22"/>
                <w:color w:val="auto"/>
              </w:rPr>
            </w:pPr>
          </w:p>
        </w:tc>
        <w:tc>
          <w:tcPr>
            <w:tcW w:w="880" w:type="dxa"/>
            <w:vAlign w:val="bottom"/>
            <w:tcBorders>
              <w:top w:val="single" w:sz="8" w:color="auto"/>
              <w:bottom w:val="single" w:sz="8" w:color="auto"/>
              <w:right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12/10</w:t>
            </w:r>
          </w:p>
        </w:tc>
        <w:tc>
          <w:tcPr>
            <w:tcW w:w="780" w:type="dxa"/>
            <w:vAlign w:val="bottom"/>
            <w:tcBorders>
              <w:top w:val="single" w:sz="8" w:color="auto"/>
              <w:bottom w:val="single" w:sz="8" w:color="auto"/>
              <w:right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12/11</w:t>
            </w:r>
          </w:p>
        </w:tc>
        <w:tc>
          <w:tcPr>
            <w:tcW w:w="880" w:type="dxa"/>
            <w:vAlign w:val="bottom"/>
            <w:tcBorders>
              <w:top w:val="single" w:sz="8" w:color="auto"/>
              <w:bottom w:val="single" w:sz="8" w:color="auto"/>
              <w:right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12/12</w:t>
            </w:r>
          </w:p>
        </w:tc>
        <w:tc>
          <w:tcPr>
            <w:tcW w:w="880" w:type="dxa"/>
            <w:vAlign w:val="bottom"/>
            <w:tcBorders>
              <w:top w:val="single" w:sz="8" w:color="auto"/>
              <w:bottom w:val="single" w:sz="8" w:color="auto"/>
              <w:right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12/13</w:t>
            </w:r>
          </w:p>
        </w:tc>
        <w:tc>
          <w:tcPr>
            <w:tcW w:w="900" w:type="dxa"/>
            <w:vAlign w:val="bottom"/>
            <w:tcBorders>
              <w:top w:val="single" w:sz="8" w:color="auto"/>
              <w:bottom w:val="single" w:sz="8" w:color="auto"/>
              <w:right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12/14</w:t>
            </w:r>
          </w:p>
        </w:tc>
        <w:tc>
          <w:tcPr>
            <w:tcW w:w="9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12/15</w:t>
            </w:r>
          </w:p>
        </w:tc>
      </w:tr>
      <w:tr>
        <w:trPr>
          <w:trHeight w:val="210"/>
        </w:trPr>
        <w:tc>
          <w:tcPr>
            <w:tcW w:w="364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L.B. Foster Company</w:t>
            </w:r>
          </w:p>
        </w:tc>
        <w:tc>
          <w:tcPr>
            <w:tcW w:w="2540" w:type="dxa"/>
            <w:vAlign w:val="bottom"/>
            <w:tcBorders>
              <w:bottom w:val="single" w:sz="8" w:color="auto"/>
              <w:right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7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$69.33</w:t>
            </w:r>
          </w:p>
        </w:tc>
        <w:tc>
          <w:tcPr>
            <w:tcW w:w="8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$106.80</w:t>
            </w:r>
          </w:p>
        </w:tc>
        <w:tc>
          <w:tcPr>
            <w:tcW w:w="8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$116.58</w:t>
            </w:r>
          </w:p>
        </w:tc>
        <w:tc>
          <w:tcPr>
            <w:tcW w:w="90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$120.05</w:t>
            </w:r>
          </w:p>
        </w:tc>
        <w:tc>
          <w:tcPr>
            <w:tcW w:w="94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$34.02</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NASDAQ Composite</w:t>
            </w:r>
          </w:p>
        </w:tc>
        <w:tc>
          <w:tcPr>
            <w:tcW w:w="25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100.00</w:t>
            </w:r>
          </w:p>
        </w:tc>
        <w:tc>
          <w:tcPr>
            <w:tcW w:w="78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100.53</w:t>
            </w:r>
          </w:p>
        </w:tc>
        <w:tc>
          <w:tcPr>
            <w:tcW w:w="8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116.92</w:t>
            </w:r>
          </w:p>
        </w:tc>
        <w:tc>
          <w:tcPr>
            <w:tcW w:w="8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166.19</w:t>
            </w:r>
          </w:p>
        </w:tc>
        <w:tc>
          <w:tcPr>
            <w:tcW w:w="9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188.78</w:t>
            </w:r>
          </w:p>
        </w:tc>
        <w:tc>
          <w:tcPr>
            <w:tcW w:w="9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199.95</w:t>
            </w:r>
          </w:p>
        </w:tc>
      </w:tr>
      <w:tr>
        <w:trPr>
          <w:trHeight w:val="210"/>
        </w:trPr>
        <w:tc>
          <w:tcPr>
            <w:tcW w:w="364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2015 Peer Group</w:t>
            </w:r>
          </w:p>
        </w:tc>
        <w:tc>
          <w:tcPr>
            <w:tcW w:w="2540" w:type="dxa"/>
            <w:vAlign w:val="bottom"/>
            <w:tcBorders>
              <w:bottom w:val="single" w:sz="8" w:color="auto"/>
              <w:right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7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89.10</w:t>
            </w:r>
          </w:p>
        </w:tc>
        <w:tc>
          <w:tcPr>
            <w:tcW w:w="8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100.87</w:t>
            </w:r>
          </w:p>
        </w:tc>
        <w:tc>
          <w:tcPr>
            <w:tcW w:w="8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142.58</w:t>
            </w:r>
          </w:p>
        </w:tc>
        <w:tc>
          <w:tcPr>
            <w:tcW w:w="90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127.82</w:t>
            </w:r>
          </w:p>
        </w:tc>
        <w:tc>
          <w:tcPr>
            <w:tcW w:w="94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106.05</w:t>
            </w:r>
          </w:p>
        </w:tc>
      </w:tr>
      <w:tr>
        <w:trPr>
          <w:trHeight w:val="356"/>
        </w:trPr>
        <w:tc>
          <w:tcPr>
            <w:tcW w:w="3640" w:type="dxa"/>
            <w:vAlign w:val="bottom"/>
          </w:tcPr>
          <w:p>
            <w:pPr>
              <w:spacing w:after="0"/>
              <w:rPr>
                <w:sz w:val="24"/>
                <w:szCs w:val="24"/>
                <w:color w:val="auto"/>
              </w:rPr>
            </w:pPr>
          </w:p>
        </w:tc>
        <w:tc>
          <w:tcPr>
            <w:tcW w:w="2540" w:type="dxa"/>
            <w:vAlign w:val="bottom"/>
          </w:tcPr>
          <w:p>
            <w:pPr>
              <w:jc w:val="right"/>
              <w:ind w:right="292"/>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information at December 31, 2015 with respect to compensation plans under which equity securities of the Company are authorized for issuance.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securities remaining</w:t>
            </w: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68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1360" w:type="dxa"/>
            <w:vAlign w:val="bottom"/>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equity compensation</w:t>
            </w: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60" w:type="dxa"/>
            <w:vAlign w:val="bottom"/>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plans (excluding securities</w:t>
            </w: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68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360" w:type="dxa"/>
            <w:vAlign w:val="bottom"/>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to be issued upon exercise of</w:t>
            </w:r>
          </w:p>
        </w:tc>
      </w:tr>
      <w:tr>
        <w:trPr>
          <w:trHeight w:val="161"/>
        </w:trPr>
        <w:tc>
          <w:tcPr>
            <w:tcW w:w="20" w:type="dxa"/>
            <w:vAlign w:val="bottom"/>
          </w:tcPr>
          <w:p>
            <w:pPr>
              <w:spacing w:after="0"/>
              <w:rPr>
                <w:sz w:val="14"/>
                <w:szCs w:val="14"/>
                <w:color w:val="auto"/>
              </w:rPr>
            </w:pPr>
          </w:p>
        </w:tc>
        <w:tc>
          <w:tcPr>
            <w:tcW w:w="3840" w:type="dxa"/>
            <w:vAlign w:val="bottom"/>
          </w:tcPr>
          <w:p>
            <w:pPr>
              <w:ind w:left="880"/>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warrants, and rights</w:t>
            </w:r>
          </w:p>
        </w:tc>
        <w:tc>
          <w:tcPr>
            <w:tcW w:w="6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warrants, and rights</w:t>
            </w:r>
          </w:p>
        </w:tc>
        <w:tc>
          <w:tcPr>
            <w:tcW w:w="1360" w:type="dxa"/>
            <w:vAlign w:val="bottom"/>
          </w:tcPr>
          <w:p>
            <w:pPr>
              <w:spacing w:after="0"/>
              <w:rPr>
                <w:sz w:val="14"/>
                <w:szCs w:val="14"/>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outstanding options, warrants, or rights)</w:t>
            </w:r>
          </w:p>
        </w:tc>
      </w:tr>
      <w:tr>
        <w:trPr>
          <w:trHeight w:val="188"/>
        </w:trPr>
        <w:tc>
          <w:tcPr>
            <w:tcW w:w="20" w:type="dxa"/>
            <w:vAlign w:val="bottom"/>
          </w:tcPr>
          <w:p>
            <w:pPr>
              <w:spacing w:after="0"/>
              <w:rPr>
                <w:sz w:val="16"/>
                <w:szCs w:val="16"/>
                <w:color w:val="auto"/>
              </w:rPr>
            </w:pPr>
          </w:p>
        </w:tc>
        <w:tc>
          <w:tcPr>
            <w:tcW w:w="38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Equity compensation plans</w:t>
            </w:r>
          </w:p>
        </w:tc>
        <w:tc>
          <w:tcPr>
            <w:tcW w:w="1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approved by shareholders</w:t>
            </w:r>
          </w:p>
        </w:tc>
        <w:tc>
          <w:tcPr>
            <w:tcW w:w="18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407,307</w:t>
            </w:r>
          </w:p>
        </w:tc>
        <w:tc>
          <w:tcPr>
            <w:tcW w:w="10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approved by shareholders</w:t>
            </w: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2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2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Under the 2006 Omnibus Incentive Plan, non-employee directors are automatically awarded shares of the Company’s common stock as determined by the Board of Directors at each annual shareholder meeting at which such non-employee director is elected or re-elected, commencing May 24, 2006. Through December 31, 2015, there were 124,642 fully vested shares issued under the 2006 Omnibus Incentive Plan to non-employee directors. During 2015, pursuant to the 2006 Omnibus Incentive Plan, the Company issued approximately 14,000 fully-vested shares in lieu of a cash payment earned under separate three year incentive plans.</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grants eligible employees restricted stock and performance unit awards under the 2006 Incentive Omnibus Plan. The forfeitable restricted stock awards granted prior to March 2015 generally time-vest after a four-year holding period, and those granted in March 2015 generally time-vest ratably over a three-year period, unless indicated otherwise by the underlying restricted stock award agreement. Performance unit awards are offered annually under separate three-year long-term incentive plans. Performance units are subject to forfeiture and will be converted into common stock of the Company based upon the Company’s performance relative to performance measures and conversion multiples as defined in the underlying plan.</w:t>
      </w:r>
    </w:p>
    <w:p>
      <w:pPr>
        <w:spacing w:after="0" w:line="3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will withhold or employees may tender shares of restricted stock when issued to pay for withholding taxes. During 2015, 2014, and 2013, the Company withheld 25,340, 21,676, and 16,166 shares, respectively, for this purpose. The value of the shares withheld were $1,114,000, $985,000, and $708,000 in 2015, 2014, and 2013,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purchases of equity securities for the three-month period ended December 31, 2015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100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Approximate dollar</w:t>
            </w:r>
          </w:p>
        </w:tc>
      </w:tr>
      <w:tr>
        <w:trPr>
          <w:trHeight w:val="149"/>
        </w:trPr>
        <w:tc>
          <w:tcPr>
            <w:tcW w:w="4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value of shares</w:t>
            </w:r>
          </w:p>
        </w:tc>
      </w:tr>
      <w:tr>
        <w:trPr>
          <w:trHeight w:val="149"/>
        </w:trPr>
        <w:tc>
          <w:tcPr>
            <w:tcW w:w="4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Average</w:t>
            </w:r>
          </w:p>
        </w:tc>
        <w:tc>
          <w:tcPr>
            <w:tcW w:w="1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purchased as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that may yet be</w:t>
            </w:r>
          </w:p>
        </w:tc>
      </w:tr>
      <w:tr>
        <w:trPr>
          <w:trHeight w:val="149"/>
        </w:trPr>
        <w:tc>
          <w:tcPr>
            <w:tcW w:w="470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83"/>
              </w:rPr>
              <w:t>price</w:t>
            </w:r>
          </w:p>
        </w:tc>
        <w:tc>
          <w:tcPr>
            <w:tcW w:w="1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part of publicly</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49"/>
        </w:trPr>
        <w:tc>
          <w:tcPr>
            <w:tcW w:w="470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0"/>
              </w:rPr>
              <w:t>of shares</w:t>
            </w:r>
          </w:p>
        </w:tc>
        <w:tc>
          <w:tcPr>
            <w:tcW w:w="96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paid per</w:t>
            </w:r>
          </w:p>
        </w:tc>
        <w:tc>
          <w:tcPr>
            <w:tcW w:w="1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announced plans</w:t>
            </w:r>
          </w:p>
        </w:tc>
        <w:tc>
          <w:tcPr>
            <w:tcW w:w="10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the plans or programs</w:t>
            </w:r>
          </w:p>
        </w:tc>
      </w:tr>
      <w:tr>
        <w:trPr>
          <w:trHeight w:val="161"/>
        </w:trPr>
        <w:tc>
          <w:tcPr>
            <w:tcW w:w="470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purchased(1)</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0"/>
              </w:rPr>
              <w:t>share</w:t>
            </w:r>
          </w:p>
        </w:tc>
        <w:tc>
          <w:tcPr>
            <w:tcW w:w="10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or programs(2),(3)</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October 1, 2015 — October 31, 2015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November 1, 2015 — November 30, 2015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13,413</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December 1, 2015 — December 31, 2015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11.09</w:t>
            </w:r>
          </w:p>
        </w:tc>
        <w:tc>
          <w:tcPr>
            <w:tcW w:w="10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13,413</w:t>
            </w:r>
          </w:p>
        </w:tc>
        <w:tc>
          <w:tcPr>
            <w:tcW w:w="100" w:type="dxa"/>
            <w:vAlign w:val="bottom"/>
            <w:shd w:val="clear" w:color="auto" w:fill="CCEEFF"/>
          </w:tcPr>
          <w:p>
            <w:pPr>
              <w:spacing w:after="0"/>
              <w:rPr>
                <w:sz w:val="18"/>
                <w:szCs w:val="18"/>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1,328</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13,413</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340" w:right="60" w:hanging="332"/>
        <w:spacing w:after="0" w:line="25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shares withheld by the Company to pay taxes upon vesting of restricted stock. These shares do not impact the remaining authorization to repurchase shares under approved plans or programs.</w:t>
      </w:r>
    </w:p>
    <w:p>
      <w:pPr>
        <w:ind w:left="340" w:right="2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4, 2013, the Board of Directors authorized the repurchase of up to $15,000,000 of the Company’s common shares until December 31, 2016. This authorization became effective January 1, 2014.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40" w:hanging="332"/>
        <w:spacing w:after="0" w:line="26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9, 2015, the Board of Directors authorized the repurchase of up to $30,000,000 of the Company’s common shares until December 31, 2017. This authorization became effective January 1, 2016 and replaces the prior authorization.</w:t>
      </w:r>
    </w:p>
    <w:p>
      <w:pPr>
        <w:spacing w:after="0" w:line="5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Company purchased 80,512 common shares for $1,587,000 during the year ended December 31, 2015 under our previous share repurchase authorization.</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following selected financial data has been derived from our audited financial statements. The financial data presented below should be read in conjunction with the information contained in “Management’s Discussion and Analysis of Financial Condition and Results of Operations” and the Consolidated Financial Statements of the Company and the Notes thereto included elsewhere in this Annual Report on Form 10-K.</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Statement Data</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1"/>
              </w:rPr>
              <w:t>2015(1)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91"/>
              </w:rPr>
              <w:t>2014(2)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1"/>
              </w:rPr>
              <w:t>2013(3)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1"/>
              </w:rPr>
              <w:t>2012(4)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1"/>
              </w:rPr>
              <w:t>2011(5)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624,523</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607,192</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597,963</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588,541</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575,337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Operating profit</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28,760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37,082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41,571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22,657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continuing operations,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22,895</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Basic (loss)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(loss)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Diluted (loss)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(loss)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Dividends paid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represents the gross profit less selling and administrative expenses and amortization expense.</w:t>
      </w:r>
    </w:p>
    <w:p>
      <w:pPr>
        <w:spacing w:after="0" w:line="63" w:lineRule="exact"/>
        <w:rPr>
          <w:sz w:val="20"/>
          <w:szCs w:val="20"/>
          <w:color w:val="auto"/>
        </w:rPr>
      </w:pPr>
    </w:p>
    <w:p>
      <w:pPr>
        <w:ind w:left="340" w:right="240" w:hanging="332"/>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2015 includes the results of the acquisitions of TEW Plus, LTD (“Tew Plus”) (November 23), IOS Holdings, Inc (“IOS”) (March 13), and TEW Holdings, LTD (“Tew”) (January 13). The results also include an $80,337 ($63,887 net of taxes) impairment of goodwill related to the IOS and Chemtec reporting units. More information about the impairment can be found in Part II, Item 8, Note 4.</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2014 includes CXT Concrete Tie warranty charges of $9,374 within the Rail Products and Services segment. The 2014 results also include the acquisitions of Carr Concrete Corporation (July 7), FWO (October 29), and Chemtec (December 30).</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2013 includes the acquisition of Ball Winch, LLC, (November 7).</w:t>
      </w:r>
    </w:p>
    <w:p>
      <w:pPr>
        <w:spacing w:after="0" w:line="9" w:lineRule="exact"/>
        <w:rPr>
          <w:rFonts w:ascii="Arial" w:cs="Arial" w:eastAsia="Arial" w:hAnsi="Arial"/>
          <w:sz w:val="18"/>
          <w:szCs w:val="18"/>
          <w:color w:val="auto"/>
        </w:rPr>
      </w:pPr>
    </w:p>
    <w:p>
      <w:pPr>
        <w:ind w:left="340" w:right="40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2012 includes a $22,000 warranty charge and a pre-tax gain of $3,193, from the dispositions of SSD and Precise divisions, in income from discontinued operations, net of tax.</w:t>
      </w:r>
    </w:p>
    <w:p>
      <w:pPr>
        <w:ind w:left="340" w:right="24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2011 includes a pre-tax gain of $577 associated with the early termination of the operating lease associated with the Company’s sale-leaseback transaction for our threaded products facility, formerly located in Houston, TX.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Balance Sheet Data</w:t>
            </w:r>
          </w:p>
        </w:tc>
        <w:tc>
          <w:tcPr>
            <w:tcW w:w="4840" w:type="dxa"/>
            <w:vAlign w:val="bottom"/>
            <w:vMerge w:val="restart"/>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840" w:type="dxa"/>
            <w:vAlign w:val="bottom"/>
            <w:vMerge w:val="continue"/>
          </w:tcPr>
          <w:p>
            <w:pPr>
              <w:spacing w:after="0"/>
              <w:rPr>
                <w:sz w:val="12"/>
                <w:szCs w:val="12"/>
                <w:color w:val="auto"/>
              </w:rPr>
            </w:pPr>
          </w:p>
        </w:tc>
        <w:tc>
          <w:tcPr>
            <w:tcW w:w="70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2015</w:t>
            </w:r>
          </w:p>
        </w:tc>
        <w:tc>
          <w:tcPr>
            <w:tcW w:w="112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2014</w:t>
            </w:r>
          </w:p>
        </w:tc>
        <w:tc>
          <w:tcPr>
            <w:tcW w:w="114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92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rPr>
              <w:t>2012</w:t>
            </w:r>
          </w:p>
        </w:tc>
        <w:tc>
          <w:tcPr>
            <w:tcW w:w="116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$ 566,660</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$ 491,717</w:t>
            </w: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$ 413,193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$ 401,537</w:t>
            </w: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$ 379,894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700" w:type="dxa"/>
            <w:vAlign w:val="bottom"/>
          </w:tcPr>
          <w:p>
            <w:pPr>
              <w:jc w:val="right"/>
              <w:spacing w:after="0"/>
              <w:rPr>
                <w:sz w:val="20"/>
                <w:szCs w:val="20"/>
                <w:color w:val="auto"/>
              </w:rPr>
            </w:pPr>
            <w:r>
              <w:rPr>
                <w:rFonts w:ascii="Arial" w:cs="Arial" w:eastAsia="Arial" w:hAnsi="Arial"/>
                <w:sz w:val="18"/>
                <w:szCs w:val="18"/>
                <w:color w:val="auto"/>
              </w:rPr>
              <w:t>122,828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135,488</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171,603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179,838</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156,020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25,752</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jc w:val="right"/>
              <w:spacing w:after="0"/>
              <w:rPr>
                <w:sz w:val="20"/>
                <w:szCs w:val="20"/>
                <w:color w:val="auto"/>
              </w:rPr>
            </w:pPr>
            <w:r>
              <w:rPr>
                <w:rFonts w:ascii="Arial" w:cs="Arial" w:eastAsia="Arial" w:hAnsi="Arial"/>
                <w:sz w:val="18"/>
                <w:szCs w:val="18"/>
                <w:color w:val="auto"/>
              </w:rPr>
              <w:t>282,832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335,888</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316,397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287,575</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269,815</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data unless otherwise noted)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Level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 acquisitions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Rail Products and Services Acquisitions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On November 23, 2015, the Company acquired the 75% balance of the remaining shares of Tew Plus for $2,130, net of cash acquired. Headquartered in Nottingham, UK, Tew Plus provides telecommunications and security systems to the railway and commercial markets. Their offerings include full installation services including: design, project management, survey, and commissioning along with future maintenance.</w:t>
      </w:r>
    </w:p>
    <w:p>
      <w:pPr>
        <w:spacing w:after="0" w:line="2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On January 13, 2015, the Company acquired Tew for $26,467, net of cash acquired. Headquartered in Nottingham, UK, Tew provides application engineering solutions primarily to the rail market and other major industries.</w:t>
      </w:r>
    </w:p>
    <w:p>
      <w:pPr>
        <w:spacing w:after="0" w:line="5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Rail Products and Services segment acquisitions in the United Kingdom have enhanced our international product and service offerings. We have consolidated our Leicester, UK facility with the acquired business to establish a center of excellence in Nottingham, UK for engineering automation.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Tubular and Energy Services Acquisition</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March 13, 2015, the Company acquired IOS for $167,404, net of cash acquired and a net working capital receivable adjustment of $2,363. IOS is a leading independent provider of tubular management services with operations in every significant oil and gas producing region in the continental United States. See Part 1, Item 8, Note 4 with respect to an impairment of the goodwill related to this acquisition.</w:t>
      </w:r>
    </w:p>
    <w:p>
      <w:pPr>
        <w:spacing w:after="0" w:line="5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IOS acquisition provides the Company with a comprehensive footprint that we believe will generate significant long-term benefit to the Company. Over the course of the current year, the IOS business has been negatively impacted by a significant decline in oil prices and related drop in active rigs. Management has implemented and continues to evaluate the necessary cost reductions to weather the current downturn, however, we continue to believe that the business will generate substantial profits once the global oil and gas market stabilizes and begins to recover.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Developments and 2016 Outlook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2015, we:</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Generated adjusted EBITDA of $60,606 (a)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Sold our Tucson, AZ concrete tie manufacturing assets for $2,750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borrowings on our outstanding revolving debt facility by $51,261 from March 31, 2015</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Amended our credit agreement from a maximum credit line of $200,000 with a $100,000 accordion feature to a maximum credit line of $335,000 with a $100,000 accordion feature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Repurchased $1,587 of common shares under the share repurchase authorization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application development work on a new Company-wide enterprise resource planning system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340" w:right="36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table displays a reconciliation of this non-GAAP measure for the three-year periods ended December 31, 2015, 2014 and 2013. EBITDA adjusted for the current year goodwill impairment is a financial metric utilized by management to evaluate the Company’s performance on a comparable basis after excluding the non-cash impact of the 2015 impairment of goodwill.</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Reconciliation</w:t>
            </w:r>
          </w:p>
        </w:tc>
        <w:tc>
          <w:tcPr>
            <w:tcW w:w="2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(loss) income</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(44,445)</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2"/>
              </w:rPr>
              <w:t>$ 25,656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$ 29,290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(6,132)</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13,404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14,848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14,429</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Amortization</w:t>
            </w:r>
          </w:p>
        </w:tc>
        <w:tc>
          <w:tcPr>
            <w:tcW w:w="2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12,245</w:t>
            </w:r>
          </w:p>
        </w:tc>
        <w:tc>
          <w:tcPr>
            <w:tcW w:w="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EBITDA</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(19,731)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$ 51,619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$ 53,966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80,337</w:t>
            </w:r>
          </w:p>
        </w:tc>
        <w:tc>
          <w:tcPr>
            <w:tcW w:w="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EBITDA adjusted for impairment of goodwill</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60,606</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$ 51,619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$ 53,966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During 2015, market conditions deteriorated as the year progressed. Our largest business segment that serves transportation infrastructure markets experienced weakness that began in the second quarter. The Rail Products and Services segment was largely impacted by reduced spending that persisted through the year in the North American freight rail market. As the overall commodities markets experienced significant weakness, this translated into declining commodity carloads for rail carriers and pressure on pricing. Rail carloads are being adversely affected by the continuing shift away from coal to natural gas, declining crude by rail shipments, and reductions in most other metals, ores, and agriculture products. Bright spots exist in intermodal freight and shipments of passenger vehicles. North American freight rail companies began curtailing spending in the second half of 2015 which impacted most of our rail divisions. Spending in 2016 by the large freight rail operators in North America is expected to continue that trend according to their announcements. The European market was also weak in 2015 as a result of reduced spending by Network Rail, our primary customer in the United Kingdom. However, the outlook in the U.K. is more favorable for 2016. In the United States, passage of a new six year transportation bill “Fixing America’s Surface Transportation (FAST) Act” will provide additional funds for U.S. transit agencies to maintain and grow their systems.</w:t>
      </w:r>
    </w:p>
    <w:p>
      <w:pPr>
        <w:spacing w:after="0" w:line="4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As rail market conditions declined during 2015, and we experienced the loss of sales to UPRR, the management team acted to maximize profit margins. In addition to the weakening freight rail market, we lost approximately $26,000 in sales from UPRR versus the prior year (from $41,000 to $15,000). Management took several actions to cut costs and delay capital to help offset the pressure from declining volume.</w:t>
      </w:r>
    </w:p>
    <w:p>
      <w:pPr>
        <w:spacing w:after="0" w:line="2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spending that is getting priority among the freight rail operators is directed at safety improvement, operating efficiency, and other cost reductions. The Company continues to target products and solutions that help improve safety and operating efficiency as well as introduce services that help operators perform maintenance at lower costs. We believe that the freight rail operators will continue to harden their network infrastructure to handle the demanding loads and traffic expected in the coming decades. When imports and exports grow with the global economy, freight rail operators are expected to benefit from the need for intermodal networks to efficiently ship goods.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Funding for transit rail projects in North America continued at a steady pace in 2015. The Company’s revenues from this market is always affected by swings in large projects from one year to the next. Our results in 2015 were relatively strong, and we continue to believe the transit market will grow over the long run, although year to year sequential growth may not be consistent. Management believes that the global transit market represents a good opportunity for the Company. By focusing on products that can improve safety and efficiency, as well as passenger comfort, we are attempting to partner with key end users and OEM’s to serve this market. In addition, we have launched a broader set of automation solutions for passenger transit systems through our Tew business acquired in 2015. Innovative solutions from our team of engineers will be focused on helping transit system operations improve infrastructure and lower cost.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Within our Construction Products segment, heavy civil construction projects remained steady through 2015. The Company performed well in our core product areas of (a) bridge decking that provides new decking surfaces intended largely for bridge rehabilitation projects, (b) sheet piling for railway, highway, bridges, and port projects, and (c) precast concrete buildings. The Company did not perform well in other piling products targeted at (or utilized in) heavy civil projects that became very price competitive due to declining steel prices. Throughout the year, lower scrap input prices and very low factory utilization rates kept steel prices very competitive. As a result, the Company did not participate in some of the typical projects we serve with pipe pile and H-pile, resulting in lower annual volumes and sales.</w:t>
      </w:r>
    </w:p>
    <w:p>
      <w:pPr>
        <w:spacing w:after="0" w:line="6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Factory utilization in the steel industry is expected to remain at depressed levels into 2016. There is capacity in many world areas to provide supply for projects at very competitive prices. This industry is also being affected by the significant weakness in oil and gas exploration and development as well as other industrial markets where the commodity cycle has led to pressure on costs and lower capital spending.</w:t>
      </w:r>
    </w:p>
    <w:p>
      <w:pPr>
        <w:spacing w:after="0" w:line="2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precast concrete buildings business was a bright spot in 2015. The introduction of new products provided support for growth, particularly in the Southwest region of the U.S. The market for buildings typically grows at a low pace, and we expect 2016 to mirror that trend.</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energy markets where our Tubular and Energy Services segment is focused, faced rapidly changing spending patterns in 2015. This volatility could exist throughout 2016. As the upstream, and to a lesser extent, midstream operators are adjusting capital spending plans, our orders have been difficult to forecast. Market conditions deteriorated throughout 2015 as end users adjusted to fluctuating oil prices and reacted to a changing climate around liquidity needs. The majority of our business is tied to investment in midstream pipeline infrastructure. However, the Company has exposure to investment in drilling, including the need for tubulars in hydraulic fracturing applications. Energy market weakness caused us to take restructuring actions mainly in the upstream test and inspection services business. These actions included consolidation of facilities and closures in markets that did not have sustainable demand.</w:t>
      </w:r>
    </w:p>
    <w:p>
      <w:pPr>
        <w:spacing w:after="0" w:line="3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It is our belief that there are widespread needs across the US for pipeline infrastructure in the long term, and new demand will be driven by already developed wells, future exporting potential, and transition from coal to natural gas plants. As a result of reduced forecasted capital spending across the energy industry, U.S. crude oil production is expected to decline in 2016, setting up the potential for a market rebalance later in 2016. Therefore, it is not clear as to whether 2016 will be the year that any measureable rebound will take place. We finished 2015 with a solid backlog for the coated pipe business and precision measurement systems, both aimed at pipeline applications. The upstream test and inspection business exited the year at a recent low point in sales, and has yet to experience a quarterly sequential increase in sales.</w:t>
      </w:r>
    </w:p>
    <w:p>
      <w:pPr>
        <w:spacing w:after="0" w:line="6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Management intends to stay focused on cost reduction actions and ways to streamline products and plant efficiency. We will launch a new ERP system in Q2 of 2016 that will start with operations from two Rail Products and Services divisions. Our long term objective is to bring modernization needed to the entire Company and develop a platform from which we can grow and leverage best in class business processes.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UPRR Product Warranty Claim</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2015, UPRR filed a Complaint and Demand for Jury Trial in the District Court for Douglas County, NE against the Company and its subsidiary, CXT Incorporated, asserting among other matters, that the Company breached its express warranty, breached an implied covenant of good faith and fair dealing, and anticipatorily repudiated its warranty obligations, and that UPRR’s exclusive and limited remedy provisions in the supply agreement have failed of their essential purpose which entitles UPRR to recover all incidental and consequential damages. The complaint seeks to cancel all duties of UPRR under the contracts, to adjudge the Company as having no remaining rights under the contracts, and to recover damages in an amount to be determined at trial for the value of unfulfilled warranty replacement ties and ties likely to become warranty eligible, for costs of cover for replacement ties and for various incidental and consequential damages.</w:t>
      </w:r>
    </w:p>
    <w:p>
      <w:pPr>
        <w:spacing w:after="0" w:line="6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dispute is largely based on (1) claims submitted that the Company believes are for ties claimed for warranty replacement that are not the responsibility of the Company and claims that do not meet the criteria of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warranty replacement and (2) UPRR’s assertion, which the Company vigorously disputes, that in future years UPRR will be entitled to warranty replacement ties for virtually all of the ties manufactured at the Company’s former Grand Island, NE tie facility. Many thousands of Grand Island ties have been performing in track for over ten years. In addition, a significant amount of Grand Island ties were rated by both parties in the excellent category of the rating system. The Company believes UPRR’s claims are without merit and intends to vigorously defend itself.</w:t>
      </w:r>
    </w:p>
    <w:p>
      <w:pPr>
        <w:spacing w:after="0" w:line="32"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On June 16 and 17, 2015, UPRR issued formal notice of the termination of the concrete tie supply agreement as well as the termination of the lease agreement that the Company had with UPRR for the Tucson, AZ production facility and rejection and revocation of its prior acceptance of certain ties manufactured at the Company’s Spokane, WA production facility.</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29, 2015, the Company and CXT filed an Answer, Affirmative Defenses and Counterclaims in response to the Complaint, denying liability to UPRR. As a result of UPRR’s subsequent June 16-17, 2015 actions and certain related conduct, the Company on October 5, 2015 amended the pending Answer, Affirmative Defenses and Counterclaims to add, among other things, assertions that UPRR’s conduct in question was wrongful and unjustified and constituted additional grounds for the affirmative defenses to UPRR’s claims and also for the Company’s counterclaims. By Scheduling Order dated September 3, 2015, a December 30, 2016 deadline for the completion of fact discovery has been established and trial may proceed at some future date after March 3, 2017, although no trial date has been set. The parties are currently conducting discovery.</w:t>
      </w:r>
    </w:p>
    <w:p>
      <w:pPr>
        <w:spacing w:after="0" w:line="3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continues to engage in discussions in an effort to resolve this matter, however, we cannot predict that such discussions will be successful, or that the results of the litigation with UPRR, or any settlement or judgment amounts relating to this matter will be within the range of our estimated accruals for loss contingencies. Future potential costs pertaining to UPRR’s claims and the outcome of the UPRR litigation could result in a material adverse effect on our results of operations, financial condition, and cash flows. See Part II, Item 8, Note 19, included herein, for information regarding the Company’s commitments and contingent liabilities which is incorporated by reference into this Item 7.</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Percent of Total</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Net Sales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Twelve Months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tcPr>
          <w:p>
            <w:pPr>
              <w:jc w:val="center"/>
              <w:ind w:left="397"/>
              <w:spacing w:after="0" w:line="149" w:lineRule="exact"/>
              <w:rPr>
                <w:sz w:val="20"/>
                <w:szCs w:val="20"/>
                <w:color w:val="auto"/>
              </w:rPr>
            </w:pPr>
            <w:r>
              <w:rPr>
                <w:rFonts w:ascii="Arial" w:cs="Arial" w:eastAsia="Arial" w:hAnsi="Arial"/>
                <w:sz w:val="14"/>
                <w:szCs w:val="14"/>
                <w:b w:val="1"/>
                <w:bCs w:val="1"/>
                <w:color w:val="auto"/>
                <w:w w:val="87"/>
              </w:rPr>
              <w:t>Twelve Months Ended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left="380"/>
              <w:spacing w:after="0" w:line="149" w:lineRule="exact"/>
              <w:rPr>
                <w:sz w:val="20"/>
                <w:szCs w:val="20"/>
                <w:color w:val="auto"/>
              </w:rPr>
            </w:pPr>
            <w:r>
              <w:rPr>
                <w:rFonts w:ascii="Arial" w:cs="Arial" w:eastAsia="Arial" w:hAnsi="Arial"/>
                <w:sz w:val="14"/>
                <w:szCs w:val="14"/>
                <w:b w:val="1"/>
                <w:bCs w:val="1"/>
                <w:color w:val="auto"/>
                <w:w w:val="85"/>
              </w:rPr>
              <w:t>Percent</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Increase/(Decrease)</w:t>
            </w: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4"/>
              </w:rPr>
              <w:t>2015 vs.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0"/>
              </w:rPr>
              <w:t>2014 vs.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8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4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Rail Products and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328,982</w:t>
            </w:r>
          </w:p>
        </w:tc>
        <w:tc>
          <w:tcPr>
            <w:tcW w:w="140" w:type="dxa"/>
            <w:vAlign w:val="bottom"/>
          </w:tcPr>
          <w:p>
            <w:pPr>
              <w:spacing w:after="0"/>
              <w:rPr>
                <w:sz w:val="18"/>
                <w:szCs w:val="18"/>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$374,615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363,667</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61.7%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60.8%</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Products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176,394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178,847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191,751</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28.2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Tubular and Energy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119,147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53,730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42,545</w:t>
            </w:r>
          </w:p>
        </w:tc>
        <w:tc>
          <w:tcPr>
            <w:tcW w:w="28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19.1</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8.8</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121.8</w:t>
            </w:r>
          </w:p>
        </w:tc>
        <w:tc>
          <w:tcPr>
            <w:tcW w:w="4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624,523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607,192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597,963</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 Profit</w:t>
            </w: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Twelve Months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tcPr>
          <w:p>
            <w:pPr>
              <w:jc w:val="center"/>
              <w:ind w:left="397"/>
              <w:spacing w:after="0" w:line="149" w:lineRule="exact"/>
              <w:rPr>
                <w:sz w:val="20"/>
                <w:szCs w:val="20"/>
                <w:color w:val="auto"/>
              </w:rPr>
            </w:pPr>
            <w:r>
              <w:rPr>
                <w:rFonts w:ascii="Arial" w:cs="Arial" w:eastAsia="Arial" w:hAnsi="Arial"/>
                <w:sz w:val="14"/>
                <w:szCs w:val="14"/>
                <w:b w:val="1"/>
                <w:bCs w:val="1"/>
                <w:color w:val="auto"/>
                <w:w w:val="87"/>
              </w:rPr>
              <w:t>Twelve Months Ended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left="380"/>
              <w:spacing w:after="0" w:line="149" w:lineRule="exact"/>
              <w:rPr>
                <w:sz w:val="20"/>
                <w:szCs w:val="20"/>
                <w:color w:val="auto"/>
              </w:rPr>
            </w:pPr>
            <w:r>
              <w:rPr>
                <w:rFonts w:ascii="Arial" w:cs="Arial" w:eastAsia="Arial" w:hAnsi="Arial"/>
                <w:sz w:val="14"/>
                <w:szCs w:val="14"/>
                <w:b w:val="1"/>
                <w:bCs w:val="1"/>
                <w:color w:val="auto"/>
                <w:w w:val="85"/>
              </w:rPr>
              <w:t>Percent</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Increase/(Decrease)</w:t>
            </w: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4"/>
              </w:rPr>
              <w:t>2015 vs.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0"/>
              </w:rPr>
              <w:t>2014 vs.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8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4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Rail Products and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75,276</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77,235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74,986</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20.6%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Products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29,224</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19.4</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Tubular and Energy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11,722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12,278</w:t>
            </w:r>
          </w:p>
        </w:tc>
        <w:tc>
          <w:tcPr>
            <w:tcW w:w="28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18.9</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21.8</w:t>
            </w: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91.8</w:t>
            </w:r>
          </w:p>
        </w:tc>
        <w:tc>
          <w:tcPr>
            <w:tcW w:w="4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LIFO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(586)</w:t>
            </w: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(0.1)</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500" w:type="dxa"/>
            <w:vAlign w:val="bottom"/>
          </w:tcPr>
          <w:p>
            <w:pPr>
              <w:jc w:val="right"/>
              <w:spacing w:after="0"/>
              <w:rPr>
                <w:sz w:val="20"/>
                <w:szCs w:val="20"/>
                <w:color w:val="auto"/>
              </w:rPr>
            </w:pPr>
            <w:r>
              <w:rPr>
                <w:rFonts w:ascii="Arial" w:cs="Arial" w:eastAsia="Arial" w:hAnsi="Arial"/>
                <w:sz w:val="18"/>
                <w:szCs w:val="18"/>
                <w:color w:val="auto"/>
              </w:rPr>
              <w:t>49.7</w:t>
            </w:r>
          </w:p>
        </w:tc>
        <w:tc>
          <w:tcPr>
            <w:tcW w:w="4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133,653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121,591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115,939</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Percent of Total</w:t>
            </w: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gridSpan w:val="4"/>
            <w:vMerge w:val="continue"/>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Net Sales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Twelve Months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tcPr>
          <w:p>
            <w:pPr>
              <w:jc w:val="center"/>
              <w:ind w:left="397"/>
              <w:spacing w:after="0" w:line="149" w:lineRule="exact"/>
              <w:rPr>
                <w:sz w:val="20"/>
                <w:szCs w:val="20"/>
                <w:color w:val="auto"/>
              </w:rPr>
            </w:pPr>
            <w:r>
              <w:rPr>
                <w:rFonts w:ascii="Arial" w:cs="Arial" w:eastAsia="Arial" w:hAnsi="Arial"/>
                <w:sz w:val="14"/>
                <w:szCs w:val="14"/>
                <w:b w:val="1"/>
                <w:bCs w:val="1"/>
                <w:color w:val="auto"/>
                <w:w w:val="87"/>
              </w:rPr>
              <w:t>Twelve Months Ended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left="380"/>
              <w:spacing w:after="0" w:line="149" w:lineRule="exact"/>
              <w:rPr>
                <w:sz w:val="20"/>
                <w:szCs w:val="20"/>
                <w:color w:val="auto"/>
              </w:rPr>
            </w:pPr>
            <w:r>
              <w:rPr>
                <w:rFonts w:ascii="Arial" w:cs="Arial" w:eastAsia="Arial" w:hAnsi="Arial"/>
                <w:sz w:val="14"/>
                <w:szCs w:val="14"/>
                <w:b w:val="1"/>
                <w:bCs w:val="1"/>
                <w:color w:val="auto"/>
                <w:w w:val="85"/>
              </w:rPr>
              <w:t>Percent</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Increase/(Decrease)</w:t>
            </w: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4"/>
              </w:rPr>
              <w:t>2015 vs.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0"/>
              </w:rPr>
              <w:t>2014 vs.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8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4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92,648</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79,814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71,256</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13.1%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(61.1)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8"/>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(income) of nonconsolidated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w:t>
            </w: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(132.2)</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(5,585)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(1,077)</w:t>
            </w: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(0.9)</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(37.0)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184,230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71,801</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(8.1)%</w:t>
            </w: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6.4%</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7.4%</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3"/>
              </w:rPr>
              <w:t>(229.5)%</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line="20" w:lineRule="exact"/>
              <w:rPr>
                <w:sz w:val="1"/>
                <w:szCs w:val="1"/>
                <w:color w:val="auto"/>
              </w:rPr>
            </w:pPr>
          </w:p>
        </w:tc>
      </w:tr>
      <w:tr>
        <w:trPr>
          <w:trHeight w:val="221"/>
        </w:trPr>
        <w:tc>
          <w:tcPr>
            <w:tcW w:w="4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(50,577)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39,060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44,138</w:t>
            </w:r>
          </w:p>
        </w:tc>
        <w:tc>
          <w:tcPr>
            <w:tcW w:w="2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14,848</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(145.7)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(44,445)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29,290</w:t>
            </w:r>
          </w:p>
        </w:tc>
        <w:tc>
          <w:tcPr>
            <w:tcW w:w="2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4.2%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(273.2)%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jc w:val="right"/>
        <w:ind w:left="5620" w:right="5580" w:hanging="5612"/>
        <w:spacing w:after="0" w:line="408" w:lineRule="auto"/>
        <w:tabs>
          <w:tab w:leader="none" w:pos="265"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Results of calculation are not considered meaningful for presentation purposes. 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2015 Compared to Fiscal 2014 — Company Analysis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Net sales of $624,523 for the year ended December 31, 2015 increased by $17,331 or 2.9% compared to the prior year period. Included within the 2015 sales are acquisition-related revenues of $93,411, which generated 20.9% margins. The sales increase was attributable to increases of 121.8% in Tubular and Energy Services, which were partially offset by decreases of 12.2% and 1.4% in Rail Products and Services and Construction Products segment sales, respectively.</w:t>
      </w:r>
    </w:p>
    <w:p>
      <w:pPr>
        <w:spacing w:after="0" w:line="6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Gross profit margin for 2015 was 21.4%, or 138 basis points higher than the prior year. The Rail Products and Services segment recognized warranty-related charges of $1,092 and $9,374 in 2015 and 2014, respectively. Excluding the impact of the charges</w:t>
      </w:r>
      <w:r>
        <w:rPr>
          <w:rFonts w:ascii="Arial" w:cs="Arial" w:eastAsia="Arial" w:hAnsi="Arial"/>
          <w:sz w:val="10"/>
          <w:szCs w:val="10"/>
          <w:color w:val="auto"/>
        </w:rPr>
        <w:t>1</w:t>
      </w:r>
      <w:r>
        <w:rPr>
          <w:rFonts w:ascii="Arial" w:cs="Arial" w:eastAsia="Arial" w:hAnsi="Arial"/>
          <w:sz w:val="16"/>
          <w:szCs w:val="16"/>
          <w:color w:val="auto"/>
        </w:rPr>
        <w:t>, the current year gross profit margin was consistent with the prior year at 21.6%. Included in the 2015 gross profit was $2,468 related to the LIFO income compared to $738 in the prior year. The favorable change in LIFO primarily resulted from decreasing prices across our segments, as inventory levels in the aggregate were down slightly.</w:t>
      </w:r>
    </w:p>
    <w:p>
      <w:pPr>
        <w:spacing w:after="0" w:line="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Selling and administrative expenses increased by $12,834, or 16.1%, over the prior year period. The cost increases for 2015 were attributable to costs from acquired businesses. Significant components of the acquired costs are personnel-related costs and to a much lesser extent insurance and travel costs.</w:t>
      </w:r>
    </w:p>
    <w:p>
      <w:pPr>
        <w:spacing w:after="0" w:line="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third quarter of 2015, the Company recorded a non-cash goodwill impairment charge of $80,337 ($63,887 net of taxes) related to the IOS and Chemtec reporting units within the Tubular and Energy Services segment. The charge was primarily due to the impact of the depressed energy markets on both reporting units as well as the reduction in the active U.S. land oil rig count which specifically impacted the IOS reporting unit. These businesses are being adversely affected by reduced capital spending and cost reduction priorities that oil and gas developers and pipeline companies have implemented. These factors led to a reduction in demand causing the near term financial projections of the IOS and Chemtec reporting units to deteriorate. The Company performed an interim test for impairment of goodwill, and the long-term forecast did not indicate a timely recovery to support the carrying values of the goodwill, as further described in Part II, Item 8, Note 4 of this Annual Report on Form 10-K.</w:t>
      </w:r>
    </w:p>
    <w:p>
      <w:pPr>
        <w:spacing w:after="0" w:line="3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Other income during the current year was favorably impacted by the sale of assets at our Tucson, AZ facility resulting in a gain of $2,279 ($1,424 net of tax), realized and unrealized foreign exchange gains totaling $1,616, and other less significant income items.</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effective income tax rate for 2015 was 12.1%, compared to 34.3% in the prior year period. The Company’s effective income tax rate for 2015 differed from the federal statutory rate of 35% primarily due to the discrete impact of the $80,337 goodwill impairment in the third quarter. The impairment related to both tax deductible and nondeductible goodwill, and resulted in an income tax benefit of $16,450 during the current year period.</w:t>
      </w:r>
    </w:p>
    <w:p>
      <w:pPr>
        <w:spacing w:after="0" w:line="2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Net loss for the year ended December 31, 2015 was $44,445, or $4.33 per diluted share, which compares to net income for the 2014 period of $25,656, or $2.48 per diluted share. Excluding the current year impairment charge of $63,887, net of income tax benefit, net income would have been $19,442 or $1.88 per diluted share. This non-GAAP net income measure is inclusive of approximately 75,000 shares that were anti-dilutive on a GAAP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2014 Compared to Fiscal 2013 — Company Analysis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sales for the year ended December 31, 2014 increased by $9,229, or 1.5%, which was attributable to a 26.3% and 3.0% improvement in Tubular and Energy Services and Rail Products and Services segment sales, respectively, partially offset by 6.7% reduction in Construction Products sales. Approximately 1.8%, 0.8% and 0.1% of the sales related to revenues from acquired businesses within the Tubular and Energy Services, Construction and Rail Products and Services segments,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943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3" w:lineRule="exact"/>
        <w:rPr>
          <w:sz w:val="20"/>
          <w:szCs w:val="20"/>
          <w:color w:val="auto"/>
        </w:rPr>
      </w:pPr>
    </w:p>
    <w:p>
      <w:pPr>
        <w:jc w:val="both"/>
        <w:ind w:left="220" w:right="60" w:hanging="212"/>
        <w:spacing w:after="0" w:line="235" w:lineRule="auto"/>
        <w:tabs>
          <w:tab w:leader="none" w:pos="22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8"/>
          <w:szCs w:val="18"/>
          <w:color w:val="auto"/>
        </w:rPr>
        <w:t>-</w:t>
      </w:r>
      <w:r>
        <w:rPr>
          <w:rFonts w:ascii="Arial" w:cs="Arial" w:eastAsia="Arial" w:hAnsi="Arial"/>
          <w:sz w:val="18"/>
          <w:szCs w:val="18"/>
          <w:i w:val="1"/>
          <w:iCs w:val="1"/>
          <w:color w:val="auto"/>
        </w:rPr>
        <w:t>All results in this Form 10-K that exclude warranty charges and/or goodwill impairment are non-GAAP measures used for management reporting purposes.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believes that these measures provide useful information to investors because it is a profitability measure used to evaluate earnings performance on a comparable year-over-year basis.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gross profit margin for 2014 was 20.0% compared to 19.4% in 2013. Excluding the 2014 warranty charges of $9,374, the Company would have generated a gross profit margin of 21.6%.</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Selling and administrative costs increased $8,558, or 12.0%, compared to fiscal 2013. Increases in 2014 were due to a variety of business developments including a sizeable increase in employee headcount. Excluding 2014 acquisitions, the Company headcount increased by approximately 6.3% over the prior year. The increase impacted personnel-related costs associated with salaried headcount and travel. Additionally, the Company incurred costs in 2014 related to the preparation for and identification of a new enterprise resource planning system. Lastly, acquisition related cost increases of $2,058 as well as recurring selling and administrative costs related to businesses acquired in 2014 led to the increase.</w:t>
      </w:r>
    </w:p>
    <w:p>
      <w:pPr>
        <w:spacing w:after="0" w:line="3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Other income for the year ended December 31, 2014 decreased to $678 compared to $1,077 during 2013. The decrease was principally due to a recovery of escrowed funds during 2013 which related to a 2005 real estate transaction that had previously been written off as uncollectible.</w:t>
      </w:r>
    </w:p>
    <w:p>
      <w:pPr>
        <w:spacing w:after="0" w:line="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Company’s effective income tax rate for 2014 was 34.3%, compared to 33.6% in 2013. The increase in the Company’s effective tax rate was due to increased nondeductible acquisition-related expenses in 2014 and the recognition of uncertain state tax positions during fiscal 2013, offset by greater U.S. domestic production activities deductions and a more favorable global mix of income.</w:t>
      </w:r>
    </w:p>
    <w:p>
      <w:pPr>
        <w:spacing w:after="0" w:line="59"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Net income for 2014 was $25,656, or $2.48 per diluted share, which compares to net income for 2013 of $29,290, or $2.85 per diluted share. Included in our 2014 results was $9,374 in pre-tax charges related to concrete ties manufactured at our former Grand Island, NE facility which was closed in January 2011.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Segment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Rail Products and Services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Percent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Twelve Months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(Decrease)/</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w w:val="87"/>
              </w:rPr>
              <w:t>Increase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Increase</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Increase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2015 vs. 2014</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2014 vs. 2013</w:t>
            </w:r>
          </w:p>
        </w:tc>
        <w:tc>
          <w:tcPr>
            <w:tcW w:w="5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2015 vs. 2014</w:t>
            </w:r>
          </w:p>
        </w:tc>
        <w:tc>
          <w:tcPr>
            <w:tcW w:w="5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2014 vs. 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328,982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374,615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363,667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(45,633</w:t>
            </w: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75,276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77,235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74,986</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78"/>
              <w:spacing w:after="0"/>
              <w:rPr>
                <w:sz w:val="20"/>
                <w:szCs w:val="20"/>
                <w:color w:val="auto"/>
              </w:rPr>
            </w:pPr>
            <w:r>
              <w:rPr>
                <w:rFonts w:ascii="Arial" w:cs="Arial" w:eastAsia="Arial" w:hAnsi="Arial"/>
                <w:sz w:val="18"/>
                <w:szCs w:val="18"/>
                <w:color w:val="auto"/>
              </w:rPr>
              <w:t>(1,959)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2,249</w:t>
            </w:r>
          </w:p>
        </w:tc>
        <w:tc>
          <w:tcPr>
            <w:tcW w:w="5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2015 Compared to Fiscal 2014</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Rail Products and Services segment sales decreased $45,633, or 12.2%, compared to the prior year period. Included within the 2015 sales were revenues from acquired businesses of $16,715. During fiscal 2015, excluding an increase within the Transit Products business, all rail divisions experienced reductions in sales over the prior year period. The sales decline was attributable to the loss of sales to UPRR, lower volumes from Rail Distribution and various track component businesses, international declines in the Rail Technologies division, and, to a lesser extent, reductions in the price of steel.</w:t>
      </w:r>
    </w:p>
    <w:p>
      <w:pPr>
        <w:spacing w:after="0" w:line="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year ended December 31, 2015, the Rail Products and Services segment had a reduction in new orders of 16.5% compared to the prior year period. Contributing to the decline was the loss of business with UPRR, which represented 55.2% of the reduction in new orders, as well as overall reductions in freight rail spending.</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Rail Products and Services segment increased its 2015 gross profit margin by 226 basis points compared to fiscal 2014. Gross profit was impacted by warranty-related charges of $1,092, and $9,374 in 2015 and 2014, respectively. Excluding the impact of the charges in 2015 and 2014, the gross profit margin was 23.2%, or 9 basis points higher than the prior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2014 Compared to Fiscal 2013</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Rail Products and Services sales increased $10,948, or 3.0%, compared to fiscal 2013. The 2014 performance was highlighted by significant sales growth within the Rail Technologies business and to a lesser extent increases within the Allegheny Rail Products and CXT Concrete Tie businesses. Partially offsetting these improvements were declines in the Rail Distribution and Transit Products businesses.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Compared to 2013, the Rail Products and Services segment generated a 7.1% increase in new orders.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2014, the Rail segment incurred $9,374 in warranty charges related to our former Grand Island, NE concrete tie facility. The charge adversely impacted our Rail Products and Services segment’s gross profit. Without the charge, Rail Products and Services’ gross profit margins would have been 23.1% for the period ended December 31, 2014. The gross profit margin increase largely relates to favorable sales mix.</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Construction Products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Percent</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Twelve Months Ended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(Decrease)</w:t>
            </w:r>
          </w:p>
        </w:tc>
        <w:tc>
          <w:tcPr>
            <w:tcW w:w="12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(Decrease)</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(Decrease)/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(Decrease)/</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98"/>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4"/>
                <w:szCs w:val="14"/>
                <w:color w:val="auto"/>
              </w:rPr>
            </w:pPr>
          </w:p>
        </w:tc>
        <w:tc>
          <w:tcPr>
            <w:tcW w:w="1100" w:type="dxa"/>
            <w:vAlign w:val="bottom"/>
            <w:gridSpan w:val="2"/>
          </w:tcPr>
          <w:p>
            <w:pPr>
              <w:jc w:val="right"/>
              <w:ind w:right="498"/>
              <w:spacing w:after="0"/>
              <w:rPr>
                <w:sz w:val="20"/>
                <w:szCs w:val="20"/>
                <w:color w:val="auto"/>
              </w:rPr>
            </w:pPr>
            <w:r>
              <w:rPr>
                <w:rFonts w:ascii="Arial" w:cs="Arial" w:eastAsia="Arial" w:hAnsi="Arial"/>
                <w:sz w:val="14"/>
                <w:szCs w:val="14"/>
                <w:b w:val="1"/>
                <w:bCs w:val="1"/>
                <w:color w:val="auto"/>
                <w:w w:val="87"/>
              </w:rPr>
              <w:t>Increase</w:t>
            </w: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Increase</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2015 vs. 2014</w:t>
            </w:r>
          </w:p>
        </w:tc>
        <w:tc>
          <w:tcPr>
            <w:tcW w:w="4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2014 vs. 2013</w:t>
            </w:r>
          </w:p>
        </w:tc>
        <w:tc>
          <w:tcPr>
            <w:tcW w:w="4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2015 vs. 2014</w:t>
            </w:r>
          </w:p>
        </w:tc>
        <w:tc>
          <w:tcPr>
            <w:tcW w:w="5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2014 vs. 2013</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176,394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178,847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191,751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44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w:t>
            </w:r>
          </w:p>
        </w:tc>
        <w:tc>
          <w:tcPr>
            <w:tcW w:w="44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w w:val="74"/>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34,169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32,391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29,224</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58"/>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58"/>
              <w:spacing w:after="0"/>
              <w:rPr>
                <w:sz w:val="20"/>
                <w:szCs w:val="20"/>
                <w:color w:val="auto"/>
              </w:rPr>
            </w:pPr>
            <w:r>
              <w:rPr>
                <w:rFonts w:ascii="Arial" w:cs="Arial" w:eastAsia="Arial" w:hAnsi="Arial"/>
                <w:sz w:val="18"/>
                <w:szCs w:val="18"/>
                <w:color w:val="auto"/>
              </w:rPr>
              <w:t>3,167</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Percentage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2.9%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2015 Compared to Fiscal 2014</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Construction Products segment sales decreased $2,453, or 1.4%, compared to the 2014 period. The decline was primarily related to a 14.7% reduction in sales of piling products, which was partially offset by a 43.0% increase in sales of precast construction products. The precast construction products business is experiencing very strong state sales for buildings, which has helped the Construction Products segment offset the increased competition and steel pricing pressures impacting the Piling Products business.</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New orders booked during 2015 were down 19.0% over the prior year period. The decline related primarily to the Piling Products business where heavy competition has led to a reduction in market share for pipe piling and H-piling.</w:t>
      </w:r>
    </w:p>
    <w:p>
      <w:pPr>
        <w:spacing w:after="0" w:line="5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gross profit percentage increased by 126 basis points due to gross margin improvements in piling and fabricated bridge products divisions. The improvement was primarily driven by the sales mix caused by an increase in sheet piling sales within the piling products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2014 Compared to Fiscal 2013</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Construction Products segment sales declined by $12,904, or 6.7%, compared to fiscal 2013. The reduction was driven by a 20.8% reduction in sales of piling products, which was partially offset by significant growth in the Fabricated Bridge Products business as well as revenues from the July 2014 acquisition of Carr Concrete. The piling shortfall was partially attributable to insufficient product supply, which caused the segment to be unable to meet demand levels during much of 2014. During 2014, the Fabricated Bridge business experienced a record year and generated $8,800 in revenues related to the Newburgh-Beacon bridge project compared to $4,360 during 2013. The project was completed during 2015.</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Including orders from Carr Concrete, the Construction Products segment generated an increase in new orders of 3.5% during 2014.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Leverage from engineered product sales created a favorable sales mix within the segment leading to a 287 basis point improvement over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Tubular and Energy Services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Percent</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Twelve Months Ended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4"/>
              </w:rPr>
              <w:t>Increase</w:t>
            </w: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Increase/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161"/>
        </w:trPr>
        <w:tc>
          <w:tcPr>
            <w:tcW w:w="2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(Decrease)</w:t>
            </w: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(Decrease)</w:t>
            </w: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25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2015 vs. 2014</w:t>
            </w:r>
          </w:p>
        </w:tc>
        <w:tc>
          <w:tcPr>
            <w:tcW w:w="5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2014 vs. 2013</w:t>
            </w:r>
          </w:p>
        </w:tc>
        <w:tc>
          <w:tcPr>
            <w:tcW w:w="5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2015 vs. 2014</w:t>
            </w:r>
          </w:p>
        </w:tc>
        <w:tc>
          <w:tcPr>
            <w:tcW w:w="5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2014 vs. 2013</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119,147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53,730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w w:val="98"/>
              </w:rPr>
              <w:t>22,481</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11,722</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12,278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10,759</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(556)</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91.8%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Percentage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2015 Compared to Fiscal 2014</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Tubular and Energy Services segment sales increased $65,417, or 121.8%, compared to the prior year period. The increase relates to revenues from acquired businesses of $71,954, which were partially offset by reductions of $6,537 in coated and threaded product sales. The 294 basis point decline in Tubular and Energy Services gross margins was largely due to acquired businesses and the related impact on sales mix. In addition to the new product mix, the divisions serving the upstream energy market are competing in the depressed oil and gas market which is experiencing less demand leading to a more challenging pricing environment.</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Tubular and Energy Services segment generated an increase in new orders of 160.7% compared to the prior year period principally due to orders from the acquisitions of Chemtec and IOS.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2014 Compared to Fiscal 2013</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Tubular and Energy Services segment sales increased $11,185, or 26.3% compared to fiscal 2013. The increase was principally due to a full year of sales from Ball Winch which was acquired in November 2013. Adding to the improvement was a 6.2% increase in sales from the Birmingham, AL coated products business.</w:t>
      </w:r>
    </w:p>
    <w:p>
      <w:pPr>
        <w:spacing w:after="0" w:line="5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Compared to 2013, the Tubular and Energy Services segment generated an increase in new orders of 31.2%. New orders from the 2013 acquisition of Ball Winch represented 23.7% of 2014 orders.</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Gross profit declines of 705 basis points were attributable to cost overruns on a coated products project completed during the 2014 third quarter as well as the impact of a three-week plant shutdown in Birmingham, AL. The shutdown was completed in January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Total debt at December 31, 2015 and 2014 was $168,754 and $26,428, respectively, and was comprised of borrowings from the revolving credit facility to fund acquisitions as well as assets funded through financing agreements.</w:t>
      </w:r>
    </w:p>
    <w:p>
      <w:pPr>
        <w:spacing w:after="0" w:line="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need for liquidity relates primarily to working capital requirements for operating activities, debt service payments, capital expenditures, JV capital obligations, share repurchases, and dividends.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cash and cash equivalents for the three-year periods ended December 31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9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9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56,172</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$ 66,739</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2920" w:type="dxa"/>
            <w:vAlign w:val="bottom"/>
            <w:gridSpan w:val="3"/>
          </w:tcPr>
          <w:p>
            <w:pPr>
              <w:jc w:val="right"/>
              <w:ind w:right="300"/>
              <w:spacing w:after="0"/>
              <w:rPr>
                <w:sz w:val="20"/>
                <w:szCs w:val="20"/>
                <w:color w:val="auto"/>
              </w:rPr>
            </w:pPr>
            <w:r>
              <w:rPr>
                <w:rFonts w:ascii="Arial" w:cs="Arial" w:eastAsia="Arial" w:hAnsi="Arial"/>
                <w:sz w:val="18"/>
                <w:szCs w:val="18"/>
                <w:color w:val="auto"/>
              </w:rPr>
              <w:t>(205,575)</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(97,751)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2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134,289</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22,055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(3,598)</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(3,642)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(18,712)</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(12,599)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Operating Activities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current 2015 period, cash flows from operating activities provided $56,172, a decrease of $10,567, compared to the 2014 period. For the year ended December 31, 2015, income, adjustments to income from operating activities, and dividends from the LB Pipe joint venture provided $47,061 compared to $37,359 in the 2014 period. Working capital and other assets and liabilities provided $9,111 in the current period compared to providing $29,380 in the prior year period. The reduction in cash flows from operations was largely impacted by working capital movement.</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2014, cash provided by operating activities was $66,739 compared to $14,155 in 2013. During 2014, income, adjustments to income from operating activities, and dividends from the joint venture provided $37,359 compared to providing $43,858 in 2013. Working capital and other assets and liabilities provided $29,380 in 2014 compared to working capital and other assets and liabilities use of $29,703 in 2013. The significant increase in cash flows primarily relates to additional emphasis on working capital management throughout 2014.</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Company’s calculation for days sales outstanding at December 31, 2015 was 56 days compared to 50 days at December 31, 2014. We believe our receivable portfolio continues to be of good quality.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Investing Activities</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Investing activities during the year ended December 31, 2015 related primarily to the acquisitions of Tew Plus, Tew, and IOS. The total purchase price, net of cash acquired and working capital adjustments, was $196,001. Other investing activities included capital expenditures of $14,913 during 2015. Current year expenditures related primarily to the Birmingham, AL coated products facility upgrades, application development of a new enterprise resource planning system, and general plant and yard improvements across each segment. We anticipate 2016 capital expenditures to be in the $6,000—$8,000 range. Other investing activities related to cash proceeds of $5,339 from the sale of assets. The sale of the Tucson, AZ concrete tie facility contributed $2,750 of the total proceeds.</w:t>
      </w:r>
    </w:p>
    <w:p>
      <w:pPr>
        <w:spacing w:after="0" w:line="1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primary investing activity in 2014 related to a cash use of $80,302 for the acquisitions of Chemtec, Carr Concrete, and FWO as well a $495 working capital distribution related to the 2013 acquisition of Ball Winch. Capital expenditures of $17,056 related to improvements to our machinery and equipment across each segment, strategic land acquisitions to increase production capacity, leasehold improvements, and plant upgrades at our Birmingham, AL facility.</w:t>
      </w:r>
    </w:p>
    <w:p>
      <w:pPr>
        <w:spacing w:after="0" w:line="2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Investing activities during 2013 related to the $37,500 acquisition of Ball Winch as well as capital expenditures of $9,674 related to improvements to our machinery and equipment across each segment, leasehold improvements, and plant upgrades at our Birmingham, AL facility.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Financing Activities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year ended December 31, 2015, the Company had an increase in outstanding debt of $142,326 primarily related to drawings against the revolving credit facility to fund domestic acquisition activity. During 2015, the Company purchased 80,512 shares of common stock for $1,587 under our existing share repurchase authorization. Additionally, the Company withheld 25,340 shares for approximately $1,114 during 2015. These shares were withheld from employees to pay their withholding taxes in connection with the exercise and/or vesting of options and restricted stock awards. Cash outflows related to dividends during 2015 were $1,656.</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primary financing activity during 2014 related to the receipt of proceeds from our revolving credit facility of $24,200. Additionally, we paid dividends of $0.04 per share during the fourth quarter of 2014 and $0.03 per share during each of the prior three quarters of 2014. During 2013, we paid quarterly dividends of $0.03 per share. We did not purchase any common shares of the Company under the share repurchase authorization in 2014 or 2013, however, the Company withheld 21,676 and 16,166 shares to pay employee withholding taxes in connection with the vesting of restricted stock awards for approximately $985 and $708,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Company generated $56,172 from cash flows from operations during 2015 that was utilized to fund capital expenditures and make payments against our revolving credit facility. At December 31, 2015, we had $33,312 in cash and cash equivalents and credit facilities with $171,668 of availability. We believe this liquidity will provide the flexibility to operate the business in a prudent manner and weather a continued downturn in our markets.</w:t>
      </w:r>
    </w:p>
    <w:p>
      <w:pPr>
        <w:spacing w:after="0" w:line="2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Approximately $29,700 of our cash and cash equivalents was held in non-domestic bank accounts, and is not available to fund domestic operations unless repatriated. It is management’s intent to indefinitely reinvest such funds outside of the United States. During 2015, the Company utilized non-domestic funds totaling $28,597 for the acquisitions of Tew and Tew Plus.</w:t>
      </w:r>
    </w:p>
    <w:p>
      <w:pPr>
        <w:spacing w:after="0" w:line="5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Borrowings under the March 13, 2015 Amended Credit Agreement will bear interest at rates based upon either the base rate or Euro-rate plus applicable margins. Applicable margins are dictated by the ratio of the Company’s indebtedness less consolidated cash on hand to the Company’s consolidated EBITDA, as defined in the underlying Amended Credit Agreement. The base rate is the highest of (a) PNC Bank’s prime rate, (b) the Federal Funds Rate plus 0.50% or (c) the daily Euro-rate (as defined in the Amended Credit Agreement) plus 1.00%. The base rate and Euro-rate spreads range from 0.00% to 1.50% and 1.00% to 2.50%, respectively.</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reduce the impact of interest rate changes on outstanding variable-rate debt, the Company entered into forward starting LIBOR-based interest rate swaps with notional values totaling $50,000. The swaps will become effective in February 2017 at which point it will effectively convert a portion of the debt from variable to fixed-rate borrowings during the term of the swap contract.</w:t>
      </w:r>
    </w:p>
    <w:p>
      <w:pPr>
        <w:spacing w:after="0" w:line="5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Amended Credit Agreement includes two financial covenants: (a) Leverage Ratio, defined as the Company’s Indebtedness less cash on hand, in excess of $15,000, divided by the Company’s consolidated EBITDA, which must not exceed 3.25 to 1.00 and (b) Minimum Interest Coverage, defined as consolidated EBITDA less Capital Expenditures divided by consolidated interest expense, which must be no less than 3.00 to 1.00.</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2015, the Company was in compliance with the Amended Credit Agreement’s covenants. The agreement matures on March 13, 2020.</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Amended Credit Agreement permits the Company to pay dividends, distributions, and make redemptions with respect to its stock provided no event of default or potential default (as defined in the Amended Credit Agreement) has occurred prior to or after giving effect to the dividend, distribution, or redemption. Dividends, distributions, and redemptions are capped at $25,000 per year when funds are drawn on the facility. If no drawings on the facility exist, dividends, distributions, and redemptions in excess of $25,000 per year are subjected to a limitation of $75,000 in the aggregate over the life of the facility. The $75,000 aggregate limitation also permits certain loans, investments, and acquisitions.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Other restrictions exist at all times including, but not limited to, limitation of the Company’s sale of assets, other indebtedness incurred by either the borrowers or the non-borrower subsidiaries of the Company, guarantees, and liens.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Company’s required payments under financial instruments and other commitments at December 31, 2015 are presented in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rPr>
              <w:t>1-3</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4-5</w:t>
            </w:r>
          </w:p>
        </w:tc>
        <w:tc>
          <w:tcPr>
            <w:tcW w:w="6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1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87"/>
              </w:rPr>
              <w:t>years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years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Contractual Cash Obligations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Revolving credit facility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165,000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165,000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1,335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Pension plan contributions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20,128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4,310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6,109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not reflected in the financial statements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40,698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245,328</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50,207</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15,404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173,117</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Commitments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36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Repayments of outstanding loan balances are disclosed in Note 10 of the “Notes to Consolidated Financial Statements” included in Part II, Item 8 of this report.</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Other long-term liabilities include items such as income taxes which are not contractual obligations by nature. The Company cannot estimate the settlement years for these items and has excluded them from the above table.</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Management believes its internal and external sources of funds are adequate to meet anticipated needs, including those disclosed above, for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Company’s off-balance sheet arrangements include the operating leases, purchase obligations, and standby letters of credit disclosed within the contractual obligations table above in the “Liquidity and Capital Resources” section. These arrangements provide the Company with increased flexibility relative to the utilization and investment of cash resources.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Although backlog is not necessarily indicative of future operating results, the following table provides the backlog by business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Backlog</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180" w:type="dxa"/>
            <w:vAlign w:val="bottom"/>
          </w:tcPr>
          <w:p>
            <w:pPr>
              <w:spacing w:after="0"/>
              <w:rPr>
                <w:sz w:val="11"/>
                <w:szCs w:val="11"/>
                <w:color w:val="auto"/>
              </w:rPr>
            </w:pPr>
          </w:p>
        </w:tc>
        <w:tc>
          <w:tcPr>
            <w:tcW w:w="16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7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Rail Products and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85,199</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104,821</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121,853</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Construction Products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45,371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65,843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53,483</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Tubular and Energy Services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34,137</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00" w:type="dxa"/>
            <w:vAlign w:val="bottom"/>
            <w:shd w:val="clear" w:color="auto" w:fill="CCEEFF"/>
          </w:tcPr>
          <w:p>
            <w:pPr>
              <w:spacing w:after="0"/>
              <w:rPr>
                <w:sz w:val="18"/>
                <w:szCs w:val="18"/>
                <w:color w:val="auto"/>
              </w:rPr>
            </w:pP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Total Backlog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164,707</w:t>
            </w:r>
          </w:p>
        </w:tc>
        <w:tc>
          <w:tcPr>
            <w:tcW w:w="8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184,350</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183,111</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Backlog from acquired businesses represents approximately 8% of the Company’s total unfilled customer orders at December 31, 2015. While a considerable portion of our business is backlog driven, certain businesses, including the IOS acquisition in March 2015 and the Rail Technologies business, are not driven by backlog and therefore have insignificant levels throughout the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When more than one accounting principle, or the method of its application, is generally accepted, management selects the principle or method that is appropriate in the Company’s specific circumstance. Application of these accounting principles requires management to make estimates that affect the reported amount of assets, liabilities, revenues, and expenses, and the related disclosure of contingent assets and liabilities. The following critical accounting policies relate to the Company’s more significant judgments and estimates used in the preparation of its consolidated financial statements. There can be no assurance that actual results will not differ from those estimates. For a summary of our significant accounting policies, including those discussed below, see Part II, Item 8, Note 1 to the Consolidated Financial Statements.</w:t>
      </w:r>
    </w:p>
    <w:p>
      <w:pPr>
        <w:spacing w:after="0" w:line="3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 xml:space="preserve">Revenue Recognition — </w:t>
      </w:r>
      <w:r>
        <w:rPr>
          <w:rFonts w:ascii="Arial" w:cs="Arial" w:eastAsia="Arial" w:hAnsi="Arial"/>
          <w:sz w:val="16"/>
          <w:szCs w:val="16"/>
          <w:color w:val="auto"/>
        </w:rPr>
        <w:t>The Company’s revenues are comprised of product and service sales as well as products and services provided under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 For product and service sales, the Company recognizes revenue when the following criteria have been satisfied; persuasive evidence of a sales arrangement exists, product delivery and transfer of title to the customer has occurred or services have been rendered, the price is fixed or determinable, and collectability is reasonably assured. Generally, product title passes to the customer upon shipment. In limited cases, title does not transfer and revenue is not recognized until the customer has received the products at its physical location. Revenue is recorded net of returns, allowances, customer discounts, and incentives. Sales taxes collected from customers and remitted to governmental authorities are accounted for on a net (excluded from revenues) basis. Shipping and handling costs are included in cost of goods sold.</w:t>
      </w:r>
    </w:p>
    <w:p>
      <w:pPr>
        <w:spacing w:after="0" w:line="38"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Revenues for products under long-term contracts are recognized using the percentage-of-completion method. Sales and gross profit are recognized as work is performed based upon the proportion of actual costs incurred to estimated total project costs. Sales and gross profit are adjusted prospectively for revisions in estimated total project costs and contract values. For certain products, the percentage-of-completion is based upon actual labor costs as a percentage of estimated total labor costs. At the time a loss contract becomes known, the entire amount of the estimated loss is recognized in the Consolidated Statement of Operations.</w:t>
      </w:r>
    </w:p>
    <w:p>
      <w:pPr>
        <w:spacing w:after="0" w:line="1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Revenue recognition involves judgments, including assessments of expected returns, the likelihood of nonpayment, and estimates of expected costs and profits on long-term contracts. In determining when to recognize revenue, we analyze various factors, including the specifics of the transaction, historical experience, creditworthiness of the customer, and current market and economic conditions. Changes in judgments on these factors could impact the timing and amount of revenue recognized with a resulting impact on the timing and amount of associated income.</w:t>
      </w:r>
    </w:p>
    <w:p>
      <w:pPr>
        <w:spacing w:after="0" w:line="2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 xml:space="preserve">Business Combinations, Goodwill, and Intangible Assets — </w:t>
      </w:r>
      <w:r>
        <w:rPr>
          <w:rFonts w:ascii="Arial" w:cs="Arial" w:eastAsia="Arial" w:hAnsi="Arial"/>
          <w:sz w:val="16"/>
          <w:szCs w:val="16"/>
          <w:color w:val="auto"/>
        </w:rPr>
        <w:t>We account for acquired businesses using the acquisition method of accounting,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that the assets acquired and liabilities assumed be recorded at the date of acquisition at their respective estimated fair values. The cost to acquire a business is allocated to the underlying net assets of the acquired business based on estimates of their respective fair values. The purchase price allocation process requires management to make significant estimates and assumptions, especially at the acquisition date with respect to intangible assets. Although we believe the assumptions and estimates we have made are reasonable, they are based in part on historical experience and information obtained from the management of the acquired companies and are inherently uncertain. Examples of critical estimates in valuing certain of the intangible assets we have acquired or may acquire in the future include but are not limited to: future expected cash flows from customer relationships, the acquired company’s trade name and trademarks as well as assumptions about the period of time the acquired trade name and trademarks will continue to be used in the combined company’s product portfolio, future expected cash flows from developed technology and discount rates. Unanticipated events and circumstances may occur which may affect the accuracy or validity of such assumptions, estimates, or actual results.</w:t>
      </w:r>
    </w:p>
    <w:p>
      <w:pPr>
        <w:spacing w:after="0" w:line="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Intangible assets are amortized over the expected life of the asset. Any excess of the purchase price over the estimated fair values of the net assets acquired is recorded as goodwill. 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flows. Because this process involves management making estimates with respect to future revenues and market conditions and because these estimates also form the basis for the determination of whether or not an impairment charge should be recorded, these estimates are considered to be critical accounting estimates.</w:t>
      </w:r>
    </w:p>
    <w:p>
      <w:pPr>
        <w:spacing w:after="0" w:line="59"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Goodwill is required to be tested for impairment at least annually. The Company performs its annual impairment test as of October 1</w:t>
      </w:r>
      <w:r>
        <w:rPr>
          <w:rFonts w:ascii="Arial" w:cs="Arial" w:eastAsia="Arial" w:hAnsi="Arial"/>
          <w:sz w:val="10"/>
          <w:szCs w:val="10"/>
          <w:color w:val="auto"/>
        </w:rPr>
        <w:t>st</w:t>
      </w:r>
      <w:r>
        <w:rPr>
          <w:rFonts w:ascii="Arial" w:cs="Arial" w:eastAsia="Arial" w:hAnsi="Arial"/>
          <w:sz w:val="16"/>
          <w:szCs w:val="16"/>
          <w:color w:val="auto"/>
        </w:rPr>
        <w:t xml:space="preserve"> or more frequently when indicators of impairment are present. The goodwill impairment test involves comparing the fair value of a reporting unit to its carrying value, including goodwill. If the carrying amount of the reporting unit exceeds its fair value, a second step is required to measure the goodwill impairment loss. This step compares the implied fair value of the reporting unit’s goodwill to the carrying amount of that goodwill. If the carrying amount of the goodwill exceeds the implied fair value of the goodwill, an impairment loss equal to the excess is recorded as a component of operations. The Company uses a combination of a discounted cash flow model (“DCF model”) and a market approach to determine the current fair value of the reporting unit. A number of significant assumptions and estimates are involved in the application of the DCF model to forecast operating cash flows, including markets and market share, sales volume and pricing, costs to produce, and working capital changes. In times of adverse economic conditions in the global economy, the Company’s long-term cash flow projections are subject to a greater degree of uncertainty than usual. If we had established different reporting units or utilized different valuation methodologies or assumptions, the impairment test results could differ, and we could be required to record impairment charges.</w:t>
      </w:r>
    </w:p>
    <w:p>
      <w:pPr>
        <w:spacing w:after="0" w:line="4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Company considers historical experience and available information at the time the fair values of its business are estimated. However, actual amounts realized may differ from those used to evaluate the impairment of goodwill. If actual results are not consistent with our assumptions and judgments used in estimating future cash flows and asset fair values, the Company may be exposed to impairment losses that could be material to our results of operations.</w:t>
      </w:r>
    </w:p>
    <w:p>
      <w:pPr>
        <w:spacing w:after="0" w:line="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recorded impairment charges of $80,337 ($63,887 net of taxes) during 2015 related to the acquisitions of IOS in March 2015 and Chemtec in December 2014. There were no goodwill impairments recorded during December 31, 2014 and 2013. Additional information concerning the impairments is set forth in Part II, Item 8, Note 4 to the financial statements included herein, which is incorporated by reference into this Item 7.</w:t>
      </w:r>
    </w:p>
    <w:p>
      <w:pPr>
        <w:spacing w:after="0" w:line="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Intangible Assets, Long-Lived Assets, and Investments — </w:t>
      </w:r>
      <w:r>
        <w:rPr>
          <w:rFonts w:ascii="Arial" w:cs="Arial" w:eastAsia="Arial" w:hAnsi="Arial"/>
          <w:sz w:val="16"/>
          <w:szCs w:val="16"/>
          <w:color w:val="auto"/>
        </w:rPr>
        <w:t>The Company is required to test for asset impairment whenever events or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 carrying value of an asset might not be recoverable. Once a triggering event has occurred, the impairment test employed is based on whether the intent is to hold the asset for continued use or to hold the asset for sale. The applicable guidance for assets held for uses requires that, if the sum of the future expected cash flows associated with an asset, undiscounted and without interest charges, is less than the carrying value, an asset impairment must be recognized in the financial statements. The amount of the impairment is the difference between the fair value of the asset and the carrying value of the asset. For assets held for sale, to the extent the carrying value is greater than the asset’s fair value less costs to sell, an impairment loss is recognized for the difference. The accounting estimate related to asset impairment is highly susceptible to change from period to period because it requires management to make assumptions about the existence of impairment indicators and cash flows over future years. These assumptions impact the amount of an impairment, which would have an impact on the Consolidated Statements of Operations.</w:t>
      </w:r>
    </w:p>
    <w:p>
      <w:pPr>
        <w:spacing w:after="0" w:line="3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fair value of the Company’s equity investments is dependent on the performance of the investee companies as well as volatility inherent in the external markets for these investments. In assessing potential impairment of these investments, we consider these factors as well as the forecasted financial performance of the investees. If these forecasts are not met and indicate an other-than-temporary decline in value, impairment charges may be required.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material impairments of intangible assets, long-lived assets, or investments for the years ended December 31, 2015, 2014, or 2013.</w:t>
      </w:r>
    </w:p>
    <w:p>
      <w:pPr>
        <w:spacing w:after="0" w:line="10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 xml:space="preserve">Product Warranty — </w:t>
      </w:r>
      <w:r>
        <w:rPr>
          <w:rFonts w:ascii="Arial" w:cs="Arial" w:eastAsia="Arial" w:hAnsi="Arial"/>
          <w:sz w:val="16"/>
          <w:szCs w:val="16"/>
          <w:color w:val="auto"/>
        </w:rPr>
        <w:t>The Company maintains a current warranty for the repair or replacement of defective products. For certain manufactured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an accrual is made on a monthly basis as a percentage of cost of sales. For long-term construction projects, a product warranty accrual is established when the claim is known and quantifiable. The product warranty accrual is periodically adjusted based on the identification or reso-</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lution of known individual product warranty claims. The underlying assumptions used to calculate the product warranty accrual can change from period to period and are dependent upon estimates of the amount and cost of future product repairs or replacements.</w:t>
      </w:r>
    </w:p>
    <w:p>
      <w:pPr>
        <w:spacing w:after="0" w:line="51"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At December 31, 2015 and 2014, the product warranty reserve was $8,755 and $11,500, respectively. During the years ended December 31, 2015, 2014, and 2013, the Company recorded product warranty expense of $972, $10,957, and $1,695, respectively. For additional information regarding the Company’s product warranty, refer to Part II, Item 8, Note 19 to the Consolidated Financial Statements, “Commitments and Contingent Liabilities” included herein.</w:t>
      </w:r>
    </w:p>
    <w:p>
      <w:pPr>
        <w:spacing w:after="0" w:line="1"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 xml:space="preserve">Contingencies and Litigation </w:t>
      </w:r>
      <w:r>
        <w:rPr>
          <w:rFonts w:ascii="Arial" w:cs="Arial" w:eastAsia="Arial" w:hAnsi="Arial"/>
          <w:sz w:val="18"/>
          <w:szCs w:val="18"/>
          <w:color w:val="auto"/>
        </w:rPr>
        <w:t>— The preparation of consolidated financial statements requires us to make estimates and assumptions that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amounts of assets and liabilities and the disclosure of contingent assets and liabilities as of the date of the consolidated financial statements, and also affect the amounts of revenues and expenses reported for each period.</w:t>
      </w:r>
    </w:p>
    <w:p>
      <w:pPr>
        <w:spacing w:after="0" w:line="5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the ordinary course of business, various legal and regulatory claims and proceedings are pending or threatened against the Company. When a probable, estimable exposure exists, the Company accrues an estimate of the probable costs for the resolution of these matters. These estimates are based upon an analysis of potential results, assuming a combination of litigation and settlement strategies. Future results of operations could be materially affected by changes in our assumptions or the outcome of these proceedings.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operations are subject to national, state, foreign, and/or local laws and regulations that impose limitations and prohibitions on the discharge and emission of, and establish standards for the use, disposal, and management of, regulated materials and waste. These regulations impose liability for the costs of investigation, remediation, and damages resulting from, present and past spills, disposals, or other releases of hazardous substances or materials. Liabilities are recorded when remediation efforts are probable and the costs can be reasonably estimated. Estimates are not reduced by potential claims for recovery. Claims for recovery are recognized as agreements are reached with third parties or as amounts are received. Established reserves are periodically reviewed and adjusted to reflect current remediation progress, prospective estimates of required activity, and other factors that may be relevant, including changes in technology or regulations.</w:t>
      </w:r>
    </w:p>
    <w:p>
      <w:pPr>
        <w:spacing w:after="0" w:line="3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Refer to Part II, Item 8, Note 19 to the Consolidated Financial Statements, “Commitments and Contingent Liabilities,” for additional information regarding the Company’s commitments and contingent liabilities.</w:t>
      </w:r>
    </w:p>
    <w:p>
      <w:pPr>
        <w:spacing w:after="0" w:line="4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Pension Plans — </w:t>
      </w:r>
      <w:r>
        <w:rPr>
          <w:rFonts w:ascii="Arial" w:cs="Arial" w:eastAsia="Arial" w:hAnsi="Arial"/>
          <w:sz w:val="16"/>
          <w:szCs w:val="16"/>
          <w:color w:val="auto"/>
        </w:rPr>
        <w:t>The calculation of the Company’s net periodic benefit cost (pension expense) and benefit obligation (pension liability) associated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benefit pension plans (pension plans) requires the use of a number of assumptions that the Company deems to be critical accounting estimates. Changes in these assumptions can result in a different pension expense and liability amounts, and future actual experience can differ significantly from the assumptions. In 2015, the Company adjusted its mortality assumption to the Society of Actuaries RP-2015 mortality tables.</w:t>
      </w:r>
    </w:p>
    <w:p>
      <w:pPr>
        <w:spacing w:after="0" w:line="2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Two critical assumptions impacting the Company’s pension obligation are the expected long-term rate of return on plan assets and the assumed discount rate. The expected long-term rate of return reflects the average rate of earnings expected on funds invested or to be invested in the pension plans to provide for the benefits included in the pension liability. The Company establishes the expected long-term rate of return at the beginning of each fiscal year based upon information available to the Company at that time, including the plan’s investment mix and the forecasted rates of return on these types of securities. Any differences between actual experience and assumed experience are deferred as an unrecognized actuarial gain or loss. The unrecognized actuarial gains or losses are amortized in accordance with applicable accounting guidance.</w:t>
      </w:r>
    </w:p>
    <w:p>
      <w:pPr>
        <w:spacing w:after="0" w:line="3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weighted average expected long-term rate of return determined by the Company for its 2015 domestic pension was 5.50% and the expected long-term rate of return for 2016 will be 5.20%. The weighted average expected long-term rate of return determined by the Company for its 2015 U.K. pension was 5.00% and the expected long-term rate of return for 2016 will be 5.21%. Pension expense increases as the expected long-term rate of return decreases. The long-term rates of return are reflective of the investment strategies of the underlying pension plan.</w:t>
      </w:r>
    </w:p>
    <w:p>
      <w:pPr>
        <w:spacing w:after="0" w:line="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assumed discount rate reflects the current rate at which the pension benefits could effectively be settled. In estimating that rate, applicable guidance requires the Company to utilize rates of return on high quality, fixed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income investments. The Company’s pension liability increases as the discount rate is reduced. Therefore, a decline in the assumed discount rate has the effect of increasing the Company’s pension obligation and future pension expense. The weighted average assumed discount rate used by the Company was 4.30% and 4.00%, respectively, as of December 31, 2015 and 2014 for its domestic pension plans. The weighted average assumed discount rate used by the Company was</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4.00% and 3.60%, as of December 31, 2015 and 2014 for its U.K. pension plan. For additional information regarding the Company’s pension obligations, refer to Part II, Item 8, Note 16 to the Consolidated Financial Statements, “Retirement Plans,” included herein.</w:t>
      </w:r>
    </w:p>
    <w:p>
      <w:pPr>
        <w:spacing w:after="0" w:line="51"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 xml:space="preserve">Income Taxes — </w:t>
      </w:r>
      <w:r>
        <w:rPr>
          <w:rFonts w:ascii="Arial" w:cs="Arial" w:eastAsia="Arial" w:hAnsi="Arial"/>
          <w:sz w:val="16"/>
          <w:szCs w:val="16"/>
          <w:color w:val="auto"/>
        </w:rPr>
        <w:t>The recognition of deferred tax assets requires management to make judgments regarding the future realization of these assets. As</w:t>
      </w:r>
      <w:r>
        <w:rPr>
          <w:rFonts w:ascii="Arial" w:cs="Arial" w:eastAsia="Arial" w:hAnsi="Arial"/>
          <w:sz w:val="16"/>
          <w:szCs w:val="16"/>
          <w:b w:val="1"/>
          <w:bCs w:val="1"/>
          <w:color w:val="auto"/>
        </w:rPr>
        <w:t xml:space="preserve"> </w:t>
      </w:r>
      <w:r>
        <w:rPr>
          <w:rFonts w:ascii="Arial" w:cs="Arial" w:eastAsia="Arial" w:hAnsi="Arial"/>
          <w:sz w:val="16"/>
          <w:szCs w:val="16"/>
          <w:color w:val="auto"/>
        </w:rPr>
        <w:t>prescribed by FASB ASC 740, “Income Taxes,” valuation allowances must be provided for those deferred tax assets for which it is more likely than not (a likelihood of more than 50%) that some portion or all of the deferred tax assets will not be realized. This guidance requires management to evaluate positive and negative evidence regarding the recoverability of deferred tax assets. Determination of whether the positive evidence outweighs the negative evidence and quantification of the valuation allowance requires management to make estimates and judgments of future financial results.</w:t>
      </w:r>
    </w:p>
    <w:p>
      <w:pPr>
        <w:spacing w:after="0" w:line="3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various other assumptions. Actual results could differ from those estimates upon subsequent resolution of identified matters.</w:t>
      </w:r>
    </w:p>
    <w:p>
      <w:pPr>
        <w:spacing w:after="0" w:line="3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Company’s income tax rate is significantly affected by the tax rate on global operations. In addition to local country tax laws and regulations, this rate depends on the extent earnings are indefinitely reinvested outside the United States. Indefinite reinvestment is determined by management’s judgment about and intentions concerning the future operations of the Company. At this time, we do not intend to repatriate any foreign earnings to fund U.S. operations. Should we decide to repatriate the foreign earnings, the Company would have to accrue income and withholding taxes in the period in which it is determined that the earnings will no longer be indefinitely invested outside the United States.</w:t>
      </w:r>
    </w:p>
    <w:p>
      <w:pPr>
        <w:spacing w:after="0" w:line="3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Refer to Part II, Item 8, Note 14, “Income Taxes,” included herein for additional information regarding the Company’s deferred tax assets. The Company’s ability to realize these tax benefits may affect the Company’s reported income tax expense and net income.</w:t>
      </w:r>
    </w:p>
    <w:p>
      <w:pPr>
        <w:spacing w:after="0" w:line="45"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New Accounting Pronouncements — </w:t>
      </w:r>
      <w:r>
        <w:rPr>
          <w:rFonts w:ascii="Arial" w:cs="Arial" w:eastAsia="Arial" w:hAnsi="Arial"/>
          <w:sz w:val="18"/>
          <w:szCs w:val="18"/>
          <w:color w:val="auto"/>
        </w:rPr>
        <w:t>See Part II, Item 8, Note 1 to the Consolidated Financial Statements for information regarding new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pronouncements.</w:t>
      </w:r>
    </w:p>
    <w:p>
      <w:pPr>
        <w:spacing w:after="0" w:line="160" w:lineRule="exact"/>
        <w:rPr>
          <w:sz w:val="20"/>
          <w:szCs w:val="20"/>
          <w:color w:val="auto"/>
        </w:rPr>
      </w:pPr>
    </w:p>
    <w:p>
      <w:pPr>
        <w:ind w:right="4500"/>
        <w:spacing w:after="0" w:line="275"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QUANTITATIVEAND QUALITATIVE DISCLOSURES ABOUT MARKET RISK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(Dollars in thousands)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ordinary course of business, the Company is exposed to interest rate risks that may adversely affect funding costs associated with its variable-rate debt. The Company does not purchase or hold any derivative financial instruments for trading purposes. At contract inception, the Company designates its derivative instruments as hedges. The Company recognizes all derivative instruments on the balance sheet at fair value. Fluctuations in the fair values of derivative instruments designated as cash flow hedges are recorded in accumulated other comprehensive income and reclassified into earnings within other income as the underlying hedged items affect earnings. To the extent that a change in a derivative does not perfectly offset the change in value of the interest rate being hedged, the ineffective portion is recognized in earnings immediately.</w:t>
      </w:r>
    </w:p>
    <w:p>
      <w:pPr>
        <w:spacing w:after="0" w:line="3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year ended December 31, 2015, the Company entered into three forward starting LIBOR-based interest rate swap agreements with notional values totaling $50,000. At December 31, 2015, the Company recorded a long-term liability of $196 related to the swap agreements. The Company did not have any interest rate derivatives at December 31, 2014 or 2013.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subject to exposures to changes in foreign currency exchange rates. The Company may manage its exposure to changes in foreign currency exchange rates on firm sale and purchase commitments by entering into foreign currency forward contracts. The Company’s risk management objective is to reduce its exposure to the effects of changes in exchange rates on these transactions over the duration of the transactions. The Company did not engage in foreign currency hedging transactions during the three-year period ended December 31, 2015.</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171" w:lineRule="exact"/>
        <w:rPr>
          <w:sz w:val="20"/>
          <w:szCs w:val="20"/>
          <w:color w:val="auto"/>
        </w:rPr>
      </w:pPr>
    </w:p>
    <w:p>
      <w:pPr>
        <w:ind w:right="3460" w:firstLine="3508"/>
        <w:spacing w:after="0" w:line="391" w:lineRule="auto"/>
        <w:rPr>
          <w:sz w:val="20"/>
          <w:szCs w:val="20"/>
          <w:color w:val="auto"/>
        </w:rPr>
      </w:pPr>
      <w:r>
        <w:rPr>
          <w:rFonts w:ascii="Arial" w:cs="Arial" w:eastAsia="Arial" w:hAnsi="Arial"/>
          <w:sz w:val="16"/>
          <w:szCs w:val="16"/>
          <w:b w:val="1"/>
          <w:bCs w:val="1"/>
          <w:color w:val="auto"/>
        </w:rPr>
        <w:t>Report of Independent Registered Public Accounting Firm The Board of Directors and Stockholders of L.B. Foster Company and Subsidiaries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L.B. Foster Company and Subsidiaries as of December 31, 2015 and 2014, and the related consolidated statements of operations, comprehensive income, stockholders’ equity and cash flows for each of the three years in the period ended December 31, 2015.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L.B. Foster Company and Subsidiaries at December 31, 2015 and 2014, and the consolidated results of their operations and their cash flows for each of the three years in the period ended December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L.B. Foster Company and Subsidiaries’ internal control over financial reporting as of December 31, 2015, based on criteria established in Internal Control-Integrated Framework issued by the Committee of Sponsoring Organizations of the Treadway Commission (2013 framework) and our report dated March 1, 2016, expressed an unqualified opinion thereon.</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L.B. FOSTER COMPANY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r>
      <w:tr>
        <w:trPr>
          <w:trHeight w:val="196"/>
        </w:trPr>
        <w:tc>
          <w:tcPr>
            <w:tcW w:w="9400" w:type="dxa"/>
            <w:vAlign w:val="bottom"/>
            <w:shd w:val="clear" w:color="auto" w:fill="CCEEFF"/>
          </w:tcPr>
          <w:p>
            <w:pPr>
              <w:ind w:left="528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52,024</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220"/>
              <w:spacing w:after="0"/>
              <w:rPr>
                <w:sz w:val="20"/>
                <w:szCs w:val="20"/>
                <w:color w:val="auto"/>
              </w:rPr>
            </w:pPr>
            <w:r>
              <w:rPr>
                <w:rFonts w:ascii="Arial" w:cs="Arial" w:eastAsia="Arial" w:hAnsi="Arial"/>
                <w:sz w:val="18"/>
                <w:szCs w:val="18"/>
                <w:color w:val="auto"/>
              </w:rPr>
              <w:t>Accounts receivable —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90,178</w:t>
            </w: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95,089</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220"/>
              <w:spacing w:after="0"/>
              <w:rPr>
                <w:sz w:val="20"/>
                <w:szCs w:val="20"/>
                <w:color w:val="auto"/>
              </w:rPr>
            </w:pPr>
            <w:r>
              <w:rPr>
                <w:rFonts w:ascii="Arial" w:cs="Arial" w:eastAsia="Arial" w:hAnsi="Arial"/>
                <w:sz w:val="18"/>
                <w:szCs w:val="18"/>
                <w:color w:val="auto"/>
              </w:rPr>
              <w:t>Prepaid income tax</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2,790</w:t>
            </w: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220" w:type="dxa"/>
            <w:vAlign w:val="bottom"/>
            <w:shd w:val="clear" w:color="auto" w:fill="CCEEFF"/>
          </w:tcPr>
          <w:p>
            <w:pPr>
              <w:spacing w:after="0"/>
              <w:rPr>
                <w:sz w:val="18"/>
                <w:szCs w:val="18"/>
                <w:color w:val="auto"/>
              </w:rPr>
            </w:pPr>
          </w:p>
        </w:tc>
      </w:tr>
      <w:tr>
        <w:trPr>
          <w:trHeight w:val="222"/>
        </w:trPr>
        <w:tc>
          <w:tcPr>
            <w:tcW w:w="9400" w:type="dxa"/>
            <w:vAlign w:val="bottom"/>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214,474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244,182</w:t>
            </w:r>
          </w:p>
        </w:tc>
        <w:tc>
          <w:tcPr>
            <w:tcW w:w="220" w:type="dxa"/>
            <w:vAlign w:val="bottom"/>
          </w:tcPr>
          <w:p>
            <w:pPr>
              <w:spacing w:after="0"/>
              <w:rPr>
                <w:sz w:val="19"/>
                <w:szCs w:val="19"/>
                <w:color w:val="auto"/>
              </w:rPr>
            </w:pPr>
          </w:p>
        </w:tc>
      </w:tr>
      <w:tr>
        <w:trPr>
          <w:trHeight w:val="217"/>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126,745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74,802</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82,949</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220"/>
              <w:spacing w:after="0"/>
              <w:rPr>
                <w:sz w:val="20"/>
                <w:szCs w:val="20"/>
                <w:color w:val="auto"/>
              </w:rPr>
            </w:pPr>
            <w:r>
              <w:rPr>
                <w:rFonts w:ascii="Arial" w:cs="Arial" w:eastAsia="Arial" w:hAnsi="Arial"/>
                <w:sz w:val="18"/>
                <w:szCs w:val="18"/>
                <w:color w:val="auto"/>
              </w:rPr>
              <w:t>Other intangibles —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134,927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82,134</w:t>
            </w: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5,824</w:t>
            </w: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20" w:type="dxa"/>
            <w:vAlign w:val="bottom"/>
            <w:shd w:val="clear" w:color="auto" w:fill="CCEEFF"/>
          </w:tcPr>
          <w:p>
            <w:pPr>
              <w:spacing w:after="0"/>
              <w:rPr>
                <w:sz w:val="18"/>
                <w:szCs w:val="18"/>
                <w:color w:val="auto"/>
              </w:rPr>
            </w:pPr>
          </w:p>
        </w:tc>
      </w:tr>
      <w:tr>
        <w:trPr>
          <w:trHeight w:val="222"/>
        </w:trPr>
        <w:tc>
          <w:tcPr>
            <w:tcW w:w="940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566,660</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491,717</w:t>
            </w:r>
          </w:p>
        </w:tc>
        <w:tc>
          <w:tcPr>
            <w:tcW w:w="22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940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67,166</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8,034</w:t>
            </w: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payroll and employee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spacing w:after="0"/>
              <w:rPr>
                <w:sz w:val="18"/>
                <w:szCs w:val="18"/>
                <w:color w:val="auto"/>
              </w:rPr>
            </w:pPr>
          </w:p>
        </w:tc>
      </w:tr>
      <w:tr>
        <w:trPr>
          <w:trHeight w:val="223"/>
        </w:trPr>
        <w:tc>
          <w:tcPr>
            <w:tcW w:w="940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w:t>
            </w:r>
          </w:p>
        </w:tc>
        <w:tc>
          <w:tcPr>
            <w:tcW w:w="220" w:type="dxa"/>
            <w:vAlign w:val="bottom"/>
          </w:tcPr>
          <w:p>
            <w:pPr>
              <w:spacing w:after="0"/>
              <w:rPr>
                <w:sz w:val="19"/>
                <w:szCs w:val="19"/>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108,694</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167,419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25,752</w:t>
            </w: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13,765</w:t>
            </w: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8"/>
        </w:trPr>
        <w:tc>
          <w:tcPr>
            <w:tcW w:w="9400" w:type="dxa"/>
            <w:vAlign w:val="bottom"/>
          </w:tcPr>
          <w:p>
            <w:pPr>
              <w:ind w:left="220"/>
              <w:spacing w:after="0"/>
              <w:rPr>
                <w:sz w:val="20"/>
                <w:szCs w:val="20"/>
                <w:color w:val="auto"/>
              </w:rPr>
            </w:pPr>
            <w:r>
              <w:rPr>
                <w:rFonts w:ascii="Arial" w:cs="Arial" w:eastAsia="Arial" w:hAnsi="Arial"/>
                <w:sz w:val="18"/>
                <w:szCs w:val="18"/>
                <w:color w:val="auto"/>
                <w:w w:val="91"/>
              </w:rPr>
              <w:t>Common stock, par value $.01, authorized 20,000,000 shares; shares issued at December 31, 2015 and December 31, 2014,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9400" w:type="dxa"/>
            <w:vAlign w:val="bottom"/>
          </w:tcPr>
          <w:p>
            <w:pPr>
              <w:ind w:left="440"/>
              <w:spacing w:after="0"/>
              <w:rPr>
                <w:sz w:val="20"/>
                <w:szCs w:val="20"/>
                <w:color w:val="auto"/>
              </w:rPr>
            </w:pPr>
            <w:r>
              <w:rPr>
                <w:rFonts w:ascii="Arial" w:cs="Arial" w:eastAsia="Arial" w:hAnsi="Arial"/>
                <w:sz w:val="18"/>
                <w:szCs w:val="18"/>
                <w:color w:val="auto"/>
                <w:w w:val="92"/>
              </w:rPr>
              <w:t>11,115,779; shares outstanding at December 31, 2015 and December 31, 2014, 10,221,006 and 10,242,405, respectively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r>
      <w:tr>
        <w:trPr>
          <w:trHeight w:val="217"/>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48,115</w:t>
            </w: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276,571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322,672</w:t>
            </w:r>
          </w:p>
        </w:tc>
        <w:tc>
          <w:tcPr>
            <w:tcW w:w="220" w:type="dxa"/>
            <w:vAlign w:val="bottom"/>
          </w:tcPr>
          <w:p>
            <w:pPr>
              <w:spacing w:after="0"/>
              <w:rPr>
                <w:sz w:val="18"/>
                <w:szCs w:val="18"/>
                <w:color w:val="auto"/>
              </w:rPr>
            </w:pPr>
          </w:p>
        </w:tc>
      </w:tr>
      <w:tr>
        <w:trPr>
          <w:trHeight w:val="208"/>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Treasury stock — at cost, common stock, shares at December 31, 2015 and December 31, 2014, 894,773 and 873,374,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(22,591)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(23,118)</w:t>
            </w:r>
          </w:p>
        </w:tc>
      </w:tr>
      <w:tr>
        <w:trPr>
          <w:trHeight w:val="223"/>
        </w:trPr>
        <w:tc>
          <w:tcPr>
            <w:tcW w:w="94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(17,940)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(11,892)</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282,832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335,888</w:t>
            </w:r>
          </w:p>
        </w:tc>
        <w:tc>
          <w:tcPr>
            <w:tcW w:w="220" w:type="dxa"/>
            <w:vAlign w:val="bottom"/>
            <w:shd w:val="clear" w:color="auto" w:fill="CCEEFF"/>
          </w:tcPr>
          <w:p>
            <w:pPr>
              <w:spacing w:after="0"/>
              <w:rPr>
                <w:sz w:val="18"/>
                <w:szCs w:val="18"/>
                <w:color w:val="auto"/>
              </w:rPr>
            </w:pPr>
          </w:p>
        </w:tc>
      </w:tr>
      <w:tr>
        <w:trPr>
          <w:trHeight w:val="222"/>
        </w:trPr>
        <w:tc>
          <w:tcPr>
            <w:tcW w:w="94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566,660</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491,717</w:t>
            </w:r>
          </w:p>
        </w:tc>
        <w:tc>
          <w:tcPr>
            <w:tcW w:w="22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L.B. FOSTER COMPANY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THREE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of goods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537,214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561,899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559,846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Sales of services</w:t>
            </w:r>
          </w:p>
        </w:tc>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sales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624,523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607,192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597,963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420,169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449,964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458,043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sold</w:t>
            </w:r>
          </w:p>
        </w:tc>
        <w:tc>
          <w:tcPr>
            <w:tcW w:w="2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Total cost of sales</w:t>
            </w:r>
          </w:p>
        </w:tc>
        <w:tc>
          <w:tcPr>
            <w:tcW w:w="2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490,870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485,601</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482,024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133,653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121,591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115,939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92,648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79,814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income</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(income) of nonconsolidated investments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184,230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82,531</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(50,577)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39,060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2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(44,445)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25,656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Basic (loss) earnings per common share</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Diluted (loss) earnings per common share</w:t>
            </w: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common share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L.B. FOSTER COMPANY AND SUBSIDIARIES</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THREE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6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8"/>
              </w:rPr>
              <w:t>$</w:t>
            </w:r>
            <w:r>
              <w:rPr>
                <w:rFonts w:ascii="Arial" w:cs="Arial" w:eastAsia="Arial" w:hAnsi="Arial"/>
                <w:sz w:val="18"/>
                <w:szCs w:val="18"/>
                <w:color w:val="auto"/>
                <w:w w:val="78"/>
              </w:rPr>
              <w:t xml:space="preserve"> (44,445</w:t>
            </w:r>
          </w:p>
        </w:tc>
        <w:tc>
          <w:tcPr>
            <w:tcW w:w="440" w:type="dxa"/>
            <w:vAlign w:val="bottom"/>
            <w:tcBorders>
              <w:top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25,656</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20" w:type="dxa"/>
            <w:vAlign w:val="bottom"/>
            <w:gridSpan w:val="2"/>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(6,947)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Unrealized loss on cash flow hedges, net of tax benefit of $76</w:t>
            </w:r>
          </w:p>
        </w:tc>
        <w:tc>
          <w:tcPr>
            <w:tcW w:w="1080" w:type="dxa"/>
            <w:vAlign w:val="bottom"/>
            <w:gridSpan w:val="4"/>
          </w:tcPr>
          <w:p>
            <w:pPr>
              <w:jc w:val="right"/>
              <w:ind w:right="380"/>
              <w:spacing w:after="0"/>
              <w:rPr>
                <w:sz w:val="20"/>
                <w:szCs w:val="20"/>
                <w:color w:val="auto"/>
              </w:rPr>
            </w:pPr>
            <w:r>
              <w:rPr>
                <w:rFonts w:ascii="Arial" w:cs="Arial" w:eastAsia="Arial" w:hAnsi="Arial"/>
                <w:sz w:val="18"/>
                <w:szCs w:val="18"/>
                <w:color w:val="auto"/>
              </w:rPr>
              <w:t>(121)</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benefit plans, net of tax expense (benefit): $208, ($1,383), and $1,199</w:t>
            </w: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631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(2,631)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Reclassification of pension liability adjustments to earnings, net of tax expense of $160, $63 and $134 *</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w:t>
            </w:r>
          </w:p>
        </w:tc>
        <w:tc>
          <w:tcPr>
            <w:tcW w:w="440" w:type="dxa"/>
            <w:vAlign w:val="bottom"/>
            <w:gridSpan w:val="2"/>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(6,048)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(7,309)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 income</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2"/>
            <w:vMerge w:val="continue"/>
          </w:tcPr>
          <w:p>
            <w:pPr>
              <w:spacing w:after="0"/>
              <w:rPr>
                <w:sz w:val="19"/>
                <w:szCs w:val="19"/>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(50,493)</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18,347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Reclassifications out of accumulated other comprehensive income for pension obligations are charged to selling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L.B. FOSTER COMPANY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THREE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(44,445)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25,656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(14,582)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4,695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Equity loss (income) and remeasurement gain</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sales and disposals of property, plant,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3,007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Change in operating assets and liabilities, net of acquisitions: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15,311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Prepaid income tax</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2,530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Dividends from LB Pipe &amp; Coupling Products, LLC</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16,285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employee benefits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2,732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56,172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66,739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on property, plant,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(17,056)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(196,001)</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(80,797)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contributions to equity method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20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(205,575)</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(97,751)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Repayments of debt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(161,068)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301,063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24,516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stock awards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 fees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Treasury stock acquisitions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on common stock paid to shareholders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(used)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134,289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22,055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(12,599)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(36,841)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64,623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52,024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64,623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420"/>
              <w:spacing w:after="0"/>
              <w:rPr>
                <w:sz w:val="20"/>
                <w:szCs w:val="20"/>
                <w:color w:val="auto"/>
              </w:rPr>
            </w:pPr>
            <w:r>
              <w:rPr>
                <w:rFonts w:ascii="Arial" w:cs="Arial" w:eastAsia="Arial" w:hAnsi="Arial"/>
                <w:sz w:val="18"/>
                <w:szCs w:val="18"/>
                <w:color w:val="auto"/>
              </w:rPr>
              <w:t>Income taxes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7,835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14,617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funded through financing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L.B. FOSTER COMPANY AND SUBSIDIARIES</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2015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2"/>
              </w:rPr>
              <w:t>Common</w:t>
            </w:r>
          </w:p>
        </w:tc>
        <w:tc>
          <w:tcPr>
            <w:tcW w:w="3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Retained</w:t>
            </w:r>
          </w:p>
        </w:tc>
        <w:tc>
          <w:tcPr>
            <w:tcW w:w="24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Treasury</w:t>
            </w: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Earnings</w:t>
            </w:r>
          </w:p>
        </w:tc>
        <w:tc>
          <w:tcPr>
            <w:tcW w:w="24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(Loss) Income</w:t>
            </w:r>
          </w:p>
        </w:tc>
        <w:tc>
          <w:tcPr>
            <w:tcW w:w="2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w w:val="91"/>
              </w:rPr>
              <w:t>(In thousands, except share data)</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46,290</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$ 270,311</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(25,468)</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287,575</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29,290</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Pension liability adjustment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2,561</w:t>
            </w:r>
          </w:p>
        </w:tc>
        <w:tc>
          <w:tcPr>
            <w:tcW w:w="3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Issuance of 39,123 common shares,net of shares withheld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for taxes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(1,410)</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2"/>
              </w:rPr>
              <w:t>Stock based compensation and related excess tax benefit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2,359</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Cash dividends on common stock paid to shareholders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47,239</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298,361</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(24,731)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316,397</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25,656</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25,656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Pension liability adjustment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(2,446)</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Issuance of 53,884 common shares, net of shares withheld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for taxes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(2,467)</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1,613</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2"/>
              </w:rPr>
              <w:t>Stock based compensation and related excess tax benefit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3,343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Cash dividends on common stock paid to shareholders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48,115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322,672</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(23,118)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(11,892)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335,888</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(44,445)</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(44,445)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Pension liability adjustment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(6,947)</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Unrealized derivative loss on cash flow hedges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Purchase of 80,512 common shares for treasury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(1,587)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Issuance of 59,113 common shares, net of shares withheld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for taxes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(3,158)</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2,114</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2"/>
              </w:rPr>
              <w:t>Stock based compensation and related excess tax benefit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1,724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Cash dividends on common stock paid to shareholders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(1,656)</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46,681</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276,571</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(22,591)</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(17,940)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L.B. FOSTER COMPANY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 unless otherwise noted)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financial statement presentation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ventures, and partnerships in which a controlling interest is held. Inter-company transactions and accounts have been eliminated. The Company utilizes the equity method of accounting for companies where its ownership is less than or equal to 50% and significant influence exists.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considers cash and other instruments with maturities of three months or less, when purchased, to be cash and cash equivalents. The Company invests available funds in a manner to maximize returns, preserve investment principal, and maintain liquidity while seeking the highest yield available.</w:t>
      </w:r>
    </w:p>
    <w:p>
      <w:pPr>
        <w:spacing w:after="0" w:line="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Cash and cash equivalents held in non-domestic accounts was approximately $29,700 and $49,233 at December 31, 2015 and 2014, respectively. Included in non-domestic cash equivalents are investments in bank term deposits of approximately $1,939 and $25 at December 31, 2015 and 2014, respectively. The carrying amounts approximated fair value because of the short maturity of the instruments.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Certain inventories are valued at the lower of the last-in, first-out (“LIFO”) cost or market. Approximately 43% in 2015 and 44% in 2014, of the Company’s inventory is valued at average cost or market, whichever is lower. Slow-moving inventory is reviewed and adjusted regularly, based upon product knowledge, physical inventory observation, and the age of the inventory.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Depreciation and amortization are provided on a straight-line basis over the estimated useful lives of 5 to 40 years for buildings and 2 to 10 years for machinery and equipment. Leasehold improvements are amortized over 3 to 13 years, which represent the lives of the respective leases or the lives of the improvements, whichever is shorter. Depreciation expense is recorded within “cost of sales” and “selling and administrative” expenses based upon the particular asset’s use. The Company reviews a long-lived asset for impairment whenever events or changes in circumstances indicate that the carrying amount of the asset may not be recoverable. There were no material asset impairments recorded for the years ended December 31, 2015, 2014, or 2013.</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Maintenance, repairs, and minor renewals are charged to operations as incurred. Major renewals and betterments that substantially extend the useful life of the property are capitalized at cost. Upon sale or other disposition of assets, the costs and related accumulated depreciation and amortization are removed from the accounts and the resulting gain or loss, if any, is reflected in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The allowance for doubtful accounts is recorded to reflect the ultimate realization of the Company’s accounts receivable and includes assessment of the probability of collection and the credit-worthiness of certain customers. Reserves for uncollectible accounts are recorded as part of selling and administrative expenses on the Consolidated Statements of Operations. The Company records a monthly provision for accounts receivable that are considered to be uncollectible. In order to calculate the appropriate monthly provision, the Company reviews its accounts receivable aging and calculates an allowance through application of historic reserve factors to overdue receivables. This calculation is supplemented by specific account reviews performed by the Company’s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credit department. As necessary, the application of the Company’s allowance rates to specific customers is reviewed and adjusted to more accurately reflect the credit risk inherent within that customer relationship.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Investments in companies in which the Company has the ability to exert significant influence, but not control, over operating and financial policies (generally 20% to 50% ownership) are accounted for using the equity method. Under the equity method, investments are initially recorded at cost and adjusted for dividends and undistributed earnings and losses. The equity method of accounting requires a company to recognize a loss in the value of an equity method investment that is other than a temporary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Goodwill is tested annually for impairment or more often if there are indicators of impairment. The goodwill impairment test involves comparing the fair value of a reporting unit to its carrying value, including goodwill. If the carrying amount of the reporting unit exceeds its fair value, a second step is required to measure the goodwill impairment loss. This step compares the implied fair value of the reporting unit’s goodwill to the carrying amount of that goodwill. If the carrying amount of the goodwill exceeds the implied fair value of the goodwill, an impairment loss equal to the excess is recorded as a component of operations. The Company performs its annual impairment tests as of October 1</w:t>
      </w:r>
      <w:r>
        <w:rPr>
          <w:rFonts w:ascii="Arial" w:cs="Arial" w:eastAsia="Arial" w:hAnsi="Arial"/>
          <w:sz w:val="10"/>
          <w:szCs w:val="10"/>
          <w:color w:val="auto"/>
        </w:rPr>
        <w:t>st</w:t>
      </w:r>
      <w:r>
        <w:rPr>
          <w:rFonts w:ascii="Arial" w:cs="Arial" w:eastAsia="Arial" w:hAnsi="Arial"/>
          <w:sz w:val="16"/>
          <w:szCs w:val="16"/>
          <w:color w:val="auto"/>
        </w:rPr>
        <w:t>.</w:t>
      </w:r>
    </w:p>
    <w:p>
      <w:pPr>
        <w:spacing w:after="0" w:line="3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2015, the Company identified certain triggering events that indicated an interim impairment test was required. As a result of the interim assessment as of September 1, 2015, the Company recorded impairment charges of $80,337 ($63,887 net of taxes) during 2015 related to the acquisitions of IOS and Chemtec. The measurement of goodwill impairment is a Level 3 fair value measurement, as the primary assumptions, including estimates of future revenue growth, gross margin, and EBITDA margin, are not market observable and require management to make judgements regarding future outcomes. Additional information concerning the impairments is set forth in Note 4 to the financial statements. No additional charges were recorded as a result of the 2015 annual impairment test. No goodwill impairment was recognized during 2014 or 2013.</w:t>
      </w:r>
    </w:p>
    <w:p>
      <w:pPr>
        <w:spacing w:after="0" w:line="3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has no indefinite-lived intangible assets. The Company reviews a long-lived intangible asset for impairment whenever events or changes in circumstances indicate that the carrying amount of the asset may not be recoverable. All intangible assets are amortized over their useful lives ranging from 5 to 25 years, with a total weighted average amortization period of approximately 14 years, at December 31, 2015. See Note 4 for additional information including regarding the Company’s other intangible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and compliance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Environmental remediation costs are accrued when the liability is probable and costs are estimable. Environmental compliance costs, which principally include the disposal of waste generated by routine operations, are expensed as incurred. Capitalized environmental costs, when appropriate, are depreciated over their useful life. Reserves are not reduced by potential claims for recovery. Claims for recovery are recognized as agreements are reached with third parties or as amounts are received. Reserves are periodically reviewed throughout the year and adjusted to reflect current remediation progress, prospective estimates of required activity, and other factors that may be relevant, including changes in technology or regulations. See Note 19, “Commitments and Contingent Liabilities,” for additional information regarding the Company’s outstanding environmental and litigation reserves.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Basic earnings per share is calculated by dividing net income by the weighted average of common shares outstanding during the year. Diluted earnings per share is calculated by using the weighted average of common shares outstanding adjusted to include the potentially dilutive effect of outstanding stock options and restricted stock utilizing the treasury stock method.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Company’s revenues are comprised of product and service sales as well as products and services provided under long-term contracts. For product and service sales, the Company recognizes revenue when the following criteria have been satisfied; persuasive evidence of a sales arrangement exists, product delivery and transfer of title to the customer has occurred or services have been rendered, the price is fixed or determinable, and collectability is reasonably assured. Generally, product title passes to the customer upon shipment. In limited cases, title does not transfer and revenue is not recognized until the customer has received the products at its physical location. Revenue is recorded net of returns, allowances, customer discounts, and incentives. Sales taxes collected from customers and remitted to governmental authorities are accounted for on a net (excluded from revenues) basis. Shipping and handling costs are included in cost of goods sold.</w:t>
      </w:r>
    </w:p>
    <w:p>
      <w:pPr>
        <w:spacing w:after="0" w:line="6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Revenues for products and services under long-term contracts are recognized using the percentage-of-completion method. Sales and gross profit are recognized as work is performed based upon the proportion of actual costs incurred to estimated total project costs. Sales and gross profit are adjusted prospectively for revisions in estimated total project costs and contract values. For certain products and services, the percentage of completion is based upon actual labor costs as a percentage of estimated total labor costs. At the time a loss contract becomes known, the entire amount of the estimated loss is recognized in the Consolidated Statement of Operations.</w:t>
      </w:r>
    </w:p>
    <w:p>
      <w:pPr>
        <w:spacing w:after="0" w:line="6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Revenue recognition involves judgments, including assessments of expected returns, the likelihood of nonpayment, and estimates of expected costs and profits on long-term contracts. In determining when to recognize revenue, we analyze various factors, including the specifics of the transaction, historical experience, creditworthiness of the customer, and current market and economic conditions. Changes in judgments on these factors could impact the timing and amount of revenue recognized with a resulting impact on the timing and amount of associated income.</w:t>
      </w:r>
    </w:p>
    <w:p>
      <w:pPr>
        <w:spacing w:after="0" w:line="32" w:lineRule="exact"/>
        <w:rPr>
          <w:sz w:val="20"/>
          <w:szCs w:val="20"/>
          <w:color w:val="auto"/>
        </w:rPr>
      </w:pPr>
    </w:p>
    <w:p>
      <w:pPr>
        <w:ind w:right="520" w:firstLine="456"/>
        <w:spacing w:after="0" w:line="391" w:lineRule="auto"/>
        <w:rPr>
          <w:sz w:val="20"/>
          <w:szCs w:val="20"/>
          <w:color w:val="auto"/>
        </w:rPr>
      </w:pPr>
      <w:r>
        <w:rPr>
          <w:rFonts w:ascii="Arial" w:cs="Arial" w:eastAsia="Arial" w:hAnsi="Arial"/>
          <w:sz w:val="18"/>
          <w:szCs w:val="18"/>
          <w:color w:val="auto"/>
        </w:rPr>
        <w:t xml:space="preserve">Costs in excess of billings are classified as work-in-process inventory. Projects with billings in excess of costs are recorded within deferred revenue. </w:t>
      </w:r>
      <w:r>
        <w:rPr>
          <w:rFonts w:ascii="Arial" w:cs="Arial" w:eastAsia="Arial" w:hAnsi="Arial"/>
          <w:sz w:val="18"/>
          <w:szCs w:val="18"/>
          <w:b w:val="1"/>
          <w:bCs w:val="1"/>
          <w:color w:val="auto"/>
        </w:rPr>
        <w:t>Deferred revenue</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Deferred revenue consists of customer payments received for which the revenue recognition criteria have not yet been met as well as billings in excess of costs on percentage of completion projects. Advanced payments from customers typically relate to contracts with respect to which the Company has significantly fulfilled its obligations, but due to the Company’s continuing involvement with the project, revenue is precluded from being recognized until title, ownership, and risk of loss have passed to the customer.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financial instruments consist of cash equivalents, accounts receivable, accounts payable, interest rate swap agreements, and debt.</w:t>
      </w:r>
    </w:p>
    <w:p>
      <w:pPr>
        <w:spacing w:after="0" w:line="11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carrying amounts of the Company’s financial instruments at December 31, 2015 and 2014 approximate fair value. See Note 18, “Fair Value Measurements,”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applies the provisions of FASB ASC 718, “Compensation — Stock Compensation,” to account for the Company’s share-based compensation. Under the guidance, share-based compensation cost is measured at the grant date based on the calculated fair value of the award. The expense is recognized over the employees’ requisite service period, generally the vesting period of the award. See Note 15, “Stare-based Compensation,”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maintains a current warranty liability for the repair or replacement of defective products. For certain manufactured products, an accrual is made on a monthly basis as a percentage of cost of sales based upon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historical experience. For long-lived construction products, a warranty is established when the claim is known and quantifiable. The product warranty accrual is periodically adjusted based on the identification or resolution of known individual product warranty claims or due to changes in the Company’s historical warranty experience. At December 31, 2015 and 2014, the product warranty reserve was $8,755 and $11,500, respectively. See Note 19, “Commitments and Contingencies” for additional information regarding the product warranty.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assets and liabilities and their respective tax bases. Deferred taxes are measured using enacted tax laws and rates expected to be in effect when such differences are recovered or settled. The effect of a change in tax rates on deferred taxes is recognized in income in the period that includes the enactment date of the change.</w:t>
      </w:r>
    </w:p>
    <w:p>
      <w:pPr>
        <w:spacing w:after="0" w:line="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makes judgments regarding the recognition of deferred tax assets and the future realization of these assets. As prescribed by Financial Accounting Standards Board (“FASB”) Accounting Standards Codification (“ASC”) 740 “Income Taxes” and applicable guidance, valuation allowances must be provided for those deferred tax assets for which it is more likely than not (a likelihood more than 50%) that some portion or all of the deferred tax assets will not be realized. The guidance requires the Company to evaluate positive and negative evidence regarding the recoverability of deferred tax assets. Determination of whether the positive evidence outweighs the negative evidence and quantification of the valuation allowance requires the Company to make estimates and judgments of future financial results.</w:t>
      </w:r>
    </w:p>
    <w:p>
      <w:pPr>
        <w:spacing w:after="0" w:line="6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various other assumptions. Actual results could differ from those estimates upon subsequent resolution of identified matters. The Company accrues interest and penalties related to unrecognized tax benefits in its provision for 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assets and liabilities of our foreign subsidiaries are measured using the local currency as the functional currency and are translated into U.S. dollars at exchange rates as of the balance sheet date. Income statement amounts are translated at the weighted-average rates of exchange during the year. The translation adjustment is accumulated as a separate component of accumulated other comprehensive income (loss). Foreign currency transaction gains and losses are included in determining net income. Included in net income for the years ended December 31, 2015, 2014, and 2013 were foreign currency transaction gains of approximately $1,616, $422, and $433,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expenses research and development costs as costs are incurred. For the years ended December 31, 2015, 2014, and 2013, research and development expenses were $3,937, $3,096, and $3,154, respectively, and were principally related to the Company’s friction management and railroad monitoring system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estimates and assumptions that affect the amounts reported in the financial statements and accompanying notes. Actual results could differ from those estimates.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Certain accounts in the prior year consolidated financial statements have been reclassified for comparative purposes principally to conform to the presentation in the current year period. These reclassifications include separately presenting sales of services and cost of services sold to reflect the Company’s increased service offerings attributable to the recent acquisitions disclosed in Note 3 and a change in GAAP, as further described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 Update (“ASU”) 2014-09, “Revenue from Contracts with Customers (Topic 606)” (“ASU 2014-09”), which supersedes the revenue recognition requirements in Accounting Standards Codification 605, “Revenue Recognition.” ASU 2014-09 is based on the principle that revenue is recognized to depict the transfer of goods or services to customers in an amount that reflects the consideration to which the entity expects to be entitled in exchange for those goods or services. It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fiscal years beginning after December 15, 2017, including interim periods within that reporting period. The Company is currently evaluating its implementation approach and assessing the impact of ASU 2014-09 on our financial position and results of operations.</w:t>
      </w:r>
    </w:p>
    <w:p>
      <w:pPr>
        <w:spacing w:after="0" w:line="3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The pronouncement was issued to simplify the measurement of inventory and changes the measurement from lower of cost or market to lower of cost and net realizable value. This pronouncement is effective for reporting periods beginning after December 15, 2016. The adoption of ASU 2015-11 is not expected to have a significant impact on our financial position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April 2015, the FASB issued ASU No. 2015-03, “Interest-Imputation of Interest (Topic 835-30): Simplifying the Presentation of Debt Issuance Costs”, which requires that debt issuance costs related to a recognized debt liability be presented in the balance sheet as a direct deduction from the carrying amount of that debt liability, consistent with debt discounts. Debt issuance costs related to line of credit arrangements may continue to be reflected as an asset. The recognition and measurement guidance of debt issuance costs are not affected by the amendments in this update. The standard is effective for financial statements issued for annual periods beginning after December 15, 2015, and interim periods within those annual periods. The Company early adopted the new guidance in the fourth quarter of 2015 and there was no impact to the consolidated financial statements from the adoption of this guidance.</w:t>
      </w:r>
    </w:p>
    <w:p>
      <w:pPr>
        <w:spacing w:after="0" w:line="3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September 2015, the FASB issued ASU No. 2015-16 “Business Combinations (Topic 805): Simplifying the Accounting for Measurement-Period Adjustments” (“ASU 2015-16”). ASU 2015-16 requires that an acquirer recognize adjustments to provisional amounts that are identified during the measurement period in the reporting period in which the adjustment amounts are determined. Prior to the issuance of the standard, entities were required to retrospectively apply adjustments made to provisional amounts recognized in a business combination. ASU 2015-16 is effective for fiscal years, and interim periods within those years, beginning after December 15, 2015, and early adoption is permitted. Accordingly, the standard is effective for the Company on January 1, 2016. The Company early adopted the new guidance in the fourth quarter of 2015 and there was no impact to the consolidated financial statements from the adoption of this guidance.</w:t>
      </w:r>
    </w:p>
    <w:p>
      <w:pPr>
        <w:spacing w:after="0" w:line="6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(“ASU 2015-17”). This new guidance requires businesses to classify deferred tax liabilities and assets on their balance sheets as noncurrent. Under existing accounting, a business must separate deferred income tax liabilities and assets into current and noncurrent. ASU 2015-17 was issued as a way to simplify the way businesses classify deferred tax liabilities and assets on their balance sheets. Public companies must apply ASU 2015-17 to fiscal years beginning after December 15, 2016. Companies must follow the requirements for interim periods within those fiscal years, but early adoption at the beginning of an interim or annual period is allowed for all entities. The Company adopted this guidance during the fourth quarter of 2015 on a retrospective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basis, which resulted in the reclassification of $3,497 current deferred tax assets and $77 current deferred tax liabilities to non-current as of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The Company is a leading manufacturer, fabricator, and distributor of products and services for rail, construction, energy, and utility markets. The Company is organized and evaluated by product group, which is the basis for identifying reportable segments. Each segment represents a revenue-producing component of the Company for which separate financial information is produced internally that is subject to evaluation by the Company’s chief operating decision maker in deciding how to allocate resources. Each segment is evaluated based upon their segment profit contribution to the Company’s consolidated results.</w:t>
      </w:r>
    </w:p>
    <w:p>
      <w:pPr>
        <w:spacing w:after="0" w:line="6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 a result of recently completed acquisitions, during the first quarter of 2015, the Company renamed the Rail Products and Tubular Products business segments to be Rail Products and Services and Tubular and Energy Services, respectively. The name changes principally reflect the additional businesses conducted by those segments as a result of acquisitions that have enhanced our product and service offerings within the rail and energy markets. Excluding the addition of current year acquisitions, there were no changes to the divisions that have been aggregated within the segments nor were there changes to the historical reportable segment results.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markets its products directly in all major industrial areas of the United States, Canada, and Europe, primarily through an internal sales force.</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Rail Products and Services segment provides a full line of new and used rail, trackwork, and accessories to railroads, mines, and other customers in the rail industry. The Rail segment also designs and produces insulated rail joints, power rail, track fasteners, concrete railroad ties, coverboards, and special accessories for mass transit and other rail systems. In addition, the Rail Products and Services segment engineers, manufactures, and assembles friction management products and railway wayside data collection and management systems.</w:t>
      </w:r>
    </w:p>
    <w:p>
      <w:pPr>
        <w:spacing w:after="0" w:line="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Company’s Construction Products segment sells and rents steel sheet piling, H-bearing pile, and other piling products for foundation and earth retention requirements. The Company’s Fabricated Products division sells bridge decking, bridge railing, structural steel fabrications, expansion joints, bridge forms, and other products for highway construction and repair. The concrete products businesses produce precast concrete buildings and a variety of specialty precast concrete products.</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Company’s Tubular and Energy Services segment provides pipe coatings for natural gas pipelines and utilities, upstream test and inspection services, precision measurement systems for the oil and gas market, and produces threaded pipe products for the oil and gas markets as well as industrial water well and irrigation markets.</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following table illustrates net sales, profit (loss), assets, depreciation/amortization, and expenditures for long-lived assets of the Company by segment for the years ended or at December 31, 2015, 2014, and 2013. Segment profit is the earnings from operations before income taxes and includes internal cost of capital charges for net assets used in the segment at a rate of generally 1% per month excluding recently acquired businesses. The internal cost of capital charges are eliminated during the consolidation process. The accounting policies of the reportable segments are the same as those described in the summary of significant accounting policies except that the Company accounts for inventory on a First-In, First-Out (“FIFO”) basis at the segment level compared to a Last-In, First-Out (“LIFO”) basis at the consolidated level.</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Expenditures for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4"/>
              </w:rPr>
              <w:t>Segment</w:t>
            </w:r>
          </w:p>
        </w:tc>
        <w:tc>
          <w:tcPr>
            <w:tcW w:w="68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w w:val="94"/>
              </w:rPr>
              <w:t>Segment</w:t>
            </w:r>
          </w:p>
        </w:tc>
        <w:tc>
          <w:tcPr>
            <w:tcW w:w="6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Depreciation/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Long-Lived</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Net Sales</w:t>
            </w:r>
          </w:p>
        </w:tc>
        <w:tc>
          <w:tcPr>
            <w:tcW w:w="5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Profit (Loss)</w:t>
            </w:r>
          </w:p>
        </w:tc>
        <w:tc>
          <w:tcPr>
            <w:tcW w:w="680" w:type="dxa"/>
            <w:vAlign w:val="bottom"/>
          </w:tcPr>
          <w:p>
            <w:pPr>
              <w:jc w:val="right"/>
              <w:ind w:right="81"/>
              <w:spacing w:after="0"/>
              <w:rPr>
                <w:sz w:val="20"/>
                <w:szCs w:val="20"/>
                <w:color w:val="auto"/>
              </w:rPr>
            </w:pPr>
            <w:r>
              <w:rPr>
                <w:rFonts w:ascii="Arial" w:cs="Arial" w:eastAsia="Arial" w:hAnsi="Arial"/>
                <w:sz w:val="14"/>
                <w:szCs w:val="14"/>
                <w:b w:val="1"/>
                <w:bCs w:val="1"/>
                <w:color w:val="auto"/>
              </w:rPr>
              <w:t>Assets</w:t>
            </w:r>
          </w:p>
        </w:tc>
        <w:tc>
          <w:tcPr>
            <w:tcW w:w="6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Rail Products and Services</w:t>
            </w:r>
          </w:p>
        </w:tc>
        <w:tc>
          <w:tcPr>
            <w:tcW w:w="1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$328,982</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27,037</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$241,222</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Construction Products</w:t>
            </w:r>
          </w:p>
        </w:tc>
        <w:tc>
          <w:tcPr>
            <w:tcW w:w="2120" w:type="dxa"/>
            <w:vAlign w:val="bottom"/>
            <w:gridSpan w:val="3"/>
          </w:tcPr>
          <w:p>
            <w:pPr>
              <w:jc w:val="right"/>
              <w:ind w:right="80"/>
              <w:spacing w:after="0"/>
              <w:rPr>
                <w:sz w:val="20"/>
                <w:szCs w:val="20"/>
                <w:color w:val="auto"/>
              </w:rPr>
            </w:pPr>
            <w:r>
              <w:rPr>
                <w:rFonts w:ascii="Arial" w:cs="Arial" w:eastAsia="Arial" w:hAnsi="Arial"/>
                <w:sz w:val="18"/>
                <w:szCs w:val="18"/>
                <w:color w:val="auto"/>
              </w:rPr>
              <w:t>176,394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12,958</w:t>
            </w:r>
          </w:p>
        </w:tc>
        <w:tc>
          <w:tcPr>
            <w:tcW w:w="680" w:type="dxa"/>
            <w:vAlign w:val="bottom"/>
          </w:tcPr>
          <w:p>
            <w:pPr>
              <w:jc w:val="right"/>
              <w:spacing w:after="0"/>
              <w:rPr>
                <w:sz w:val="20"/>
                <w:szCs w:val="20"/>
                <w:color w:val="auto"/>
              </w:rPr>
            </w:pPr>
            <w:r>
              <w:rPr>
                <w:rFonts w:ascii="Arial" w:cs="Arial" w:eastAsia="Arial" w:hAnsi="Arial"/>
                <w:sz w:val="18"/>
                <w:szCs w:val="18"/>
                <w:color w:val="auto"/>
              </w:rPr>
              <w:t>86,335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Tubular and Energy Services</w:t>
            </w: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119,147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(81,344)*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216,715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2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624,523</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(41,349)</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544,272</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Expenditures for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Segment</w:t>
            </w: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Segment</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Depreciation/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Long-Lived</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Net Sales</w:t>
            </w:r>
          </w:p>
        </w:tc>
        <w:tc>
          <w:tcPr>
            <w:tcW w:w="60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Profit</w:t>
            </w: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78"/>
              </w:rPr>
              <w:t>Assets</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Rail Products and Services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$374,615</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$30,093</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$239,951</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Construction Products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178,847</w:t>
            </w:r>
          </w:p>
        </w:tc>
        <w:tc>
          <w:tcPr>
            <w:tcW w:w="1780" w:type="dxa"/>
            <w:vAlign w:val="bottom"/>
            <w:gridSpan w:val="3"/>
          </w:tcPr>
          <w:p>
            <w:pPr>
              <w:jc w:val="right"/>
              <w:ind w:right="600"/>
              <w:spacing w:after="0"/>
              <w:rPr>
                <w:sz w:val="20"/>
                <w:szCs w:val="20"/>
                <w:color w:val="auto"/>
              </w:rPr>
            </w:pPr>
            <w:r>
              <w:rPr>
                <w:rFonts w:ascii="Arial" w:cs="Arial" w:eastAsia="Arial" w:hAnsi="Arial"/>
                <w:sz w:val="18"/>
                <w:szCs w:val="18"/>
                <w:color w:val="auto"/>
              </w:rPr>
              <w:t>13,106</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102,978</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Tubular and Energy Services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130,289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607,192</w:t>
            </w:r>
          </w:p>
        </w:tc>
        <w:tc>
          <w:tcPr>
            <w:tcW w:w="178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48,549</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473,218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11,593</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Expenditures for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Segment</w:t>
            </w: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Segment</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Depreciation/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Long-Lived</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Net Sales</w:t>
            </w:r>
          </w:p>
        </w:tc>
        <w:tc>
          <w:tcPr>
            <w:tcW w:w="60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Profit</w:t>
            </w: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78"/>
              </w:rPr>
              <w:t>Assets</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Rail Products and Services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$363,667</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$28,692</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$252,049</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Construction Products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191,751</w:t>
            </w:r>
          </w:p>
        </w:tc>
        <w:tc>
          <w:tcPr>
            <w:tcW w:w="1780" w:type="dxa"/>
            <w:vAlign w:val="bottom"/>
            <w:gridSpan w:val="3"/>
          </w:tcPr>
          <w:p>
            <w:pPr>
              <w:jc w:val="right"/>
              <w:ind w:right="600"/>
              <w:spacing w:after="0"/>
              <w:rPr>
                <w:sz w:val="20"/>
                <w:szCs w:val="20"/>
                <w:color w:val="auto"/>
              </w:rPr>
            </w:pPr>
            <w:r>
              <w:rPr>
                <w:rFonts w:ascii="Arial" w:cs="Arial" w:eastAsia="Arial" w:hAnsi="Arial"/>
                <w:sz w:val="18"/>
                <w:szCs w:val="18"/>
                <w:color w:val="auto"/>
              </w:rPr>
              <w:t>10,206</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77,900</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Tubular and Energy Services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51,497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597,963</w:t>
            </w:r>
          </w:p>
        </w:tc>
        <w:tc>
          <w:tcPr>
            <w:tcW w:w="178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48,106</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381,446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9,317</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Segment loss includes impairment of goodwill as further described in Note 4.</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2015, 2014, and 2013, no single customer accounted for more than 10% of the Company’s consolidated net sales. Sales between segments are immaterial.</w:t>
      </w:r>
    </w:p>
    <w:p>
      <w:pPr>
        <w:spacing w:after="0" w:line="5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Reconciliations of reportable segment net sales, profits, assets, depreciation/amortization, and expenditures for long-lived assets to the Company’s consolidated totals are illustrated as follows for the years ended and as of 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income from Operations: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for reportable segments</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(41,349)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48,549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Adjustment of inventory to LIFO</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Unallocated interest income</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6"/>
              </w:rPr>
              <w:t>Unallocated equity in (loss) income of nonconsolidated investments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Unallocated corporate amounts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(11,489)</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(12,039)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taxes</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(50,577)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39,060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gridSpan w:val="2"/>
            <w:vMerge w:val="continue"/>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for reportable segments</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544,272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473,218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381,446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Unallocated corporate assets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26,788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LIFO</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2"/>
            <w:vMerge w:val="continue"/>
          </w:tcPr>
          <w:p>
            <w:pPr>
              <w:spacing w:after="0"/>
              <w:rPr>
                <w:sz w:val="19"/>
                <w:szCs w:val="19"/>
                <w:color w:val="auto"/>
              </w:rPr>
            </w:pP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566,660</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491,717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413,193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for reportable segments</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25,675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11,593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2"/>
            <w:vMerge w:val="continue"/>
          </w:tcPr>
          <w:p>
            <w:pPr>
              <w:spacing w:after="0"/>
              <w:rPr>
                <w:sz w:val="19"/>
                <w:szCs w:val="19"/>
                <w:color w:val="auto"/>
              </w:rPr>
            </w:pP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26,674</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12,577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for reportable segments</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9,836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15,446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Expenditures funded through financing agreements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expenditures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5,077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19,037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900" w:type="dxa"/>
            <w:vAlign w:val="bottom"/>
            <w:vMerge w:val="restart"/>
          </w:tcPr>
          <w:p>
            <w:pPr>
              <w:jc w:val="right"/>
              <w:ind w:right="2212"/>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sales by major geographic region in which the Company has operations for the years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2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$ 522,404</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$ 498,025</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$ 495,710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Canada</w:t>
            </w:r>
          </w:p>
        </w:tc>
        <w:tc>
          <w:tcPr>
            <w:tcW w:w="1400" w:type="dxa"/>
            <w:vAlign w:val="bottom"/>
            <w:gridSpan w:val="4"/>
          </w:tcPr>
          <w:p>
            <w:pPr>
              <w:jc w:val="right"/>
              <w:ind w:right="540"/>
              <w:spacing w:after="0"/>
              <w:rPr>
                <w:sz w:val="20"/>
                <w:szCs w:val="20"/>
                <w:color w:val="auto"/>
              </w:rPr>
            </w:pPr>
            <w:r>
              <w:rPr>
                <w:rFonts w:ascii="Arial" w:cs="Arial" w:eastAsia="Arial" w:hAnsi="Arial"/>
                <w:sz w:val="18"/>
                <w:szCs w:val="18"/>
                <w:color w:val="auto"/>
              </w:rPr>
              <w:t>40,545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39,375</w:t>
            </w: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37,290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4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26,817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22,625</w:t>
            </w: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16,548</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34,757</w:t>
            </w:r>
          </w:p>
        </w:tc>
        <w:tc>
          <w:tcPr>
            <w:tcW w:w="5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47,167</w:t>
            </w:r>
          </w:p>
        </w:tc>
        <w:tc>
          <w:tcPr>
            <w:tcW w:w="5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$ 624,523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$ 607,192</w:t>
            </w: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$ 597,963</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460"/>
              <w:spacing w:after="0"/>
              <w:rPr>
                <w:sz w:val="20"/>
                <w:szCs w:val="20"/>
                <w:color w:val="auto"/>
              </w:rPr>
            </w:pPr>
            <w:r>
              <w:rPr>
                <w:rFonts w:ascii="Arial" w:cs="Arial" w:eastAsia="Arial" w:hAnsi="Arial"/>
                <w:sz w:val="18"/>
                <w:szCs w:val="18"/>
                <w:color w:val="auto"/>
                <w:w w:val="90"/>
              </w:rPr>
              <w:t>The following table summarizes the Company’s long-lived assets by geographic region at December 31:</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940" w:type="dxa"/>
            <w:vAlign w:val="bottom"/>
          </w:tcPr>
          <w:p>
            <w:pPr>
              <w:spacing w:after="0"/>
              <w:rPr>
                <w:sz w:val="20"/>
                <w:szCs w:val="20"/>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2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$ 118,053</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$ 66,905</w:t>
            </w:r>
          </w:p>
        </w:tc>
        <w:tc>
          <w:tcPr>
            <w:tcW w:w="66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$ 40,717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Canada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6,186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7,440</w:t>
            </w: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60" w:type="dxa"/>
            <w:vAlign w:val="bottom"/>
            <w:gridSpan w:val="2"/>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$ 126,745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$ 74,802</w:t>
            </w: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$ 50,109</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460"/>
              <w:spacing w:after="0"/>
              <w:rPr>
                <w:sz w:val="20"/>
                <w:szCs w:val="20"/>
                <w:color w:val="auto"/>
              </w:rPr>
            </w:pPr>
            <w:r>
              <w:rPr>
                <w:rFonts w:ascii="Arial" w:cs="Arial" w:eastAsia="Arial" w:hAnsi="Arial"/>
                <w:sz w:val="18"/>
                <w:szCs w:val="18"/>
                <w:color w:val="auto"/>
              </w:rPr>
              <w:t>The following table summarizes the Company’s sales by major product line:</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940" w:type="dxa"/>
            <w:vAlign w:val="bottom"/>
          </w:tcPr>
          <w:p>
            <w:pPr>
              <w:spacing w:after="0"/>
              <w:rPr>
                <w:sz w:val="20"/>
                <w:szCs w:val="20"/>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2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Rail distribution products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$ 126,277</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$ 139,529</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$ 144,911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Rail Technologies products</w:t>
            </w:r>
          </w:p>
        </w:tc>
        <w:tc>
          <w:tcPr>
            <w:tcW w:w="1400" w:type="dxa"/>
            <w:vAlign w:val="bottom"/>
            <w:gridSpan w:val="4"/>
          </w:tcPr>
          <w:p>
            <w:pPr>
              <w:jc w:val="right"/>
              <w:ind w:right="540"/>
              <w:spacing w:after="0"/>
              <w:rPr>
                <w:sz w:val="20"/>
                <w:szCs w:val="20"/>
                <w:color w:val="auto"/>
              </w:rPr>
            </w:pPr>
            <w:r>
              <w:rPr>
                <w:rFonts w:ascii="Arial" w:cs="Arial" w:eastAsia="Arial" w:hAnsi="Arial"/>
                <w:sz w:val="18"/>
                <w:szCs w:val="18"/>
                <w:color w:val="auto"/>
              </w:rPr>
              <w:t>98,237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109,053</w:t>
            </w: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88,670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Piling products</w:t>
            </w:r>
          </w:p>
        </w:tc>
        <w:tc>
          <w:tcPr>
            <w:tcW w:w="14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94,853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111,182</w:t>
            </w: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140,302</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Concrete products</w:t>
            </w:r>
          </w:p>
        </w:tc>
        <w:tc>
          <w:tcPr>
            <w:tcW w:w="1400" w:type="dxa"/>
            <w:vAlign w:val="bottom"/>
            <w:gridSpan w:val="4"/>
          </w:tcPr>
          <w:p>
            <w:pPr>
              <w:jc w:val="right"/>
              <w:ind w:right="540"/>
              <w:spacing w:after="0"/>
              <w:rPr>
                <w:sz w:val="20"/>
                <w:szCs w:val="20"/>
                <w:color w:val="auto"/>
              </w:rPr>
            </w:pPr>
            <w:r>
              <w:rPr>
                <w:rFonts w:ascii="Arial" w:cs="Arial" w:eastAsia="Arial" w:hAnsi="Arial"/>
                <w:sz w:val="18"/>
                <w:szCs w:val="18"/>
                <w:color w:val="auto"/>
              </w:rPr>
              <w:t>52,044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36,396</w:t>
            </w: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Test and inspection services</w:t>
            </w:r>
          </w:p>
        </w:tc>
        <w:tc>
          <w:tcPr>
            <w:tcW w:w="14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35,906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CXT concrete tie products</w:t>
            </w:r>
          </w:p>
        </w:tc>
        <w:tc>
          <w:tcPr>
            <w:tcW w:w="1400" w:type="dxa"/>
            <w:vAlign w:val="bottom"/>
            <w:gridSpan w:val="4"/>
          </w:tcPr>
          <w:p>
            <w:pPr>
              <w:jc w:val="right"/>
              <w:ind w:right="540"/>
              <w:spacing w:after="0"/>
              <w:rPr>
                <w:sz w:val="20"/>
                <w:szCs w:val="20"/>
                <w:color w:val="auto"/>
              </w:rPr>
            </w:pPr>
            <w:r>
              <w:rPr>
                <w:rFonts w:ascii="Arial" w:cs="Arial" w:eastAsia="Arial" w:hAnsi="Arial"/>
                <w:sz w:val="18"/>
                <w:szCs w:val="18"/>
                <w:color w:val="auto"/>
              </w:rPr>
              <w:t>35,740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52,562</w:t>
            </w: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44,108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Allegheny Rail Products</w:t>
            </w:r>
          </w:p>
        </w:tc>
        <w:tc>
          <w:tcPr>
            <w:tcW w:w="14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35,155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45,008</w:t>
            </w: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36,666</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Other products</w:t>
            </w:r>
          </w:p>
        </w:tc>
        <w:tc>
          <w:tcPr>
            <w:tcW w:w="16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146,311</w:t>
            </w:r>
          </w:p>
        </w:tc>
        <w:tc>
          <w:tcPr>
            <w:tcW w:w="5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113,462</w:t>
            </w:r>
          </w:p>
        </w:tc>
        <w:tc>
          <w:tcPr>
            <w:tcW w:w="5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$ 624,523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$ 607,192</w:t>
            </w: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$ 597,963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TEW Plus, LTD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November 23, 2015, the Company acquired the 75% balance of the remaining shares of TEW Plus, LTD (“Tew Plus”) for $2,130, net of cash acquired. Headquartered in Nottingham, UK, Tew Plus provides telecommunications and security systems to the railway and commercial markets. Their offerings include full installation services including: design, project management, survey, and commissioning along with future maintenance. The results of Tew Plus’ operations are included within the Rail Products and Services segment from the date of acquisition.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Oilfield Services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March 13, 2015, the Company acquired IOS Holdings, Inc. (“IOS”) for $167,404, net of cash acquired and a net working capital receivable adjustment of $2,363. The purchase agreement includes an earn-out provision for the seller to generate an additional $60,000 of proceeds upon achieving certain levels of EBITDA during the three year period beginning on January 1, 2015. The Company has not accrued an estimated earn-out obligation based upon a probability weighted valuation model of the projected EBITDA results, which indicates that the minimum target will not be achieved. Approximately $7,600 of the purchase price relates to amounts held in escrow to satisfy potential indemnity claims made under the purchase agreement. Headquartered in Houston, TX,</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IOS is a leading independent provider of tubular management services with operations in every significant oil and gas producing region in the continental United States. The acquisition is included within our Tubular and Energy Services segment from the date of acquisition. See Note 4 with respect to an impairment of the goodwill related to this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TEW Holdings, LTD</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January 13, 2015, the Company acquired TEW Holdings, LTD (“Tew”) for $26,467, net of cash acquired, working capital, and net debt adjustments totaling $4,200. The purchase price includes approximately $600 which is held in escrow to satisfy potential indemnity claims made under the purchase agreement. Headquartered in Nottingham, UK, Tew provides application engineering solutions primarily to the rail market and other major industries. The results of Tew’s operations are included within the Rail Products and Services segment from the date of acquisition.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Chemtec Energy Services, L.L.C.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December 30, 2014, the Company acquired Chemtec Energy Services, L.L.C. (“Chemtec”) for $66,719, net of cash received, which is inclusive of $1,867 related to working capital adjustments. The cash payment included $5,000 which is held in escrow to satisfy potential indemnity claims made under the purchase agreement. Headquartered in Willis, TX, Chemtec is a domestic manufacturer and turnkey provider of blending, injection, and metering equipment for the oil and gas industry. The acquired business is included within our Tubular and Energy Services segment. See Note 4 with respect to an impairment of the goodwill related to this acquisition.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FWO</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October 29, 2014, the Company acquired FWO, a business of Balfour Beatty Rail GmbH for $1,103, inclusive of a $161 post-closing working capital receivable adjustment. Headquartered in Germany, FWO is engaged in the electronic track lubrication and maintenance business and has been included in our Rail Products and Services segment.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 Concrete</w:t>
      </w:r>
    </w:p>
    <w:p>
      <w:pPr>
        <w:spacing w:after="0" w:line="9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On July 7, 2014, the Company acquired Carr Concrete Corporation (“Carr”) for $12,480, inclusive of a $189 post-closing purchase price adjustment. Carr is a provider of pre-stressed and precast specialty concrete products located in Waverly, WV. Included within the purchase price is $1,000 which is held in escrow to satisfy potential indemnity claims made under the purchase agreement. The results of Carr’s operations are included in our Construction Products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Summary</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Each transaction was accounted for under the acquisition method of accounting under U.S. generally accepted accounting principles which requires an acquiring entity to recognize, with limited exceptions, all of the assets acquired and liabilities assumed in a transaction at fair value as of the acquisition date. Goodwill primarily represents the value paid for each acquisition’s enhancement to the Company’s product and service offerings and capabilities, as well as a premium payment related to the ability to control the acquired assets. The Company has concluded that intangible assets and goodwill values resulting from the Chemtec, FWO, and Carr transactions will be deductible for tax purposes.</w:t>
      </w:r>
    </w:p>
    <w:p>
      <w:pPr>
        <w:spacing w:after="0" w:line="3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incurred $760 and $2,240 of acquisition-related costs which are included in the results of operations within selling and administrative costs for the years ended December 31, 2015 and 2014.</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The following unaudited pro forma consolidated income statement presents the Company’s results as if the acquisitions of IOS, Tew, and Chemtec had occurred on January 1, 2014. The 2015 pro forma results include the impact of the current year impairment of goodwill as further described in Note 4.</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7"/>
          </w:tcPr>
          <w:p>
            <w:pPr>
              <w:jc w:val="right"/>
              <w:ind w:right="460"/>
              <w:spacing w:after="0" w:line="138" w:lineRule="exact"/>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$ 640,596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$ 806,384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138,123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(44,399)</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Diluted (loss) earnings per share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Pro forma</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3"/>
          </w:tcPr>
          <w:p>
            <w:pPr>
              <w:jc w:val="right"/>
              <w:ind w:right="26"/>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4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10580" w:type="dxa"/>
            <w:vAlign w:val="bottom"/>
            <w:gridSpan w:val="23"/>
          </w:tcPr>
          <w:p>
            <w:pPr>
              <w:ind w:left="440"/>
              <w:spacing w:after="0"/>
              <w:rPr>
                <w:sz w:val="20"/>
                <w:szCs w:val="20"/>
                <w:color w:val="auto"/>
              </w:rPr>
            </w:pPr>
            <w:r>
              <w:rPr>
                <w:rFonts w:ascii="Arial" w:cs="Arial" w:eastAsia="Arial" w:hAnsi="Arial"/>
                <w:sz w:val="18"/>
                <w:szCs w:val="18"/>
                <w:color w:val="auto"/>
                <w:w w:val="95"/>
              </w:rPr>
              <w:t>The following table summarizes the estimated fair values of the assets acquired and liabilities assumed at the date of the acquisition: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Allocation of Purchase Price</w:t>
            </w:r>
          </w:p>
        </w:tc>
        <w:tc>
          <w:tcPr>
            <w:tcW w:w="960" w:type="dxa"/>
            <w:vAlign w:val="bottom"/>
          </w:tcPr>
          <w:p>
            <w:pPr>
              <w:spacing w:after="0"/>
              <w:rPr>
                <w:sz w:val="19"/>
                <w:szCs w:val="19"/>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November 23,</w:t>
            </w:r>
          </w:p>
        </w:tc>
        <w:tc>
          <w:tcPr>
            <w:tcW w:w="22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5"/>
              </w:rPr>
              <w:t>March 13,</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January 13,</w:t>
            </w:r>
          </w:p>
        </w:tc>
        <w:tc>
          <w:tcPr>
            <w:tcW w:w="2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October 29,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July 7,</w:t>
            </w:r>
          </w:p>
        </w:tc>
        <w:tc>
          <w:tcPr>
            <w:tcW w:w="0" w:type="dxa"/>
            <w:vAlign w:val="bottom"/>
          </w:tcPr>
          <w:p>
            <w:pPr>
              <w:spacing w:after="0"/>
              <w:rPr>
                <w:sz w:val="1"/>
                <w:szCs w:val="1"/>
                <w:color w:val="auto"/>
              </w:rPr>
            </w:pPr>
          </w:p>
        </w:tc>
      </w:tr>
      <w:tr>
        <w:trPr>
          <w:trHeight w:val="168"/>
        </w:trPr>
        <w:tc>
          <w:tcPr>
            <w:tcW w:w="32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2015 - Tew Plus</w:t>
            </w:r>
          </w:p>
        </w:tc>
        <w:tc>
          <w:tcPr>
            <w:tcW w:w="220" w:type="dxa"/>
            <w:vAlign w:val="bottom"/>
          </w:tcPr>
          <w:p>
            <w:pPr>
              <w:spacing w:after="0"/>
              <w:rPr>
                <w:sz w:val="14"/>
                <w:szCs w:val="14"/>
                <w:color w:val="auto"/>
              </w:rPr>
            </w:pPr>
          </w:p>
        </w:tc>
        <w:tc>
          <w:tcPr>
            <w:tcW w:w="1200" w:type="dxa"/>
            <w:vAlign w:val="bottom"/>
            <w:gridSpan w:val="3"/>
          </w:tcPr>
          <w:p>
            <w:pPr>
              <w:jc w:val="right"/>
              <w:ind w:right="560"/>
              <w:spacing w:after="0" w:line="148" w:lineRule="exact"/>
              <w:rPr>
                <w:sz w:val="20"/>
                <w:szCs w:val="20"/>
                <w:color w:val="auto"/>
              </w:rPr>
            </w:pPr>
            <w:r>
              <w:rPr>
                <w:rFonts w:ascii="Arial" w:cs="Arial" w:eastAsia="Arial" w:hAnsi="Arial"/>
                <w:sz w:val="14"/>
                <w:szCs w:val="14"/>
                <w:b w:val="1"/>
                <w:bCs w:val="1"/>
                <w:color w:val="auto"/>
                <w:w w:val="91"/>
              </w:rPr>
              <w:t>2015 - IOS</w:t>
            </w:r>
          </w:p>
        </w:tc>
        <w:tc>
          <w:tcPr>
            <w:tcW w:w="96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90"/>
              </w:rPr>
              <w:t>2015 - Tew</w:t>
            </w:r>
          </w:p>
        </w:tc>
        <w:tc>
          <w:tcPr>
            <w:tcW w:w="220" w:type="dxa"/>
            <w:vAlign w:val="bottom"/>
          </w:tcPr>
          <w:p>
            <w:pPr>
              <w:spacing w:after="0"/>
              <w:rPr>
                <w:sz w:val="14"/>
                <w:szCs w:val="14"/>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2014 - Chemtec</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2014 - FWO</w:t>
            </w:r>
          </w:p>
        </w:tc>
        <w:tc>
          <w:tcPr>
            <w:tcW w:w="40" w:type="dxa"/>
            <w:vAlign w:val="bottom"/>
          </w:tcPr>
          <w:p>
            <w:pPr>
              <w:spacing w:after="0"/>
              <w:rPr>
                <w:sz w:val="14"/>
                <w:szCs w:val="14"/>
                <w:color w:val="auto"/>
              </w:rPr>
            </w:pPr>
          </w:p>
        </w:tc>
        <w:tc>
          <w:tcPr>
            <w:tcW w:w="7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1"/>
              </w:rPr>
              <w:t>2014 - Carr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4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4,420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19,877</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12,125</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15,528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131</w:t>
            </w: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69,908*</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8,772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22,302*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971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14,048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(23,596)</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(6,465)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(6,756)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168,704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30,878</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68,909</w:t>
            </w: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See Note 4 with respect to an impairment of the goodwill related to this acquisition.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estimates of the fair values and amortizable lives of the identifiable intangible assets acquired: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 Asset</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November 23,</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13,</w:t>
            </w: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January 13,</w:t>
            </w:r>
          </w:p>
        </w:tc>
        <w:tc>
          <w:tcPr>
            <w:tcW w:w="11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December 30,</w:t>
            </w:r>
          </w:p>
        </w:tc>
        <w:tc>
          <w:tcPr>
            <w:tcW w:w="2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October 29,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July 7,</w:t>
            </w:r>
          </w:p>
        </w:tc>
        <w:tc>
          <w:tcPr>
            <w:tcW w:w="0" w:type="dxa"/>
            <w:vAlign w:val="bottom"/>
          </w:tcPr>
          <w:p>
            <w:pPr>
              <w:spacing w:after="0"/>
              <w:rPr>
                <w:sz w:val="1"/>
                <w:szCs w:val="1"/>
                <w:color w:val="auto"/>
              </w:rPr>
            </w:pPr>
          </w:p>
        </w:tc>
      </w:tr>
      <w:tr>
        <w:trPr>
          <w:trHeight w:val="168"/>
        </w:trPr>
        <w:tc>
          <w:tcPr>
            <w:tcW w:w="4040" w:type="dxa"/>
            <w:vAlign w:val="bottom"/>
            <w:gridSpan w:val="3"/>
            <w:vMerge w:val="continue"/>
          </w:tcPr>
          <w:p>
            <w:pPr>
              <w:spacing w:after="0"/>
              <w:rPr>
                <w:sz w:val="14"/>
                <w:szCs w:val="14"/>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2015 - Tew Plus</w:t>
            </w:r>
          </w:p>
        </w:tc>
        <w:tc>
          <w:tcPr>
            <w:tcW w:w="280" w:type="dxa"/>
            <w:vAlign w:val="bottom"/>
          </w:tcPr>
          <w:p>
            <w:pPr>
              <w:spacing w:after="0"/>
              <w:rPr>
                <w:sz w:val="14"/>
                <w:szCs w:val="14"/>
                <w:color w:val="auto"/>
              </w:rPr>
            </w:pP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2015 - IOS</w:t>
            </w:r>
          </w:p>
        </w:tc>
        <w:tc>
          <w:tcPr>
            <w:tcW w:w="280" w:type="dxa"/>
            <w:vAlign w:val="bottom"/>
          </w:tcPr>
          <w:p>
            <w:pPr>
              <w:spacing w:after="0"/>
              <w:rPr>
                <w:sz w:val="14"/>
                <w:szCs w:val="14"/>
                <w:color w:val="auto"/>
              </w:rPr>
            </w:pPr>
          </w:p>
        </w:tc>
        <w:tc>
          <w:tcPr>
            <w:tcW w:w="1240" w:type="dxa"/>
            <w:vAlign w:val="bottom"/>
            <w:gridSpan w:val="3"/>
          </w:tcPr>
          <w:p>
            <w:pPr>
              <w:jc w:val="right"/>
              <w:ind w:right="580"/>
              <w:spacing w:after="0" w:line="148" w:lineRule="exact"/>
              <w:rPr>
                <w:sz w:val="20"/>
                <w:szCs w:val="20"/>
                <w:color w:val="auto"/>
              </w:rPr>
            </w:pPr>
            <w:r>
              <w:rPr>
                <w:rFonts w:ascii="Arial" w:cs="Arial" w:eastAsia="Arial" w:hAnsi="Arial"/>
                <w:sz w:val="14"/>
                <w:szCs w:val="14"/>
                <w:b w:val="1"/>
                <w:bCs w:val="1"/>
                <w:color w:val="auto"/>
                <w:w w:val="90"/>
              </w:rPr>
              <w:t>2015 - Tew</w:t>
            </w: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2014 - Chemtec</w:t>
            </w:r>
          </w:p>
        </w:tc>
        <w:tc>
          <w:tcPr>
            <w:tcW w:w="280" w:type="dxa"/>
            <w:vAlign w:val="bottom"/>
          </w:tcPr>
          <w:p>
            <w:pPr>
              <w:spacing w:after="0"/>
              <w:rPr>
                <w:sz w:val="14"/>
                <w:szCs w:val="14"/>
                <w:color w:val="auto"/>
              </w:rPr>
            </w:pPr>
          </w:p>
        </w:tc>
        <w:tc>
          <w:tcPr>
            <w:tcW w:w="7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1"/>
              </w:rPr>
              <w:t>2014 - FWO</w:t>
            </w:r>
          </w:p>
        </w:tc>
        <w:tc>
          <w:tcPr>
            <w:tcW w:w="560" w:type="dxa"/>
            <w:vAlign w:val="bottom"/>
          </w:tcPr>
          <w:p>
            <w:pPr>
              <w:spacing w:after="0"/>
              <w:rPr>
                <w:sz w:val="14"/>
                <w:szCs w:val="14"/>
                <w:color w:val="auto"/>
              </w:rPr>
            </w:pPr>
          </w:p>
        </w:tc>
        <w:tc>
          <w:tcPr>
            <w:tcW w:w="76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1"/>
              </w:rPr>
              <w:t>2014 - Carr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Trade name</w:t>
            </w:r>
          </w:p>
        </w:tc>
        <w:tc>
          <w:tcPr>
            <w:tcW w:w="3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2,641</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870</w:t>
            </w: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3,149</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41,171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10,035</w:t>
            </w: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23,934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2,480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2,178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1,117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identified intangible assets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50,354</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14,048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33,130</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purchase price allocation for Tew Plus is based on a preliminary valuation. If new information is obtained about facts and circumstances that existed as of the acquisition date that, if known, would have affected the measurement recognized for assets or liabilities assumed, the Company will recognize adjustments to provisional amounts that are identified during the measurement period in the reporting period in which the adjustment amounts are determined.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goodwill balance by reportable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Rail Products</w:t>
            </w:r>
          </w:p>
        </w:tc>
        <w:tc>
          <w:tcPr>
            <w:tcW w:w="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Construction</w:t>
            </w:r>
          </w:p>
        </w:tc>
        <w:tc>
          <w:tcPr>
            <w:tcW w:w="8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Tubular and Energy</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5"/>
              </w:rPr>
              <w:t>and Services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Products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Services</w:t>
            </w:r>
          </w:p>
        </w:tc>
        <w:tc>
          <w:tcPr>
            <w:tcW w:w="3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2014</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38,956</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38,846</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$ 82,949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9,594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69,908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79,502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impact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(80,337)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(80,337)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48,188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28,417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$ 81,752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During the third quarter of 2015, the Company’s IOS and Chemtec reporting units underperformed against their projections and revised their forecasts downward. Additionally, in August 2015, the Company revised its full year outlook as a result of trends in the energy market as well as the loss of sales to Union Pacific Railroad (“UPRR”). The impact of these factors led to a decline in the Company’s market capitalization which fell below the shareholder’s equity value. The Company concluded that the aggregation of these events were indications of potential impairments.</w:t>
      </w:r>
    </w:p>
    <w:p>
      <w:pPr>
        <w:spacing w:after="0" w:line="6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upon these indicators, with the assistance of an independent valuation firm, the Company performed an interim test for impairment of goodwill as of September 1, 2015. The valuation included the use of both the income and market approach. The Company applied greater weighting to the income approach as the Company believes it is the most reliable indication of value as it captures forecasted revenues and earnings for the reporting units in the projection period that the market approach may not directly incorporate.</w:t>
      </w:r>
    </w:p>
    <w:p>
      <w:pPr>
        <w:spacing w:after="0" w:line="6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results of the test indicated that the IOS and Chemtec reporting units’ respective fair values were less than their carrying values. The fair values of all other reporting units that maintain goodwill exceeded their respective carrying values and were not at risk of impairment. As a result of the impact of the downturn within the energy markets on both reporting units, the expectations of a prolonged period before recovery, and the reduction in active U.S. land oil rig count, which specifically impacted the IOS reporting unit, the near term projections of these reporting units have deteriorated and the expected future growth of each of these reporting units was insufficient to support the carrying values.</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compared the implied fair values of the IOS and Chemtec goodwill amounts to the carrying amounts of that goodwill. The fair values of the IOS and Chemtec reporting units were allocated to all of the assets and liabilities of the respective reporting unit as if IOS and Chemtec had been acquired in business combinations as of the test date and the fair value was the purchase price paid to acquire each reporting unit. As a result of this valuation, it was determined that the carrying amounts of IOS’s and Chemtec’s goodwill exceeded the implied fair values of that goodwill. The Company recognized a non-cash goodwill impairment charge of $80,337 ($63,887 net of taxes) to write down the carrying values to the implied fair values, of which $69,908 represents the full carrying value of goodwill related to the IOS acquisition and the remaining $10,429 relates to the Chemtec reporting unit. No additional impairments were triggered as a result of the Company’s 2015 annual impairment test.</w:t>
      </w:r>
    </w:p>
    <w:p>
      <w:pPr>
        <w:spacing w:after="0" w:line="37"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Company performed a recoverability test on the long-lived tangible and definite lived intangible assets related to the IOS and Chemtec acquisitions and concluded that no impairment existed. The Company will continue to monitor these assets, including their respectful useful lives, in future periods.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gross intangible assets balance by reportable segment at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Rail Products and Services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59,226</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$ 44,781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Construction Products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500"/>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Tubular and Energy Services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98,166</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47,812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500"/>
              <w:spacing w:after="0"/>
              <w:rPr>
                <w:sz w:val="20"/>
                <w:szCs w:val="20"/>
                <w:color w:val="auto"/>
              </w:rPr>
            </w:pPr>
            <w:r>
              <w:rPr>
                <w:rFonts w:ascii="Arial" w:cs="Arial" w:eastAsia="Arial" w:hAnsi="Arial"/>
                <w:sz w:val="18"/>
                <w:szCs w:val="18"/>
                <w:color w:val="auto"/>
                <w:w w:val="86"/>
              </w:rPr>
              <w:t>158,740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$ 95,771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460"/>
              <w:spacing w:after="0"/>
              <w:rPr>
                <w:sz w:val="20"/>
                <w:szCs w:val="20"/>
                <w:color w:val="auto"/>
              </w:rPr>
            </w:pPr>
            <w:r>
              <w:rPr>
                <w:rFonts w:ascii="Arial" w:cs="Arial" w:eastAsia="Arial" w:hAnsi="Arial"/>
                <w:sz w:val="18"/>
                <w:szCs w:val="18"/>
                <w:color w:val="auto"/>
                <w:w w:val="96"/>
              </w:rPr>
              <w:t>The components of the Company’s intangible assets are as follows at:</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December 31, 2015</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5840" w:type="dxa"/>
            <w:vAlign w:val="bottom"/>
          </w:tcPr>
          <w:p>
            <w:pPr>
              <w:spacing w:after="0"/>
              <w:rPr>
                <w:sz w:val="11"/>
                <w:szCs w:val="11"/>
                <w:color w:val="auto"/>
              </w:rPr>
            </w:pPr>
          </w:p>
        </w:tc>
        <w:tc>
          <w:tcPr>
            <w:tcW w:w="1860" w:type="dxa"/>
            <w:vAlign w:val="bottom"/>
            <w:gridSpan w:val="4"/>
          </w:tcPr>
          <w:p>
            <w:pPr>
              <w:jc w:val="center"/>
              <w:ind w:right="800"/>
              <w:spacing w:after="0" w:line="129" w:lineRule="exact"/>
              <w:rPr>
                <w:sz w:val="20"/>
                <w:szCs w:val="20"/>
                <w:color w:val="auto"/>
              </w:rPr>
            </w:pPr>
            <w:r>
              <w:rPr>
                <w:rFonts w:ascii="Arial" w:cs="Arial" w:eastAsia="Arial" w:hAnsi="Arial"/>
                <w:sz w:val="14"/>
                <w:szCs w:val="14"/>
                <w:b w:val="1"/>
                <w:bCs w:val="1"/>
                <w:color w:val="auto"/>
                <w:w w:val="86"/>
              </w:rPr>
              <w:t>Weighted Average</w:t>
            </w:r>
          </w:p>
        </w:tc>
        <w:tc>
          <w:tcPr>
            <w:tcW w:w="1460" w:type="dxa"/>
            <w:vAlign w:val="bottom"/>
            <w:gridSpan w:val="4"/>
          </w:tcPr>
          <w:p>
            <w:pPr>
              <w:jc w:val="center"/>
              <w:ind w:right="800"/>
              <w:spacing w:after="0" w:line="12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16"/>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860" w:type="dxa"/>
            <w:vAlign w:val="bottom"/>
            <w:gridSpan w:val="4"/>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1460" w:type="dxa"/>
            <w:vAlign w:val="bottom"/>
            <w:gridSpan w:val="4"/>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Carrying</w:t>
            </w:r>
          </w:p>
        </w:tc>
        <w:tc>
          <w:tcPr>
            <w:tcW w:w="150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88"/>
              </w:rPr>
              <w:t>In Years</w:t>
            </w:r>
          </w:p>
        </w:tc>
        <w:tc>
          <w:tcPr>
            <w:tcW w:w="14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0"/>
              </w:rPr>
              <w:t>Value</w:t>
            </w:r>
          </w:p>
        </w:tc>
        <w:tc>
          <w:tcPr>
            <w:tcW w:w="1500" w:type="dxa"/>
            <w:vAlign w:val="bottom"/>
            <w:gridSpan w:val="8"/>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Non-compete agreements</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rPr>
              <w:t>$  6,984</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(2,495)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Patents</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378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94,338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(8,441)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85,897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350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14,252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11,227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Technology</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42,438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158,740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(23,813)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134,927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20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78"/>
              </w:rPr>
              <w:t>Gross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20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Carrying</w:t>
            </w:r>
          </w:p>
        </w:tc>
        <w:tc>
          <w:tcPr>
            <w:tcW w:w="120" w:type="dxa"/>
            <w:vAlign w:val="bottom"/>
          </w:tcPr>
          <w:p>
            <w:pPr>
              <w:spacing w:after="0"/>
              <w:rPr>
                <w:sz w:val="12"/>
                <w:szCs w:val="12"/>
                <w:color w:val="auto"/>
              </w:rPr>
            </w:pPr>
          </w:p>
        </w:tc>
        <w:tc>
          <w:tcPr>
            <w:tcW w:w="1380" w:type="dxa"/>
            <w:vAlign w:val="bottom"/>
            <w:gridSpan w:val="7"/>
          </w:tcPr>
          <w:p>
            <w:pPr>
              <w:jc w:val="right"/>
              <w:ind w:right="6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In Years</w:t>
            </w:r>
          </w:p>
        </w:tc>
        <w:tc>
          <w:tcPr>
            <w:tcW w:w="200" w:type="dxa"/>
            <w:vAlign w:val="bottom"/>
          </w:tcPr>
          <w:p>
            <w:pPr>
              <w:spacing w:after="0"/>
              <w:rPr>
                <w:sz w:val="14"/>
                <w:szCs w:val="14"/>
                <w:color w:val="auto"/>
              </w:rPr>
            </w:pPr>
          </w:p>
        </w:tc>
        <w:tc>
          <w:tcPr>
            <w:tcW w:w="12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4"/>
                <w:szCs w:val="14"/>
                <w:color w:val="auto"/>
              </w:rPr>
            </w:pPr>
          </w:p>
        </w:tc>
        <w:tc>
          <w:tcPr>
            <w:tcW w:w="13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Non-compete agreements</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6"/>
              </w:rPr>
              <w:t>$ 4,143</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Patents</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460" w:type="dxa"/>
            <w:vAlign w:val="bottom"/>
            <w:gridSpan w:val="4"/>
          </w:tcPr>
          <w:p>
            <w:pPr>
              <w:jc w:val="right"/>
              <w:ind w:right="68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44,450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(4,679)</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39,771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460" w:type="dxa"/>
            <w:vAlign w:val="bottom"/>
            <w:gridSpan w:val="4"/>
          </w:tcPr>
          <w:p>
            <w:pPr>
              <w:jc w:val="right"/>
              <w:ind w:right="68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(268)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10,765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(1,855)</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Technology</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35,499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(5,941)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95,771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(13,637)</w:t>
            </w:r>
          </w:p>
        </w:tc>
        <w:tc>
          <w:tcPr>
            <w:tcW w:w="5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82,134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Intangible assets are amortized over their useful lives ranging from 5 to 25 years, with a total weighted average amortization period of approximately 14 years. Amortization expense for the years ended December 31, 2015, 2014, and 2013 was $12,245, $4,695, and $3,112, respectively.</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amortization expense for the years 2016 and thereafter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7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2017</w:t>
            </w: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2019</w:t>
            </w: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2021 and thereafter</w:t>
            </w:r>
          </w:p>
        </w:tc>
        <w:tc>
          <w:tcPr>
            <w:tcW w:w="7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70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40" w:type="dxa"/>
            <w:vAlign w:val="bottom"/>
            <w:vMerge w:val="restart"/>
          </w:tcPr>
          <w:p>
            <w:pPr>
              <w:jc w:val="right"/>
              <w:ind w:right="4652"/>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00" w:type="dxa"/>
            <w:vAlign w:val="bottom"/>
          </w:tcPr>
          <w:p>
            <w:pPr>
              <w:spacing w:after="0"/>
              <w:rPr>
                <w:sz w:val="24"/>
                <w:szCs w:val="24"/>
                <w:color w:val="auto"/>
              </w:rPr>
            </w:pPr>
          </w:p>
        </w:tc>
        <w:tc>
          <w:tcPr>
            <w:tcW w:w="7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at December 31, 2015 and 2014 are summarized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42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w:t>
            </w:r>
          </w:p>
        </w:tc>
        <w:tc>
          <w:tcPr>
            <w:tcW w:w="3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$79,100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$90,494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6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(1,485)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(1,036)</w:t>
            </w:r>
          </w:p>
        </w:tc>
      </w:tr>
      <w:tr>
        <w:trPr>
          <w:trHeight w:val="27"/>
        </w:trPr>
        <w:tc>
          <w:tcPr>
            <w:tcW w:w="59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89,458</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w:t>
            </w:r>
          </w:p>
        </w:tc>
        <w:tc>
          <w:tcPr>
            <w:tcW w:w="36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872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r>
      <w:tr>
        <w:trPr>
          <w:trHeight w:val="27"/>
        </w:trPr>
        <w:tc>
          <w:tcPr>
            <w:tcW w:w="59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78,487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90,178</w:t>
            </w:r>
          </w:p>
        </w:tc>
        <w:tc>
          <w:tcPr>
            <w:tcW w:w="120" w:type="dxa"/>
            <w:vAlign w:val="bottom"/>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Company’s customers are principally in the rail, construction, and energy sectors. At December 31, 2015 and 2014, trade receivables, net of allowance for doubtful accounts, from customers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1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9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Rail Products and Services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$ 43,155</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$ 45,931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Construction Products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20,489</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33,760</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Tubular and Energy Services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5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00" w:type="dxa"/>
            <w:vAlign w:val="bottom"/>
            <w:shd w:val="clear" w:color="auto" w:fill="CCEEFF"/>
          </w:tcPr>
          <w:p>
            <w:pPr>
              <w:spacing w:after="0"/>
              <w:rPr>
                <w:sz w:val="18"/>
                <w:szCs w:val="18"/>
                <w:color w:val="auto"/>
              </w:rPr>
            </w:pPr>
          </w:p>
        </w:tc>
      </w:tr>
      <w:tr>
        <w:trPr>
          <w:trHeight w:val="222"/>
        </w:trPr>
        <w:tc>
          <w:tcPr>
            <w:tcW w:w="95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$ 77,615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$ 89,458</w:t>
            </w:r>
          </w:p>
        </w:tc>
      </w:tr>
      <w:tr>
        <w:trPr>
          <w:trHeight w:val="20"/>
        </w:trPr>
        <w:tc>
          <w:tcPr>
            <w:tcW w:w="9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Credit is extended based upon an evaluation of the customer’s financial condition and, while collateral is not required, the Company periodically receives surety bonds that guarantee payment. Credit terms are consistent with industry standards and practices.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December 31, 2015 and 2014 are summarized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65,335</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20,178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16,188</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21,855</w:t>
            </w:r>
          </w:p>
        </w:tc>
        <w:tc>
          <w:tcPr>
            <w:tcW w:w="100" w:type="dxa"/>
            <w:vAlign w:val="bottom"/>
            <w:shd w:val="clear" w:color="auto" w:fill="CCEEFF"/>
          </w:tcPr>
          <w:p>
            <w:pPr>
              <w:spacing w:after="0"/>
              <w:rPr>
                <w:sz w:val="18"/>
                <w:szCs w:val="18"/>
                <w:color w:val="auto"/>
              </w:rPr>
            </w:pPr>
          </w:p>
        </w:tc>
      </w:tr>
      <w:tr>
        <w:trPr>
          <w:trHeight w:val="221"/>
        </w:trPr>
        <w:tc>
          <w:tcPr>
            <w:tcW w:w="9280" w:type="dxa"/>
            <w:vAlign w:val="bottom"/>
          </w:tcPr>
          <w:p>
            <w:pPr>
              <w:spacing w:after="0"/>
              <w:rPr>
                <w:sz w:val="20"/>
                <w:szCs w:val="20"/>
                <w:color w:val="auto"/>
              </w:rPr>
            </w:pPr>
            <w:r>
              <w:rPr>
                <w:rFonts w:ascii="Arial" w:cs="Arial" w:eastAsia="Arial" w:hAnsi="Arial"/>
                <w:sz w:val="18"/>
                <w:szCs w:val="18"/>
                <w:color w:val="auto"/>
              </w:rPr>
              <w:t>Total inventories at current costs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102,217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103,378</w:t>
            </w: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Less: LIFO reserve</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(8,289)</w:t>
            </w:r>
          </w:p>
        </w:tc>
      </w:tr>
      <w:tr>
        <w:trPr>
          <w:trHeight w:val="20"/>
        </w:trPr>
        <w:tc>
          <w:tcPr>
            <w:tcW w:w="9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96,396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95,089</w:t>
            </w:r>
          </w:p>
        </w:tc>
      </w:tr>
      <w:tr>
        <w:trPr>
          <w:trHeight w:val="20"/>
        </w:trPr>
        <w:tc>
          <w:tcPr>
            <w:tcW w:w="9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At December 31, 2015 and 2014, the LIFO carrying value of inventories for book purposes exceeded the LIFO value for tax purposes by approximately $5,046 and $11,697, respectively. At December 31, 2015, 2014, and 2013 liquidation of certain LIFO inventory layers carried at costs that were higher than the costs of current purchases resulted in increases in cost of goods sold of $115, $6 and $1,128,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at December 31, 2015 and 2014 consist of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Improvements to land and leaseholds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16,590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Machinery and equipment, including equipment under capitalized leases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118,677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11,844</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203,531</w:t>
            </w:r>
          </w:p>
        </w:tc>
        <w:tc>
          <w:tcPr>
            <w:tcW w:w="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168,505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 including accumulated amortization of capitalized leases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76,786</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126,745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74,802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Depreciation expense, including amortization of assets under capital leases, for the years ended December 31, 2015, 2014, and 2013 amounted to $14,429, $7,882 and $6,890,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is a member of a joint venture, L B Pipe and Coupling Products, LLC (“LB Pipe JV”), in which it maintains a 45% ownership interest. The LB Pipe JV manufactures, markets, and sells various precision coupling products for the energy, utility, and construction markets and is scheduled to terminate on June 30, 2019.</w:t>
      </w:r>
    </w:p>
    <w:p>
      <w:pPr>
        <w:spacing w:after="0" w:line="5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Under applicable guidance for variable interest entities in ASC 810, “Consolidation,” the Company determined that the LB Pipe JV is a variable interest entity. The Company concluded that it is not the primary beneficiary of the variable interest entity, as the Company does not have a controlling financial interest and does not have the power to direct the activities that most significantly impact the economic performance of the LB Pipe JV. Accordingly, the Company concluded that the equity method of accounting remains appropriate.</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years ended December 31, 2015 and 2014, each of the LB Pipe JV members received proportional distributions from the LB Pipe JV. The Company’s 45% ownership interest resulted in cash distributions of $90 and $630 as of December 31, 2015 and 2014, respectively. There were no changes to the members’ ownership interests as a result of the distribution.</w:t>
      </w:r>
    </w:p>
    <w:p>
      <w:pPr>
        <w:spacing w:after="0" w:line="5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recorded equity in the (loss) income of the LB Pipe JV of approximately ($410), $1,286 and $1,316 for the years ended December 31, 2015, 2014, and 2013, respectively.</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December 31, 2015 and 2014, the Company had a nonconsolidated equity method investment of $5,246 and $5,746, respectively, in the LB Pipe JV and other investments totaling $75 and $78 as of December 31, 2015 and 2014, respectively.</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Company’s exposure to loss results from its capital contributions, net of the Company’s share of the LB Pipe JV’s income or loss, and its net investment in the direct financing lease covering the facility used by the LB Pipe JV for its operations. The carrying amounts with the maximum exposure to loss of the Company at December 31, 2015 and 2014, respectively,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LB Pipe JV equity method investment</w:t>
            </w:r>
          </w:p>
        </w:tc>
        <w:tc>
          <w:tcPr>
            <w:tcW w:w="5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$5,246</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investment in direct financing lease</w:t>
            </w:r>
          </w:p>
        </w:tc>
        <w:tc>
          <w:tcPr>
            <w:tcW w:w="55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995</w:t>
            </w:r>
          </w:p>
        </w:tc>
        <w:tc>
          <w:tcPr>
            <w:tcW w:w="50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560" w:type="dxa"/>
            <w:vAlign w:val="bottom"/>
            <w:vMerge w:val="restart"/>
          </w:tcPr>
          <w:p>
            <w:pPr>
              <w:jc w:val="right"/>
              <w:ind w:right="3902"/>
              <w:spacing w:after="0"/>
              <w:rPr>
                <w:sz w:val="20"/>
                <w:szCs w:val="20"/>
                <w:color w:val="auto"/>
              </w:rPr>
            </w:pPr>
            <w:r>
              <w:rPr>
                <w:rFonts w:ascii="Arial" w:cs="Arial" w:eastAsia="Arial" w:hAnsi="Arial"/>
                <w:sz w:val="18"/>
                <w:szCs w:val="18"/>
                <w:color w:val="auto"/>
              </w:rPr>
              <w:t>57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Company is leasing five acres of land and two facilities to the LB Pipe JV through June 30, 2019, with a 5.5 year renewal period. The current monthly lease payments, including interest, approximate $17, with a balloon payment of approximately $488, which is required to be paid at the termination of the lease, allocated over the renewal period, or during the initial term of the lease. This lease qualifies as a direct financing lease under the applicable guidance in ASC 840-30,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10040" w:type="dxa"/>
            <w:vAlign w:val="bottom"/>
            <w:gridSpan w:val="2"/>
          </w:tcPr>
          <w:p>
            <w:pPr>
              <w:jc w:val="right"/>
              <w:ind w:right="2202"/>
              <w:spacing w:after="0"/>
              <w:rPr>
                <w:sz w:val="20"/>
                <w:szCs w:val="20"/>
                <w:color w:val="auto"/>
              </w:rPr>
            </w:pPr>
            <w:r>
              <w:rPr>
                <w:rFonts w:ascii="Arial" w:cs="Arial" w:eastAsia="Arial" w:hAnsi="Arial"/>
                <w:sz w:val="18"/>
                <w:szCs w:val="18"/>
                <w:color w:val="auto"/>
                <w:w w:val="89"/>
              </w:rPr>
              <w:t>The following is a schedule of the direct financing minimum lease payments for the years 2016 and thereafter</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42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Minimum Lease Payments</w:t>
            </w:r>
          </w:p>
        </w:tc>
      </w:tr>
      <w:tr>
        <w:trPr>
          <w:trHeight w:val="210"/>
        </w:trPr>
        <w:tc>
          <w:tcPr>
            <w:tcW w:w="42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2016</w:t>
            </w:r>
          </w:p>
        </w:tc>
        <w:tc>
          <w:tcPr>
            <w:tcW w:w="9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9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9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23"/>
        </w:trPr>
        <w:tc>
          <w:tcPr>
            <w:tcW w:w="420" w:type="dxa"/>
            <w:vAlign w:val="bottom"/>
          </w:tcPr>
          <w:p>
            <w:pPr>
              <w:jc w:val="right"/>
              <w:spacing w:after="0"/>
              <w:rPr>
                <w:sz w:val="20"/>
                <w:szCs w:val="20"/>
                <w:color w:val="auto"/>
              </w:rPr>
            </w:pPr>
            <w:r>
              <w:rPr>
                <w:rFonts w:ascii="Arial" w:cs="Arial" w:eastAsia="Arial" w:hAnsi="Arial"/>
                <w:sz w:val="18"/>
                <w:szCs w:val="18"/>
                <w:color w:val="auto"/>
                <w:w w:val="84"/>
              </w:rPr>
              <w:t>2019</w:t>
            </w:r>
          </w:p>
        </w:tc>
        <w:tc>
          <w:tcPr>
            <w:tcW w:w="93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jc w:val="right"/>
              <w:ind w:right="50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a result of the November 23, 2015 acquisition of Tew Plus, the Company remeasured its 25% equity investment in Tew Plus resulting in other income of $580 for the period ended December 31, 2015. Refer to Note 20, “Other Income,” for additional information on the gain.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Deferred revenue of $6,934 and $8,034 at December 31, 2015 and 2014, respectively, consists of customer payments received for which the revenue recognition criteria have not yet been met as well as billings in excess of costs on percentage of completion projects. Advanced payments from customers typically relate to contracts with respect to which the Company has significantly fulfilled its obligations, but due to the Company’s continuing involvement with the project, revenue is precluded from being recognized until title, ownership, and risk of loss have passed to the customer.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at December 31, 2015 and 2014 consists of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$ 165,000</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$ 24,200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w w:val="97"/>
              </w:rPr>
              <w:t>Financing agreement payable in installments through July 1, 2017 with an interest rate of 3.00% at December 31, 2015</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1,247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w w:val="89"/>
              </w:rPr>
              <w:t>Lease obligations payable in installments through 2019 with a weighted average interest rate of 3.09% at December 31, 2015 and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3.50% December 31, 2014</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168,754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maturities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20"/>
              <w:spacing w:after="0"/>
              <w:rPr>
                <w:sz w:val="20"/>
                <w:szCs w:val="20"/>
                <w:color w:val="auto"/>
              </w:rPr>
            </w:pPr>
            <w:r>
              <w:rPr>
                <w:rFonts w:ascii="Arial" w:cs="Arial" w:eastAsia="Arial" w:hAnsi="Arial"/>
                <w:sz w:val="18"/>
                <w:szCs w:val="18"/>
                <w:color w:val="auto"/>
              </w:rPr>
              <w:t>Long-term portion</w:t>
            </w: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vMerge w:val="continue"/>
          </w:tcPr>
          <w:p>
            <w:pPr>
              <w:spacing w:after="0"/>
              <w:rPr>
                <w:sz w:val="19"/>
                <w:szCs w:val="19"/>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$ 167,419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$ 25,752</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56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20" w:type="dxa"/>
            <w:vAlign w:val="bottom"/>
          </w:tcPr>
          <w:p>
            <w:pPr>
              <w:ind w:left="460"/>
              <w:spacing w:after="0"/>
              <w:rPr>
                <w:sz w:val="20"/>
                <w:szCs w:val="20"/>
                <w:color w:val="auto"/>
              </w:rPr>
            </w:pPr>
            <w:r>
              <w:rPr>
                <w:rFonts w:ascii="Arial" w:cs="Arial" w:eastAsia="Arial" w:hAnsi="Arial"/>
                <w:sz w:val="18"/>
                <w:szCs w:val="18"/>
                <w:color w:val="auto"/>
              </w:rPr>
              <w:t>The maturities of long-term debt are as follows:</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70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2015</w:t>
            </w:r>
          </w:p>
        </w:tc>
      </w:tr>
      <w:tr>
        <w:trPr>
          <w:trHeight w:val="210"/>
        </w:trPr>
        <w:tc>
          <w:tcPr>
            <w:tcW w:w="7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3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2017</w:t>
            </w: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2019</w:t>
            </w: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165,240</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2021 and thereafter</w:t>
            </w: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5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168,754</w:t>
            </w:r>
          </w:p>
        </w:tc>
        <w:tc>
          <w:tcPr>
            <w:tcW w:w="100" w:type="dxa"/>
            <w:vAlign w:val="bottom"/>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13, 2015, L.B. Foster Company, its domestic subsidiaries, and certain of its Canadian subsidiaries (“L.B. Foster”) entered into an amended and restated $335,000 Revolving Credit Facility Credit Agreement (“Amended Credit Agreement”) with PNC Bank, N.A., Bank of America, N.A., Wells Fargo Bank, N.A., Citizens Bank of Pennsylvania, and Branch Banking and Trust Company. This Amended Credit Agreement modifies the prior revolving credit facility, which had a maximum credit line of $200,000. The Amended Credit Agreement provides for a five-year, unsecured revolving credit facility that permits borrowings of up to $335,000 for the U.S. borrowers and a sublimit of the equivalent of $25,000 U.S. dollars that is available to the Canadian borrowers. The Amended Credit Agreement’s accordion feature permits L.B. Foster to increase the available revolving borrowings under the facility by up to an additional $100,000 subject to L.B. Foster’s receipt of increased commitments from existing or new lenders and to certain conditions being satisfied.</w:t>
      </w:r>
    </w:p>
    <w:p>
      <w:pPr>
        <w:spacing w:after="0" w:line="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Borrowings under the Amended Credit Agreement will bear interest at rates based upon either the base rate or Euro-rate plus applicable margins. Applicable margins are dictated by the ratio of L.B. Foster’s indebtedness less consolidated cash on hand to L.B. Foster’s consolidated EBITDA, as defined in the underlying Amended Credit Agreement. The base rate is the highest of (a) PNC Bank’s prime rate, (b) the Federal Funds Rate plus 0.50% or (c) the daily Euro-rate (as defined in the Amended Credit Agreement) plus 1.00%. The base rate and Euro-rate spreads range from 0.00% to 1.50% and 1.00% to 2.50%, respectively.</w:t>
      </w:r>
    </w:p>
    <w:p>
      <w:pPr>
        <w:spacing w:after="0" w:line="6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Amended Credit Agreement includes two financial covenants: (a) Leverage Ratio, defined as L.B. Foster’s Indebtedness less consolidated cash on hand, in excess of $15,000, divided by L.B. Foster’s consolidated EBITDA, which must not exceed 3.25 to 1.00 and (b) Minimum Interest Coverage, defined as consolidated EBITDA less Capital Expenditures divided by consolidated interest expense, which must be no less than 3.00 to 1.00.</w:t>
      </w:r>
    </w:p>
    <w:p>
      <w:pPr>
        <w:spacing w:after="0" w:line="2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Amended Credit Agreement permits L.B. Foster to pay dividends, distributions, and make redemptions with respect to its stock provided no event of default or potential default (as defined in the Amended Credit Agreement) has occurred prior to or after giving effect to the dividend, distribution, or redemption. Dividends, distributions, and redemptions are capped at $25,000 per year when funds are drawn on the facility. If no drawings on the facility exist, dividends, distributions, and redemptions in excess of $25,000 per year are subjected to a limitation of $75,000 in the aggregate over the life of the facility. The $75,000 aggregate limitation also permits certain loans, investments, and acquisitions.</w:t>
      </w:r>
    </w:p>
    <w:p>
      <w:pPr>
        <w:spacing w:after="0" w:line="3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Other restrictions exist at all times including, but not limited to, limitation of L.B. Foster’s sale of assets, other indebtedness incurred by either the borrowers or the non-borrower subsidiaries of L.B. Foster, guarantees, and liens.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had $165,000 outstanding borrowings under the Amended Credit Agreement at December 31, 2015 and had available borrowing capacity of $169,474 at December 31, 2015. As of December 31, 2014, the Company had $24,200 in outstanding borrowings and an available borrowing capacity of $175,375 under the previous revolving facility with a borrowing capacity of $200,000.</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2015, the Company was in compliance with the Amended Credit Agreement’s covenants.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2015 and 2014, the Company had outstanding letters of credit of approximately $526 and $425,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subsidiary of the Company has a credit facility with NatWest Bank for its United Kingdom operations which includes an overdraft availability of £1,500 pounds sterling (approximately $2,210 at December 31, 2015). This credit facility supports the United Kingdom’s working capital requirements and is collateralized by substantially all of the assets of its United Kingdom operations. The interest rate on this facility is the financial institution’s base rate plus 1.50%. Outstanding performance bonds reduce availability under this credit facility. There were no outstanding borrowings under this credit facility at December 31, 2015, however, there were $16 in outstanding guarantees (as defined in the underlying agreement) at December 31, 2015. This credit facility was renewed and amended during the fourth quarter of 2015 to include Tew and Tew Plus as parties to the agreement. All other underlying terms and conditions remained unchanged as a result of the renewal. It is the Company’s intention to renew this credit facility with NatWest Bank during the annual review in 2016.</w:t>
      </w:r>
    </w:p>
    <w:p>
      <w:pPr>
        <w:spacing w:after="0" w:line="3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United Kingdom loan agreements contain certain financial covenants that require that subsidiary to maintain senior interest and cash flow coverage ratios. The subsidiary was in compliance with these financial covenants at December 31, 2015 and 2014. The subsidiary had available borrowing capacity of $2,194 and $2,337 at December 31, 2015 and 2014,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had authorized shares of 20,000,000 in common stock with 11,115,779 shares issued at December 31, 2015 and 2014. The common stock has a par value of $0.01 per share and the Company paid dividends of $0.04 per quarter during 2015.</w:t>
      </w:r>
    </w:p>
    <w:p>
      <w:pPr>
        <w:spacing w:after="0" w:line="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December 31, 2015 and 2014, the Company had authorized shares of 5,000,000 in preferred stock. No preferred stock has been issued. No par value has been assigned to the preferred stock.</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December 4, 2013, the Company’s Board of Directors authorized the purchase of up to $15,000 in shares of its common stock through a share repurchase program at prevailing market prices or privately negotiated transactions. The Company repurchased 80,512 shares, for an aggregate price of $1,587, during 2015 under the repurchase program. On December 9, 2015, the Board of Directors authorized the repurchase of up to $30,000 of the Company’s common shares until December 31, 2017. This authorization became effective January 1, 2016 and replaces the prior authorization.</w:t>
      </w:r>
    </w:p>
    <w:p>
      <w:pPr>
        <w:spacing w:after="0" w:line="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December 31, 2015 and 2014, the Company withheld 25,340 and 21,676 shares for approximately $1,114 and $985, respectively, from employees to pay their withholding taxes in connection with the exercise and/or vesting of stock options and restricted stock awards.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of $1,656, $1,345 and $1,240 were declared and paid in 2015, 2014, and 2013, respectively.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Activity</w:t>
            </w:r>
          </w:p>
        </w:tc>
        <w:tc>
          <w:tcPr>
            <w:tcW w:w="4680" w:type="dxa"/>
            <w:vAlign w:val="bottom"/>
          </w:tcPr>
          <w:p>
            <w:pPr>
              <w:spacing w:after="0"/>
              <w:rPr>
                <w:sz w:val="14"/>
                <w:szCs w:val="14"/>
                <w:color w:val="auto"/>
              </w:rPr>
            </w:pPr>
          </w:p>
        </w:tc>
        <w:tc>
          <w:tcPr>
            <w:tcW w:w="24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36"/>
        </w:trPr>
        <w:tc>
          <w:tcPr>
            <w:tcW w:w="4320" w:type="dxa"/>
            <w:vAlign w:val="bottom"/>
            <w:gridSpan w:val="3"/>
            <w:vMerge w:val="continue"/>
          </w:tcPr>
          <w:p>
            <w:pPr>
              <w:spacing w:after="0"/>
              <w:rPr>
                <w:sz w:val="11"/>
                <w:szCs w:val="11"/>
                <w:color w:val="auto"/>
              </w:rPr>
            </w:pPr>
          </w:p>
        </w:tc>
        <w:tc>
          <w:tcPr>
            <w:tcW w:w="468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Treasury</w:t>
            </w:r>
          </w:p>
        </w:tc>
        <w:tc>
          <w:tcPr>
            <w:tcW w:w="11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280" w:type="dxa"/>
            <w:vAlign w:val="bottom"/>
            <w:tcBorders>
              <w:top w:val="single" w:sz="8" w:color="auto"/>
            </w:tcBorders>
            <w:gridSpan w:val="3"/>
          </w:tcPr>
          <w:p>
            <w:pPr>
              <w:jc w:val="right"/>
              <w:ind w:right="494"/>
              <w:spacing w:after="0" w:line="149" w:lineRule="exact"/>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2012</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966,381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10,149,398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Issued for share-based compensation plans</w:t>
            </w:r>
          </w:p>
        </w:tc>
        <w:tc>
          <w:tcPr>
            <w:tcW w:w="46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(39,123)</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2013</w:t>
            </w:r>
          </w:p>
        </w:tc>
        <w:tc>
          <w:tcPr>
            <w:tcW w:w="46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927,258</w:t>
            </w:r>
          </w:p>
        </w:tc>
        <w:tc>
          <w:tcPr>
            <w:tcW w:w="3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10,188,521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Issued for share-based compensation plans</w:t>
            </w:r>
          </w:p>
        </w:tc>
        <w:tc>
          <w:tcPr>
            <w:tcW w:w="46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(53,884)</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2014</w:t>
            </w:r>
          </w:p>
        </w:tc>
        <w:tc>
          <w:tcPr>
            <w:tcW w:w="46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873,374</w:t>
            </w:r>
          </w:p>
        </w:tc>
        <w:tc>
          <w:tcPr>
            <w:tcW w:w="3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10,242,405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Issued for share-based compensation plans</w:t>
            </w:r>
          </w:p>
        </w:tc>
        <w:tc>
          <w:tcPr>
            <w:tcW w:w="5840" w:type="dxa"/>
            <w:vAlign w:val="bottom"/>
            <w:gridSpan w:val="3"/>
          </w:tcPr>
          <w:p>
            <w:pPr>
              <w:jc w:val="right"/>
              <w:ind w:right="280"/>
              <w:spacing w:after="0"/>
              <w:rPr>
                <w:sz w:val="20"/>
                <w:szCs w:val="20"/>
                <w:color w:val="auto"/>
              </w:rPr>
            </w:pPr>
            <w:r>
              <w:rPr>
                <w:rFonts w:ascii="Arial" w:cs="Arial" w:eastAsia="Arial" w:hAnsi="Arial"/>
                <w:sz w:val="18"/>
                <w:szCs w:val="18"/>
                <w:color w:val="auto"/>
              </w:rPr>
              <w:t>(59,113)</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Repurchased common shares</w:t>
            </w:r>
          </w:p>
        </w:tc>
        <w:tc>
          <w:tcPr>
            <w:tcW w:w="4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(80,512)</w:t>
            </w:r>
          </w:p>
        </w:tc>
        <w:tc>
          <w:tcPr>
            <w:tcW w:w="0" w:type="dxa"/>
            <w:vAlign w:val="bottom"/>
          </w:tcPr>
          <w:p>
            <w:pPr>
              <w:spacing w:after="0"/>
              <w:rPr>
                <w:sz w:val="1"/>
                <w:szCs w:val="1"/>
                <w:color w:val="auto"/>
              </w:rPr>
            </w:pPr>
          </w:p>
        </w:tc>
      </w:tr>
      <w:tr>
        <w:trPr>
          <w:trHeight w:val="221"/>
        </w:trPr>
        <w:tc>
          <w:tcPr>
            <w:tcW w:w="4320" w:type="dxa"/>
            <w:vAlign w:val="bottom"/>
            <w:gridSpan w:val="3"/>
          </w:tcPr>
          <w:p>
            <w:pPr>
              <w:spacing w:after="0"/>
              <w:rPr>
                <w:sz w:val="20"/>
                <w:szCs w:val="20"/>
                <w:color w:val="auto"/>
              </w:rPr>
            </w:pPr>
            <w:r>
              <w:rPr>
                <w:rFonts w:ascii="Arial" w:cs="Arial" w:eastAsia="Arial" w:hAnsi="Arial"/>
                <w:sz w:val="18"/>
                <w:szCs w:val="18"/>
                <w:color w:val="auto"/>
              </w:rPr>
              <w:t>Balance at end of 2015</w:t>
            </w:r>
          </w:p>
        </w:tc>
        <w:tc>
          <w:tcPr>
            <w:tcW w:w="46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894,773</w:t>
            </w:r>
          </w:p>
        </w:tc>
        <w:tc>
          <w:tcPr>
            <w:tcW w:w="3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10,221,006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80" w:type="dxa"/>
            <w:vAlign w:val="bottom"/>
            <w:vMerge w:val="restart"/>
          </w:tcPr>
          <w:p>
            <w:pPr>
              <w:jc w:val="right"/>
              <w:ind w:right="3112"/>
              <w:spacing w:after="0"/>
              <w:rPr>
                <w:sz w:val="20"/>
                <w:szCs w:val="20"/>
                <w:color w:val="auto"/>
              </w:rPr>
            </w:pPr>
            <w:r>
              <w:rPr>
                <w:rFonts w:ascii="Arial" w:cs="Arial" w:eastAsia="Arial" w:hAnsi="Arial"/>
                <w:sz w:val="18"/>
                <w:szCs w:val="18"/>
                <w:color w:val="auto"/>
              </w:rPr>
              <w:t>60</w:t>
            </w: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loss, net of tax, for the years ended December 31, 2015 and 2014,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and post-retirement benefit plan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(3,069)</w:t>
            </w:r>
          </w:p>
        </w:tc>
        <w:tc>
          <w:tcPr>
            <w:tcW w:w="5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(4,089)</w:t>
            </w: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Unrealized loss on interest rate swap contracts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9"/>
              </w:rPr>
              <w:t>(14,750)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(7,803)</w:t>
            </w: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93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(17,940)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(11,892)</w:t>
            </w:r>
          </w:p>
        </w:tc>
      </w:tr>
      <w:tr>
        <w:trPr>
          <w:trHeight w:val="20"/>
        </w:trPr>
        <w:tc>
          <w:tcPr>
            <w:tcW w:w="9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Foreign currency translation adjustments are generally not adjusted for income taxes as they relate to indefinite investments in non U.S. subsidiaries. See Note 15,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(Share amounts in thousands)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 for the three years ended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for basic and diluted earnings per common share —</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(Loss) income available to common stockholders: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(44,445)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25,656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29,290</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10,254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10,225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tcPr>
          <w:p>
            <w:pPr>
              <w:ind w:left="220"/>
              <w:spacing w:after="0"/>
              <w:rPr>
                <w:sz w:val="20"/>
                <w:szCs w:val="20"/>
                <w:color w:val="auto"/>
              </w:rPr>
            </w:pPr>
            <w:r>
              <w:rPr>
                <w:rFonts w:ascii="Arial" w:cs="Arial" w:eastAsia="Arial" w:hAnsi="Arial"/>
                <w:sz w:val="18"/>
                <w:szCs w:val="18"/>
                <w:color w:val="auto"/>
              </w:rPr>
              <w:t>Denominator for basic earnings per common share</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10,254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10,225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10,175</w:t>
            </w: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Employee stock options</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stock compensation plans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Dilutive potential common shares</w:t>
            </w: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Denominator for diluted earnings per common share — adjusted weighted average shares outstanding and</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assumed conversions</w:t>
            </w: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10,254</w:t>
            </w: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10,332</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10,260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Basic (loss) earnings per common share</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2.51</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Dividends paid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0.13</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60"/>
              <w:spacing w:after="0"/>
              <w:rPr>
                <w:sz w:val="20"/>
                <w:szCs w:val="20"/>
                <w:color w:val="auto"/>
              </w:rPr>
            </w:pPr>
            <w:r>
              <w:rPr>
                <w:rFonts w:ascii="Arial" w:cs="Arial" w:eastAsia="Arial" w:hAnsi="Arial"/>
                <w:sz w:val="18"/>
                <w:szCs w:val="18"/>
                <w:color w:val="auto"/>
              </w:rPr>
              <w:t>There were approximately 75 antidilutive shares in 2015 and no antidilutive shares in 2014 or 2013.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40" w:type="dxa"/>
            <w:vAlign w:val="bottom"/>
          </w:tcPr>
          <w:p>
            <w:pPr>
              <w:ind w:left="56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liabilities and assets at December 31, 2015 and 2014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Goodwill and other intangibles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(5,801)</w:t>
            </w:r>
          </w:p>
        </w:tc>
        <w:tc>
          <w:tcPr>
            <w:tcW w:w="26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 (10,800)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(14,134)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LB Pipe joint venture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(21,248)</w:t>
            </w:r>
          </w:p>
        </w:tc>
        <w:tc>
          <w:tcPr>
            <w:tcW w:w="2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(18,831)</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 and post-retirement liability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Warranty reserve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3,153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Contingent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Long-term insurance reserves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 tax credit carryforwards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12,548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11,306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liability</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(8,700)</w:t>
            </w:r>
          </w:p>
        </w:tc>
        <w:tc>
          <w:tcPr>
            <w:tcW w:w="260" w:type="dxa"/>
            <w:vAlign w:val="bottom"/>
          </w:tcPr>
          <w:p>
            <w:pPr>
              <w:spacing w:after="0"/>
              <w:rPr>
                <w:sz w:val="19"/>
                <w:szCs w:val="19"/>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40"/>
              <w:spacing w:after="0"/>
              <w:rPr>
                <w:sz w:val="20"/>
                <w:szCs w:val="20"/>
                <w:color w:val="auto"/>
              </w:rPr>
            </w:pPr>
            <w:r>
              <w:rPr>
                <w:rFonts w:ascii="Arial" w:cs="Arial" w:eastAsia="Arial" w:hAnsi="Arial"/>
                <w:sz w:val="18"/>
                <w:szCs w:val="18"/>
                <w:color w:val="auto"/>
              </w:rPr>
              <w:t>Significant components of the provision for income taxes are as follows:</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w w:val="92"/>
              </w:rPr>
              <w:t>$11,488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11,604</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(2,321)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(14,582)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13,404</w:t>
            </w:r>
          </w:p>
        </w:tc>
        <w:tc>
          <w:tcPr>
            <w:tcW w:w="2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December 31, 2015, the Company has not recorded deferred U.S. income taxes or foreign withholding taxes on $57,781 of undistributed earnings of its foreign subsidiaries. It is management’s intent and practice to indefinitely reinvest such earnings outside of the U.S. Determination of the amount of any unrecognized deferred income tax liability associated with these undistributed earnings is not practicable because of the complexities of the hypothetical calculation.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 income before income taxes, as shown in the accompanying consolidated statements of operations, includes the following components: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560" w:type="dxa"/>
            <w:vAlign w:val="bottom"/>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 (55,061)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$ 30,766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$ 37,306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Foreign</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4,484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8,294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taxes</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5"/>
              </w:rPr>
              <w:t>$ (50,577)</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$ 39,060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$ 44,138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440"/>
              <w:spacing w:after="0"/>
              <w:rPr>
                <w:sz w:val="20"/>
                <w:szCs w:val="20"/>
                <w:color w:val="auto"/>
              </w:rPr>
            </w:pPr>
            <w:r>
              <w:rPr>
                <w:rFonts w:ascii="Arial" w:cs="Arial" w:eastAsia="Arial" w:hAnsi="Arial"/>
                <w:sz w:val="18"/>
                <w:szCs w:val="18"/>
                <w:color w:val="auto"/>
                <w:w w:val="94"/>
              </w:rPr>
              <w:t>The reconciliation of income tax computed at statutory rates to income tax (benefit) expense is as follows: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84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4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gridSpan w:val="2"/>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rate</w:t>
            </w:r>
          </w:p>
        </w:tc>
        <w:tc>
          <w:tcPr>
            <w:tcW w:w="5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35.0%</w:t>
            </w:r>
          </w:p>
        </w:tc>
        <w:tc>
          <w:tcPr>
            <w:tcW w:w="280" w:type="dxa"/>
            <w:vAlign w:val="bottom"/>
            <w:gridSpan w:val="2"/>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(2.2)</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Non-deductible goodwill impairment</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Change in liability for unrecognized tax benefits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(0.8)</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Domestic production activities deduction</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2015 and 2014, the tax benefit of net operating loss carryforwards available for state income tax purposes was $324 and $74, respectively. The state net operating loss carryforwards will expire in various years from 2024 through 2035. At December 31, 2015, the Company has foreign net operating loss carryforwards of $1,320, which may be carried forward indefinitely. The Company has foreign tax credit carryforwards in the amount of $272 that will expire in 2024 through 2026. The Company anticipates utilizing these operating loss and credit carryforwards prior to their expiration and, therefore, has not provided a valuation allowance for these amounts.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unrecognized tax benefits at December 31, 2015 and 2014: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1,013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Increases based on tax positions for prior periods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 based on tax positions for prior periods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Decreases related to settlements with taxing authorities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(578)</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 as a result of a lapse of the applicable statute of limitations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6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2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total amount of unrecognized tax benefits that, if recognized, would affect the effective tax rate is $582 at December 31, 2015. The Company accrues interest and penalties related to unrecognized tax benefits in its provision for income taxes. At December 31, 2015 and 2014, the Company had accrued interest and penalties related to unrecognized tax benefits of $443 and $335, respectively. At December 31, 2015, the Company does not expect any material increases or decreases to its unrecognized tax benefits within the next 12 months. Ultimate realization of this decrease is dependent upon the occurrence of certain events, including the completion of audits by tax authorities and expiration of statutes of limitations.</w:t>
      </w:r>
    </w:p>
    <w:p>
      <w:pPr>
        <w:spacing w:after="0" w:line="3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files income tax returns in the United States and in various state, local and foreign jurisdictions. The Company is subject to federal income tax examinations for the period 2012 and forward. With respect to the state, local, and foreign filings, certain entities of the Company are subject to income tax examinations for the periods 2011 and forward.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Company applies the provisions of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to account for the Company’s share-based compensation. Share-based compensation cost is measured at the grant date based on the calculated fair value of the award and is recognized over the employees’ requisite service period. The Company recorded share-based compensation expense of $1,471, $3,007 and $2,156 for the years ended December 31, 2015, 2014, and 2013, respectively, related to fully-vested stock awards, restricted stock awards, and performance unit awards. At December 31, 2015, unrecognized compensation expense for awards the Company expects to vest approximated $2,611. The Company will recognize this expense over the upcoming 3.5 year period through June 2019.</w:t>
      </w:r>
    </w:p>
    <w:p>
      <w:pPr>
        <w:spacing w:after="0" w:line="6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Shares issued as a result of vested stock-based compensation generally will be from previously issued shares which have been reacquired by the Company and held as Treasury stock or authorized but previously unissued common stock.</w:t>
      </w:r>
    </w:p>
    <w:p>
      <w:pPr>
        <w:spacing w:after="0" w:line="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excess tax benefit realized for the tax deduction from share-based compensation approximated $253, $336, and $203 for the years ended December 31, 2015, 2014, and 2013, respectively. This excess tax benefit is included in cash flows from financing activities in the Consolidated Statements of Cash Flows.</w:t>
      </w:r>
    </w:p>
    <w:p>
      <w:pPr>
        <w:spacing w:after="0" w:line="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At December 31, 2015, the Company had stock awards issued pursuant to the 2006 Omnibus Incentive Plan as amended and restated in October 2013 (“Omnibus Plan”). The Omnibus Plan allows for the issuance of 900,000 shares of common stock through the granting of stock options or stock awards (including performance units convertible into stock) to key employees and directors at no less than 100% of fair market value on the date of the grant. The Omnibus Plan provides for the granting of “nonqualified options” with a duration of not more than ten years from the date of grant. The Omnibus Plan also provides that, unless otherwise set forth in the option agreement, stock options are exercisable in installments of up to 25% annually beginning one year from the date of grant. No stock options have been granted under the Omnibus Plan and, as such, there was no share-based compensation expense related to stock options recorded in 2015, 2014, or 2013</w:t>
      </w:r>
    </w:p>
    <w:p>
      <w:pPr>
        <w:spacing w:after="0" w:line="6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also had 7,500 outstanding stock option awards that were granted under the former 1998 Long-Term Incentive Plan for Officers and Directors, amended and restated in May 2006 (“1998 Plan”). During 2015, all 7,500 outstanding stock option awards were exercised prior to their expiration. No future grants are permitted under the expired 1998 Plan and the Company currently makes equity awards under the Omnibus Plan.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information for the three years ended December 31, 2015 relative to employee stock options is summarized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Number of shares under the plans: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Outstanding and exercisable at beginning of year</w:t>
            </w:r>
          </w:p>
        </w:tc>
        <w:tc>
          <w:tcPr>
            <w:tcW w:w="560" w:type="dxa"/>
            <w:vAlign w:val="bottom"/>
          </w:tcPr>
          <w:p>
            <w:pPr>
              <w:jc w:val="right"/>
              <w:spacing w:after="0"/>
              <w:rPr>
                <w:sz w:val="20"/>
                <w:szCs w:val="20"/>
                <w:color w:val="auto"/>
              </w:rPr>
            </w:pPr>
            <w:r>
              <w:rPr>
                <w:rFonts w:ascii="Arial" w:cs="Arial" w:eastAsia="Arial" w:hAnsi="Arial"/>
                <w:sz w:val="18"/>
                <w:szCs w:val="18"/>
                <w:color w:val="auto"/>
              </w:rPr>
              <w:t>7,500</w:t>
            </w:r>
          </w:p>
        </w:tc>
        <w:tc>
          <w:tcPr>
            <w:tcW w:w="3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18,750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Canceled</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(11,250)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color w:val="auto"/>
              </w:rPr>
              <w:t>Outstanding and exercisable at end of year</w:t>
            </w: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vMerge w:val="continue"/>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7,500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weighted average exercise price per share of the stock options exercised in 2015, 2014, and 2013 were $9.08, $11.67, and $9.30, respectively. The total intrinsic value of stock options exercised during the years ended December 31, 2015, 2014, and 2013 was $253, $426, and $124,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Fully-Vested Stock Awards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Non-employee directors are automatically awarded fully vested shares of the Company’s common stock on each date the non-employee directors are elected at the annual shareholders’ meeting to serve as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non-employee directors were granted a total of 14,000, 10,182, and 9,960 fully-vested shares for the years ended December 31, 2015, 2014, and 2013, respectively. Compensation expense recorded by the Company related to fully-vested stock awards to non-employee directors was approximately $534, $488, and $450 for the years ended December 31, 2015, 2014, and 2013, respectively.</w:t>
      </w:r>
    </w:p>
    <w:p>
      <w:pPr>
        <w:spacing w:after="0" w:line="59"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weighted average fair value of all the fully-vested stock grants awarded was $38.15, $47.94, and $45.16 per share for 2015, 2014, and 2013,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Performance Unit Awards</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Under the amended and restated 2006 Omnibus Plan, the Company grants eligible employees restricted stock and performance unit awards. The forfeitable restricted stock awards granted prior to March 2015 generally time-vest after a four year holding period, and those granted in March 2015 generally time-vest ratably over a three-year period, unless indicated otherwise by the underlying restricted stock agreement. Performance unit awards are offered annually under separate three-year long-term incentive programs. Performance units are subject to forfeiture and will be converted into common stock of the Company based upon the Company’s performance relative to performance measures and conversion multiples as defined in the underlying program. If the Company’s estimate of the number of performance stock awards expected to vest changes in a subsequent accounting period, cumulative compensation expense could increase or decrease. The change will be recognized in the current period for the vested shares and would change future expense over the remaining vesting period.</w:t>
      </w:r>
    </w:p>
    <w:p>
      <w:pPr>
        <w:spacing w:after="0" w:line="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restricted stock award and performance unit award activity for the three-year periods ended December 31, 2015, 2014, and 2013: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5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Restricted</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Performance</w:t>
            </w:r>
          </w:p>
        </w:tc>
        <w:tc>
          <w:tcPr>
            <w:tcW w:w="42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5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Units</w:t>
            </w: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176,646</w:t>
            </w:r>
          </w:p>
        </w:tc>
        <w:tc>
          <w:tcPr>
            <w:tcW w:w="8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59,725</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12,973</w:t>
            </w:r>
          </w:p>
        </w:tc>
        <w:tc>
          <w:tcPr>
            <w:tcW w:w="8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31,418</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(41,579)</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Adjustment for incentive awards not expected to vest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(18,408)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(18,314)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(11,084)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2013</w:t>
            </w: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129,726</w:t>
            </w:r>
          </w:p>
        </w:tc>
        <w:tc>
          <w:tcPr>
            <w:tcW w:w="8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61,651</w:t>
            </w:r>
          </w:p>
        </w:tc>
        <w:tc>
          <w:tcPr>
            <w:tcW w:w="4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w w:val="98"/>
              </w:rPr>
              <w:t>(40,540)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(13,588)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incentive awards not expected to vest</w:t>
            </w: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Canceled</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(2,880)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108,237</w:t>
            </w: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71,990</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29,656</w:t>
            </w:r>
          </w:p>
        </w:tc>
        <w:tc>
          <w:tcPr>
            <w:tcW w:w="8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41,114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(39,076)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Adjustment for incentive awards not expected to vest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(53,228)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(5,000)</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2015</w:t>
            </w: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93,817</w:t>
            </w:r>
          </w:p>
        </w:tc>
        <w:tc>
          <w:tcPr>
            <w:tcW w:w="8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35,999</w:t>
            </w:r>
          </w:p>
        </w:tc>
        <w:tc>
          <w:tcPr>
            <w:tcW w:w="4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Performance units are subject to forfeiture and will be converted into common stock of the Company based upon the Company’s performance relative to performance measures and conversion multiples as defined in the underlying plan. The aggregate fair value in the above table is based upon achieving 100% of the performance targets as defined in the underlying plan. During 2014, the Company reversed $702 of incentive compensation costs under its separate three-year long-term incentive plans caused by the impact of the product warranty charges on Company performance, as it related to the awards’ underlying performance conditions. More information on the product warranty charge can be found in Note 19, “Commitments and Contingent Liabilities”.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1" w:lineRule="auto"/>
        <w:rPr>
          <w:sz w:val="20"/>
          <w:szCs w:val="20"/>
          <w:color w:val="auto"/>
        </w:rPr>
      </w:pPr>
      <w:r>
        <w:rPr>
          <w:rFonts w:ascii="Arial" w:cs="Arial" w:eastAsia="Arial" w:hAnsi="Arial"/>
          <w:sz w:val="16"/>
          <w:szCs w:val="16"/>
          <w:color w:val="auto"/>
        </w:rPr>
        <w:t>Excluding the fully-vested stock awards granted to non-employee directors, the Company recorded compensation expense of $937, $2,519, and $1,706, respectively, for the periods ended December 31, 2015, 2014, and 2013 related to restricted stock and performance unit awards.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Number of shares available for future grant:</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Beginning of year</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469,840</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513,280</w:t>
            </w:r>
          </w:p>
        </w:tc>
        <w:tc>
          <w:tcPr>
            <w:tcW w:w="720" w:type="dxa"/>
            <w:vAlign w:val="bottom"/>
          </w:tcPr>
          <w:p>
            <w:pPr>
              <w:jc w:val="right"/>
              <w:spacing w:after="0"/>
              <w:rPr>
                <w:sz w:val="20"/>
                <w:szCs w:val="20"/>
                <w:color w:val="auto"/>
              </w:rPr>
            </w:pPr>
            <w:r>
              <w:rPr>
                <w:rFonts w:ascii="Arial" w:cs="Arial" w:eastAsia="Arial" w:hAnsi="Arial"/>
                <w:sz w:val="18"/>
                <w:szCs w:val="18"/>
                <w:color w:val="auto"/>
              </w:rPr>
              <w:t>517,280</w:t>
            </w:r>
          </w:p>
        </w:tc>
        <w:tc>
          <w:tcPr>
            <w:tcW w:w="12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407,307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469,840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513,280</w:t>
            </w:r>
          </w:p>
        </w:tc>
        <w:tc>
          <w:tcPr>
            <w:tcW w:w="120" w:type="dxa"/>
            <w:vAlign w:val="bottom"/>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issued, pursuant to the Omnibus Plan, approximately 14,000 fully-vested shares during 2014 which were earned under the 2011 — 2013 three-year long-term incentive plan. This non-cash transaction of $454 was reflected as a decrease to Treasury stock in the Consolidated Balance Sheet at December 31,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seven retirement plans which cover its hourly and salaried employees in the United States: three defined benefit plans (one active / two frozen) and four defined contribution plans. Employees are eligible to participate in the appropriate plan based on employment classification. The Company’s contributions to the defined benefit and defined contribution plans are governed by the Employee Retirement Income Security Act of 1974 (“ERISA”), policy and investment guidelines of the applicable plan. The Company’s policy is to contribute at least the minimum in accordance with the funding standards of ERISA.</w:t>
      </w:r>
    </w:p>
    <w:p>
      <w:pPr>
        <w:spacing w:after="0" w:line="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Company’s subsidiary, L.B. Foster Rail Technologies (“Rail Technologies”), maintains two defined contribution plans for its employees in Canada, as well as a post-retirement benefit plan. In the United Kingdom, Rail Technologies maintains two defined contribution plans and a defined benefit plan. These plans are discussed in further detail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Defined Benefit Plans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tables present a reconciliation of the changes in the benefit obligation, the fair market value of the assets, and the funded status of the plans, as of December 31, 2015 and 2014: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2015</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Changes in benefit obligation: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18,925</w:t>
            </w:r>
          </w:p>
        </w:tc>
        <w:tc>
          <w:tcPr>
            <w:tcW w:w="3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(1,148)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17,759</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gridSpan w:val="2"/>
            <w:vMerge w:val="restart"/>
          </w:tcPr>
          <w:p>
            <w:pPr>
              <w:spacing w:after="0"/>
              <w:rPr>
                <w:sz w:val="20"/>
                <w:szCs w:val="20"/>
                <w:color w:val="auto"/>
              </w:rPr>
            </w:pPr>
            <w:r>
              <w:rPr>
                <w:rFonts w:ascii="Arial" w:cs="Arial" w:eastAsia="Arial" w:hAnsi="Arial"/>
                <w:sz w:val="18"/>
                <w:szCs w:val="18"/>
                <w:color w:val="auto"/>
              </w:rPr>
              <w:t>Change to plan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15,205</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Actual (loss) gain on plan assets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at end of year</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14,235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gridSpan w:val="2"/>
          </w:tcPr>
          <w:p>
            <w:pPr>
              <w:spacing w:after="0"/>
              <w:rPr>
                <w:sz w:val="20"/>
                <w:szCs w:val="20"/>
                <w:color w:val="auto"/>
              </w:rPr>
            </w:pPr>
            <w:r>
              <w:rPr>
                <w:rFonts w:ascii="Arial" w:cs="Arial" w:eastAsia="Arial" w:hAnsi="Arial"/>
                <w:sz w:val="18"/>
                <w:szCs w:val="18"/>
                <w:color w:val="auto"/>
              </w:rPr>
              <w:t>Funded status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(3,524)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the consolidated balance sheet consist of:</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(3,524)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accumulated other comprehensive income consist of:</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3,993</w:t>
            </w:r>
          </w:p>
        </w:tc>
        <w:tc>
          <w:tcPr>
            <w:tcW w:w="3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3,993</w:t>
            </w:r>
          </w:p>
        </w:tc>
        <w:tc>
          <w:tcPr>
            <w:tcW w:w="32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actuarial loss included in accumulated other comprehensive loss that will be recognized in net periodic pension cost during 2016 is $276, before taxes.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pension costs for the three years ended December 31, 2015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Components of net periodic benefit cost:</w:t>
            </w:r>
          </w:p>
        </w:tc>
        <w:tc>
          <w:tcPr>
            <w:tcW w:w="2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Service cost</w:t>
            </w:r>
          </w:p>
        </w:tc>
        <w:tc>
          <w:tcPr>
            <w:tcW w:w="3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(816)</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(968)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(856)</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275</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 (income)</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2015</w:t>
            </w: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2014</w:t>
            </w: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4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4.3%</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4.0%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4.9%</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Expected rate of return on plan assets</w:t>
            </w:r>
          </w:p>
        </w:tc>
        <w:tc>
          <w:tcPr>
            <w:tcW w:w="4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40" w:type="dxa"/>
            <w:vAlign w:val="bottom"/>
            <w:vMerge w:val="continue"/>
          </w:tcPr>
          <w:p>
            <w:pPr>
              <w:spacing w:after="0"/>
              <w:rPr>
                <w:sz w:val="18"/>
                <w:szCs w:val="18"/>
                <w:color w:val="auto"/>
              </w:rPr>
            </w:pPr>
          </w:p>
        </w:tc>
        <w:tc>
          <w:tcPr>
            <w:tcW w:w="5800" w:type="dxa"/>
            <w:vAlign w:val="bottom"/>
            <w:gridSpan w:val="3"/>
          </w:tcPr>
          <w:p>
            <w:pPr>
              <w:jc w:val="right"/>
              <w:ind w:right="580"/>
              <w:spacing w:after="0"/>
              <w:rPr>
                <w:sz w:val="20"/>
                <w:szCs w:val="20"/>
                <w:color w:val="auto"/>
              </w:rPr>
            </w:pPr>
            <w:r>
              <w:rPr>
                <w:rFonts w:ascii="Arial" w:cs="Arial" w:eastAsia="Arial" w:hAnsi="Arial"/>
                <w:sz w:val="18"/>
                <w:szCs w:val="18"/>
                <w:color w:val="auto"/>
              </w:rPr>
              <w:t>5.2%</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5.5%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800" w:type="dxa"/>
            <w:vAlign w:val="bottom"/>
            <w:vMerge w:val="restart"/>
          </w:tcPr>
          <w:p>
            <w:pPr>
              <w:jc w:val="right"/>
              <w:ind w:right="3052"/>
              <w:spacing w:after="0"/>
              <w:rPr>
                <w:sz w:val="20"/>
                <w:szCs w:val="20"/>
                <w:color w:val="auto"/>
              </w:rPr>
            </w:pPr>
            <w:r>
              <w:rPr>
                <w:rFonts w:ascii="Arial" w:cs="Arial" w:eastAsia="Arial" w:hAnsi="Arial"/>
                <w:sz w:val="18"/>
                <w:szCs w:val="18"/>
                <w:color w:val="auto"/>
              </w:rPr>
              <w:t>67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expected long-term rate of return is based on numerous factors including the target asset allocation for plan assets, historical rate of return, long-term inflation assumptions, and current and projected market conditions. The decline in the expected rate of return on plan assets reflects a shift in the Plans’ investment strategy toward a higher focus on fixed income investments.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applicable to the Company’s pension plans with accumulated benefit obligations in excess of plan assets are as follows at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42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1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3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$ 17,759</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$ 18,925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17,759</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18,925</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$ 14,235</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$ 15,205</w:t>
            </w:r>
          </w:p>
        </w:tc>
      </w:tr>
      <w:tr>
        <w:trPr>
          <w:trHeight w:val="20"/>
        </w:trPr>
        <w:tc>
          <w:tcPr>
            <w:tcW w:w="5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Plan assets consist primarily of various fixed income and equity investments. The Company’s primary investment objective is to provide long-term growth of capital while accepting a moderate level of risk. The investments are limited to cash and cash equivalents, bonds, preferred stocks, and common stocks. The investment target ranges and actual allocation of pension plan assets by major category at December 31, 2015 and 2014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rPr>
              <w:t>Target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 Category</w:t>
            </w: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- 10%</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fixed income funds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- 50</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Total mutual funds and equities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- 70</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56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accordance with the fair value disclosure requirements with FASB ASC 820, “Fair Value Measurements and Disclosures,” the following assets were measured at fair value on a recurring basis at December 31, 2015 and 2014. Additional information regarding FASB ASC 820 and the fair value hierarchy can be found in Note 18, Fair Value Measurements.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9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Category</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1,248</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58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19"/>
                <w:szCs w:val="19"/>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fixed income funds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Equity funds and equities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w:t>
            </w:r>
          </w:p>
        </w:tc>
      </w:tr>
      <w:tr>
        <w:trPr>
          <w:trHeight w:val="223"/>
        </w:trPr>
        <w:tc>
          <w:tcPr>
            <w:tcW w:w="958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9"/>
                <w:szCs w:val="19"/>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mutual funds and equities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9,664</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14,235</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15,205</w:t>
            </w:r>
          </w:p>
        </w:tc>
      </w:tr>
      <w:tr>
        <w:trPr>
          <w:trHeight w:val="20"/>
        </w:trPr>
        <w:tc>
          <w:tcPr>
            <w:tcW w:w="9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u w:val="single" w:color="auto"/>
          <w:color w:val="auto"/>
        </w:rPr>
        <w:t>Cash equivalents.</w:t>
      </w:r>
      <w:r>
        <w:rPr>
          <w:rFonts w:ascii="Arial" w:cs="Arial" w:eastAsia="Arial" w:hAnsi="Arial"/>
          <w:sz w:val="16"/>
          <w:szCs w:val="16"/>
          <w:color w:val="auto"/>
        </w:rPr>
        <w:t xml:space="preserve"> The Company uses quoted market prices to determine the fair value of these investments in interest-bearing cash accounts and they are classified in Level 1 of the fair value hierarchy. The carrying amounts approximate fair value because of the short maturity of the instruments.</w:t>
      </w:r>
    </w:p>
    <w:p>
      <w:pPr>
        <w:spacing w:after="0" w:line="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u w:val="single" w:color="auto"/>
          <w:color w:val="auto"/>
        </w:rPr>
        <w:t>Fixed income funds.</w:t>
      </w:r>
      <w:r>
        <w:rPr>
          <w:rFonts w:ascii="Arial" w:cs="Arial" w:eastAsia="Arial" w:hAnsi="Arial"/>
          <w:sz w:val="18"/>
          <w:szCs w:val="18"/>
          <w:color w:val="auto"/>
        </w:rPr>
        <w:t xml:space="preserve"> Investments within the fixed income funds category consist of fixed income corporate debt. The Company uses quoted market prices to determine the fair value of these fixed income funds. These instruments consist of exchange-traded government and corporate bonds and are classified in Level 1 of the fair value hierarchy.</w:t>
      </w:r>
    </w:p>
    <w:p>
      <w:pPr>
        <w:spacing w:after="0" w:line="5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Equity funds and equities.</w:t>
      </w:r>
      <w:r>
        <w:rPr>
          <w:rFonts w:ascii="Arial" w:cs="Arial" w:eastAsia="Arial" w:hAnsi="Arial"/>
          <w:sz w:val="18"/>
          <w:szCs w:val="18"/>
          <w:color w:val="auto"/>
        </w:rPr>
        <w:t xml:space="preserve"> The valuation of investments in registered investment companies is based on the underlying investments in securities. Securities traded on security exchanges are valued at the latest quoted sales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price. Securities traded in the over-the-counter market and listed securities for which no sale was reported on that date are valued at the average of the last reported bid and ask quotations. These investments are classified in Level 1 of the fair value hierarchy.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20" w:type="dxa"/>
            <w:vAlign w:val="bottom"/>
          </w:tcPr>
          <w:p>
            <w:pPr>
              <w:ind w:left="460"/>
              <w:spacing w:after="0"/>
              <w:rPr>
                <w:sz w:val="20"/>
                <w:szCs w:val="20"/>
                <w:color w:val="auto"/>
              </w:rPr>
            </w:pPr>
            <w:r>
              <w:rPr>
                <w:rFonts w:ascii="Arial" w:cs="Arial" w:eastAsia="Arial" w:hAnsi="Arial"/>
                <w:sz w:val="18"/>
                <w:szCs w:val="18"/>
                <w:color w:val="auto"/>
              </w:rPr>
              <w:t>The Company currently does not anticipate contributions to its United States defined benefit plans in 2016.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10820" w:type="dxa"/>
            <w:vAlign w:val="bottom"/>
          </w:tcPr>
          <w:p>
            <w:pPr>
              <w:ind w:left="460"/>
              <w:spacing w:after="0"/>
              <w:rPr>
                <w:sz w:val="20"/>
                <w:szCs w:val="20"/>
                <w:color w:val="auto"/>
              </w:rPr>
            </w:pPr>
            <w:r>
              <w:rPr>
                <w:rFonts w:ascii="Arial" w:cs="Arial" w:eastAsia="Arial" w:hAnsi="Arial"/>
                <w:sz w:val="18"/>
                <w:szCs w:val="18"/>
                <w:color w:val="auto"/>
              </w:rPr>
              <w:t>The following benefit payments are expected to be paid: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10820" w:type="dxa"/>
            <w:vAlign w:val="bottom"/>
          </w:tcPr>
          <w:p>
            <w:pPr>
              <w:spacing w:after="0"/>
              <w:rPr>
                <w:sz w:val="19"/>
                <w:szCs w:val="19"/>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Pension</w:t>
            </w:r>
          </w:p>
        </w:tc>
      </w:tr>
      <w:tr>
        <w:trPr>
          <w:trHeight w:val="161"/>
        </w:trPr>
        <w:tc>
          <w:tcPr>
            <w:tcW w:w="108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Benefits</w:t>
            </w:r>
          </w:p>
        </w:tc>
      </w:tr>
      <w:tr>
        <w:trPr>
          <w:trHeight w:val="210"/>
        </w:trPr>
        <w:tc>
          <w:tcPr>
            <w:tcW w:w="10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2017</w:t>
            </w:r>
          </w:p>
        </w:tc>
        <w:tc>
          <w:tcPr>
            <w:tcW w:w="50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2019</w:t>
            </w:r>
          </w:p>
        </w:tc>
        <w:tc>
          <w:tcPr>
            <w:tcW w:w="50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r>
      <w:tr>
        <w:trPr>
          <w:trHeight w:val="222"/>
        </w:trPr>
        <w:tc>
          <w:tcPr>
            <w:tcW w:w="10820" w:type="dxa"/>
            <w:vAlign w:val="bottom"/>
          </w:tcPr>
          <w:p>
            <w:pPr>
              <w:spacing w:after="0"/>
              <w:rPr>
                <w:sz w:val="20"/>
                <w:szCs w:val="20"/>
                <w:color w:val="auto"/>
              </w:rPr>
            </w:pPr>
            <w:r>
              <w:rPr>
                <w:rFonts w:ascii="Arial" w:cs="Arial" w:eastAsia="Arial" w:hAnsi="Arial"/>
                <w:sz w:val="18"/>
                <w:szCs w:val="18"/>
                <w:color w:val="auto"/>
              </w:rPr>
              <w:t>Years 2021-2025</w:t>
            </w:r>
          </w:p>
        </w:tc>
        <w:tc>
          <w:tcPr>
            <w:tcW w:w="500" w:type="dxa"/>
            <w:vAlign w:val="bottom"/>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Defined Benefit Plan</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Portec Rail Products (UK) Limited Pension Plan covers certain current employees, former employees, and retirees. The plan has been frozen to new entrants since April 1, 1997 and also covers the former employees of a merged plan after January 2002. Benefits under the plan were based on years of service and eligible compensation during defined periods of service. Our funding policy for the plan is to make minimum annual contributions required by applicable regulations.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funded status of the United Kingdom defined benefit plan at December 31, 2015 and 2014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Changes in benefit obligation:</w:t>
            </w: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4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8,797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Actuarial (gain) loss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Foreign currency exchange rate changes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4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7,862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Change to plan assets:</w:t>
            </w: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20" w:type="dxa"/>
            <w:vAlign w:val="bottom"/>
            <w:gridSpan w:val="2"/>
            <w:vMerge w:val="continue"/>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at beginning of year</w:t>
            </w:r>
          </w:p>
        </w:tc>
        <w:tc>
          <w:tcPr>
            <w:tcW w:w="4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6,757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Actual gain on plan assets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Benefits paid</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Fair value of assets at end of year</w:t>
            </w:r>
          </w:p>
        </w:tc>
        <w:tc>
          <w:tcPr>
            <w:tcW w:w="4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6,661</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Funded status at end of year</w:t>
            </w:r>
          </w:p>
        </w:tc>
        <w:tc>
          <w:tcPr>
            <w:tcW w:w="4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(2,040)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the consolidated balance sheet consist of:</w:t>
            </w: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20" w:type="dxa"/>
            <w:vAlign w:val="bottom"/>
            <w:gridSpan w:val="2"/>
            <w:vMerge w:val="continue"/>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(2,040)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w w:val="89"/>
              </w:rPr>
              <w:t>Amounts recognized in accumulated other comprehensive income consist of:</w:t>
            </w: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20" w:type="dxa"/>
            <w:vAlign w:val="bottom"/>
            <w:gridSpan w:val="2"/>
            <w:vMerge w:val="continue"/>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Prior service cost</w:t>
            </w:r>
          </w:p>
        </w:tc>
        <w:tc>
          <w:tcPr>
            <w:tcW w:w="4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180" w:type="dxa"/>
            <w:vAlign w:val="bottom"/>
            <w:vMerge w:val="restart"/>
          </w:tcPr>
          <w:p>
            <w:pPr>
              <w:jc w:val="right"/>
              <w:ind w:right="3812"/>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pension costs for the three years ended December 31, 2015, 2014, and 2013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Components of net periodic benefit cost:</w:t>
            </w:r>
          </w:p>
        </w:tc>
        <w:tc>
          <w:tcPr>
            <w:tcW w:w="29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cost</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$ 295</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$ 360</w:t>
            </w:r>
          </w:p>
        </w:tc>
        <w:tc>
          <w:tcPr>
            <w:tcW w:w="3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$ 348</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(324)</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294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9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$ 223</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$ 155</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$ 232</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2015</w:t>
            </w: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2014</w:t>
            </w: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4.0%</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3.6%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4.6%</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Expected rate of return on plan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vMerge w:val="continue"/>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5.2%</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5.0%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5.8%</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applicable to the Company’s pension plans with accumulated benefit obligations in excess of plan assets are as follows at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2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3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$7,862</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$8,797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4820" w:type="dxa"/>
            <w:vAlign w:val="bottom"/>
            <w:gridSpan w:val="3"/>
          </w:tcPr>
          <w:p>
            <w:pPr>
              <w:jc w:val="right"/>
              <w:ind w:right="540"/>
              <w:spacing w:after="0"/>
              <w:rPr>
                <w:sz w:val="20"/>
                <w:szCs w:val="20"/>
                <w:color w:val="auto"/>
              </w:rPr>
            </w:pPr>
            <w:r>
              <w:rPr>
                <w:rFonts w:ascii="Arial" w:cs="Arial" w:eastAsia="Arial" w:hAnsi="Arial"/>
                <w:sz w:val="18"/>
                <w:szCs w:val="18"/>
                <w:color w:val="auto"/>
              </w:rPr>
              <w:t>7,862</w:t>
            </w:r>
          </w:p>
        </w:tc>
        <w:tc>
          <w:tcPr>
            <w:tcW w:w="500" w:type="dxa"/>
            <w:vAlign w:val="bottom"/>
          </w:tcPr>
          <w:p>
            <w:pPr>
              <w:jc w:val="right"/>
              <w:spacing w:after="0"/>
              <w:rPr>
                <w:sz w:val="20"/>
                <w:szCs w:val="20"/>
                <w:color w:val="auto"/>
              </w:rPr>
            </w:pPr>
            <w:r>
              <w:rPr>
                <w:rFonts w:ascii="Arial" w:cs="Arial" w:eastAsia="Arial" w:hAnsi="Arial"/>
                <w:sz w:val="18"/>
                <w:szCs w:val="18"/>
                <w:color w:val="auto"/>
              </w:rPr>
              <w:t>8,797</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4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6,661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shd w:val="clear" w:color="auto" w:fill="CCEEFF"/>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has estimated the long-term rate of return on plan assets based primarily on historical returns on plan assets, adjusted for changes in target portfolio allocations, and recent changes in long-term interest rates based on publicly available information.</w:t>
      </w:r>
    </w:p>
    <w:p>
      <w:pPr>
        <w:spacing w:after="0" w:line="51" w:lineRule="exact"/>
        <w:rPr>
          <w:sz w:val="20"/>
          <w:szCs w:val="20"/>
          <w:color w:val="auto"/>
        </w:rPr>
      </w:pPr>
    </w:p>
    <w:p>
      <w:pPr>
        <w:ind w:right="440" w:firstLine="456"/>
        <w:spacing w:after="0" w:line="335" w:lineRule="auto"/>
        <w:rPr>
          <w:sz w:val="20"/>
          <w:szCs w:val="20"/>
          <w:color w:val="auto"/>
        </w:rPr>
      </w:pPr>
      <w:r>
        <w:rPr>
          <w:rFonts w:ascii="Arial" w:cs="Arial" w:eastAsia="Arial" w:hAnsi="Arial"/>
          <w:sz w:val="15"/>
          <w:szCs w:val="15"/>
          <w:color w:val="auto"/>
        </w:rPr>
        <w:t>Plan assets are invested by the trustees in accordance with a written statement of investment principles. This statement permits investment in equities, corporate bonds, United Kingdom government securities, commercial property, and cash, based on certain target allocation percentages. Asset allocation is primarily based on a strategy to provide steady growth without undue fluctuations. The target asset allocation percentages for 2015 are as follows:</w:t>
      </w:r>
    </w:p>
    <w:tbl>
      <w:tblPr>
        <w:tblLayout w:type="fixed"/>
        <w:tblInd w:w="0" w:type="dxa"/>
        <w:tblCellMar>
          <w:top w:w="0" w:type="dxa"/>
          <w:left w:w="0" w:type="dxa"/>
          <w:bottom w:w="0" w:type="dxa"/>
          <w:right w:w="0" w:type="dxa"/>
        </w:tblCellMar>
      </w:tblPr>
      <w:tr>
        <w:trPr>
          <w:trHeight w:val="151"/>
        </w:trPr>
        <w:tc>
          <w:tcPr>
            <w:tcW w:w="9360" w:type="dxa"/>
            <w:vAlign w:val="bottom"/>
          </w:tcPr>
          <w:p>
            <w:pPr>
              <w:spacing w:after="0"/>
              <w:rPr>
                <w:sz w:val="13"/>
                <w:szCs w:val="13"/>
                <w:color w:val="auto"/>
              </w:rPr>
            </w:pPr>
          </w:p>
        </w:tc>
        <w:tc>
          <w:tcPr>
            <w:tcW w:w="20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0"/>
              </w:rPr>
              <w:t>Portec Rail</w:t>
            </w:r>
          </w:p>
        </w:tc>
      </w:tr>
      <w:tr>
        <w:trPr>
          <w:trHeight w:val="161"/>
        </w:trPr>
        <w:tc>
          <w:tcPr>
            <w:tcW w:w="936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Plan</w:t>
            </w:r>
          </w:p>
        </w:tc>
      </w:tr>
      <w:tr>
        <w:trPr>
          <w:trHeight w:val="210"/>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Up to 100%</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Commercial property</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Not to exceed 50%</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U.K. Government securities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Not to exceed 50%</w:t>
            </w: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Cash</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Up to 100%</w:t>
            </w:r>
          </w:p>
        </w:tc>
      </w:tr>
    </w:tbl>
    <w:p>
      <w:pPr>
        <w:spacing w:after="0" w:line="6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Plan assets held within the Portec Rail Plan consist of cash and marketable securities that have been classified as Level 1 of the fair value hierarchy. All other plan assets have been classified as Level 2 of the fair value hierarchy.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assets by category for the two years ended December 31, 2015 and 2014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Category</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7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2,156</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ind w:left="220"/>
              <w:spacing w:after="0"/>
              <w:rPr>
                <w:sz w:val="20"/>
                <w:szCs w:val="20"/>
                <w:color w:val="auto"/>
              </w:rPr>
            </w:pPr>
            <w:r>
              <w:rPr>
                <w:rFonts w:ascii="Arial" w:cs="Arial" w:eastAsia="Arial" w:hAnsi="Arial"/>
                <w:sz w:val="18"/>
                <w:szCs w:val="18"/>
                <w:color w:val="auto"/>
              </w:rPr>
              <w:t>Bonds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1,899</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property</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2,462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2,484</w:t>
            </w:r>
          </w:p>
        </w:tc>
        <w:tc>
          <w:tcPr>
            <w:tcW w:w="100" w:type="dxa"/>
            <w:vAlign w:val="bottom"/>
            <w:shd w:val="clear" w:color="auto" w:fill="CCEEFF"/>
          </w:tcPr>
          <w:p>
            <w:pPr>
              <w:spacing w:after="0"/>
              <w:rPr>
                <w:sz w:val="18"/>
                <w:szCs w:val="18"/>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6,661</w:t>
            </w:r>
          </w:p>
        </w:tc>
        <w:tc>
          <w:tcPr>
            <w:tcW w:w="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6,757</w:t>
            </w:r>
          </w:p>
        </w:tc>
        <w:tc>
          <w:tcPr>
            <w:tcW w:w="10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United Kingdom regulations require trustees to adopt a prudent approach to funding required contributions to defined benefit pension plans. The Company anticipates making contributions of $271 to the Portec Rail Plan during 2016.</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20" w:type="dxa"/>
            <w:vAlign w:val="bottom"/>
          </w:tcPr>
          <w:p>
            <w:pPr>
              <w:ind w:left="460"/>
              <w:spacing w:after="0"/>
              <w:rPr>
                <w:sz w:val="20"/>
                <w:szCs w:val="20"/>
                <w:color w:val="auto"/>
              </w:rPr>
            </w:pPr>
            <w:r>
              <w:rPr>
                <w:rFonts w:ascii="Arial" w:cs="Arial" w:eastAsia="Arial" w:hAnsi="Arial"/>
                <w:sz w:val="18"/>
                <w:szCs w:val="18"/>
                <w:color w:val="auto"/>
              </w:rPr>
              <w:t>The following estimated future benefits payments are expected to be paid under the Portec Rail Plan: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0820" w:type="dxa"/>
            <w:vAlign w:val="bottom"/>
          </w:tcPr>
          <w:p>
            <w:pPr>
              <w:spacing w:after="0"/>
              <w:rPr>
                <w:sz w:val="19"/>
                <w:szCs w:val="19"/>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Pension</w:t>
            </w:r>
          </w:p>
        </w:tc>
      </w:tr>
      <w:tr>
        <w:trPr>
          <w:trHeight w:val="161"/>
        </w:trPr>
        <w:tc>
          <w:tcPr>
            <w:tcW w:w="108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Benefits</w:t>
            </w:r>
          </w:p>
        </w:tc>
      </w:tr>
      <w:tr>
        <w:trPr>
          <w:trHeight w:val="210"/>
        </w:trPr>
        <w:tc>
          <w:tcPr>
            <w:tcW w:w="10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2017</w:t>
            </w:r>
          </w:p>
        </w:tc>
        <w:tc>
          <w:tcPr>
            <w:tcW w:w="5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2019</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r>
      <w:tr>
        <w:trPr>
          <w:trHeight w:val="222"/>
        </w:trPr>
        <w:tc>
          <w:tcPr>
            <w:tcW w:w="10820" w:type="dxa"/>
            <w:vAlign w:val="bottom"/>
          </w:tcPr>
          <w:p>
            <w:pPr>
              <w:spacing w:after="0"/>
              <w:rPr>
                <w:sz w:val="20"/>
                <w:szCs w:val="20"/>
                <w:color w:val="auto"/>
              </w:rPr>
            </w:pPr>
            <w:r>
              <w:rPr>
                <w:rFonts w:ascii="Arial" w:cs="Arial" w:eastAsia="Arial" w:hAnsi="Arial"/>
                <w:sz w:val="18"/>
                <w:szCs w:val="18"/>
                <w:color w:val="auto"/>
              </w:rPr>
              <w:t>Years 2021-2025</w:t>
            </w:r>
          </w:p>
        </w:tc>
        <w:tc>
          <w:tcPr>
            <w:tcW w:w="50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 Plan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Rail Technologies’ operation near Montreal, Quebec, Canada, maintains a post-retirement benefit plan, which provides retiree life insurance, health care benefits, and, for a closed group of employees, dental care. Retiring employees with a minimum of 10 years of service are eligible for the plan benefits. The plan is not funded. Cost of benefits earned by employees is charged to expense as services are rendered. The expense related to this plan was not material for 2015 and 2014. Rail Technologies’ accrued benefit obligation was $823 and $1,172 as of December 31, 2015 and 2014, respectively. This obligation is recognized within other long-term liabilities. Benefit payments anticipated for 2016 are not material.</w:t>
      </w:r>
    </w:p>
    <w:p>
      <w:pPr>
        <w:spacing w:after="0" w:line="3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2015</w:t>
            </w:r>
          </w:p>
        </w:tc>
        <w:tc>
          <w:tcPr>
            <w:tcW w:w="7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color w:val="auto"/>
              </w:rPr>
              <w:t>Weighted average health care trend 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900" w:type="dxa"/>
            <w:vAlign w:val="bottom"/>
            <w:vMerge w:val="continue"/>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5.0%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6.2%</w:t>
            </w:r>
          </w:p>
        </w:tc>
        <w:tc>
          <w:tcPr>
            <w:tcW w:w="0" w:type="dxa"/>
            <w:vAlign w:val="bottom"/>
          </w:tcPr>
          <w:p>
            <w:pPr>
              <w:spacing w:after="0"/>
              <w:rPr>
                <w:sz w:val="1"/>
                <w:szCs w:val="1"/>
                <w:color w:val="auto"/>
              </w:rPr>
            </w:pPr>
          </w:p>
        </w:tc>
      </w:tr>
      <w:tr>
        <w:trPr>
          <w:trHeight w:val="20"/>
        </w:trPr>
        <w:tc>
          <w:tcPr>
            <w:tcW w:w="9900" w:type="dxa"/>
            <w:vAlign w:val="bottom"/>
            <w:vMerge w:val="restart"/>
          </w:tcPr>
          <w:p>
            <w:pPr>
              <w:ind w:left="460"/>
              <w:spacing w:after="0"/>
              <w:rPr>
                <w:sz w:val="20"/>
                <w:szCs w:val="20"/>
                <w:color w:val="auto"/>
              </w:rPr>
            </w:pPr>
            <w:r>
              <w:rPr>
                <w:rFonts w:ascii="Arial" w:cs="Arial" w:eastAsia="Arial" w:hAnsi="Arial"/>
                <w:sz w:val="18"/>
                <w:szCs w:val="18"/>
                <w:color w:val="auto"/>
              </w:rPr>
              <w:t>The weighted average health care rate trends downward to an ultimate rate of 4.4% in 2035.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900" w:type="dxa"/>
            <w:vAlign w:val="bottom"/>
          </w:tcPr>
          <w:p>
            <w:pPr>
              <w:jc w:val="right"/>
              <w:ind w:right="4012"/>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sponsors eight defined contribution plans for hourly and salaried employees across our domestic and international facilities. The following table summarizes the expense associated with the contributions made to these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5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5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8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$2,434</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$2,425</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Canada</w:t>
            </w: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227</w:t>
            </w: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3,154</w:t>
            </w:r>
          </w:p>
        </w:tc>
        <w:tc>
          <w:tcPr>
            <w:tcW w:w="54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2,810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2,553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and Lease Information</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has capital and operating leases for certain plant facilities, office facilities, and equipment. Rental expense for the years ended December 31, 2015, 2014, and 2013 amounted to $4,611, $3,062, and $3,333, respectively. Generally, land and building leases include escalation clauses.</w:t>
      </w:r>
    </w:p>
    <w:p>
      <w:pPr>
        <w:spacing w:after="0" w:line="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is a schedule, by year, of the future minimum payments under capital and operating leases, together with the present value of the net minimum payments at December 31, 2015: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8"/>
              </w:rPr>
              <w:t>Capital</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Operating</w:t>
            </w:r>
          </w:p>
        </w:tc>
        <w:tc>
          <w:tcPr>
            <w:tcW w:w="0" w:type="dxa"/>
            <w:vAlign w:val="bottom"/>
          </w:tcPr>
          <w:p>
            <w:pPr>
              <w:spacing w:after="0"/>
              <w:rPr>
                <w:sz w:val="1"/>
                <w:szCs w:val="1"/>
                <w:color w:val="auto"/>
              </w:rPr>
            </w:pPr>
          </w:p>
        </w:tc>
      </w:tr>
      <w:tr>
        <w:trPr>
          <w:trHeight w:val="161"/>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1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2"/>
              </w:rPr>
              <w:t>Leases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tcBorders>
              <w:top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2016</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694</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$ 4,310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2017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2019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2021 and thereafter</w:t>
            </w:r>
          </w:p>
        </w:tc>
        <w:tc>
          <w:tcPr>
            <w:tcW w:w="118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$ 20,128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gridSpan w:val="2"/>
            <w:vMerge w:val="continue"/>
          </w:tcPr>
          <w:p>
            <w:pPr>
              <w:spacing w:after="0"/>
              <w:rPr>
                <w:sz w:val="18"/>
                <w:szCs w:val="18"/>
                <w:color w:val="auto"/>
              </w:rPr>
            </w:pPr>
          </w:p>
        </w:tc>
        <w:tc>
          <w:tcPr>
            <w:tcW w:w="500" w:type="dxa"/>
            <w:vAlign w:val="bottom"/>
            <w:tcBorders>
              <w:bottom w:val="single" w:sz="8" w:color="auto"/>
            </w:tcBorders>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present value of minimum payments with interest rates ranging from 3.00% to 5.25%</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2,507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440"/>
              <w:spacing w:after="0"/>
              <w:rPr>
                <w:sz w:val="20"/>
                <w:szCs w:val="20"/>
                <w:color w:val="auto"/>
              </w:rPr>
            </w:pPr>
            <w:r>
              <w:rPr>
                <w:rFonts w:ascii="Arial" w:cs="Arial" w:eastAsia="Arial" w:hAnsi="Arial"/>
                <w:sz w:val="18"/>
                <w:szCs w:val="18"/>
                <w:color w:val="auto"/>
              </w:rPr>
              <w:t>Assets recorded under capital leases are as follows:</w:t>
            </w: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9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540" w:type="dxa"/>
            <w:vAlign w:val="bottom"/>
          </w:tcPr>
          <w:p>
            <w:pPr>
              <w:spacing w:after="0"/>
              <w:rPr>
                <w:sz w:val="20"/>
                <w:szCs w:val="20"/>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 at cost</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450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capital lease assets</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2,707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market prices in active markets for identical assets or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market-based inputs or unobservable inputs that are corroborated by market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not corroborated by market data.</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classification of a financial asset or liability within the hierarchy is determined based on the lowest level input that is significant to the fair value measurement.</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has an established process for determining fair value for its financial assets and liabilities, principally cash and cash equivalents and interest rate swaps. Fair value is based on quoted market prices, where available. If quoted market prices are not available, fair value is based on assumptions that use as inputs market-based parameters. The following section describes the valuation methodologies used by the Company to measure different financial instruments at fair value, including an indication of the level in the fair value hierarchy in which each instrument is generally classified. Where appropriate, the description includes details of the key inputs to the valuations and any significant assumptions.</w:t>
      </w:r>
    </w:p>
    <w:p>
      <w:pPr>
        <w:spacing w:after="0" w:line="3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u w:val="single" w:color="auto"/>
          <w:color w:val="auto"/>
        </w:rPr>
        <w:t>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within “Cash and cash equivalents” are investments in non-domestic term deposits. The carrying amounts approximate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because of the short maturity of the instruments.</w:t>
      </w:r>
    </w:p>
    <w:p>
      <w:pPr>
        <w:spacing w:after="0" w:line="51"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u w:val="single" w:color="auto"/>
          <w:color w:val="auto"/>
        </w:rPr>
        <w:t>LIBOR-Based interest rate swaps.</w:t>
      </w:r>
      <w:r>
        <w:rPr>
          <w:rFonts w:ascii="Arial" w:cs="Arial" w:eastAsia="Arial" w:hAnsi="Arial"/>
          <w:sz w:val="16"/>
          <w:szCs w:val="16"/>
          <w:i w:val="1"/>
          <w:iCs w:val="1"/>
          <w:color w:val="auto"/>
        </w:rPr>
        <w:t xml:space="preserve"> </w:t>
      </w:r>
      <w:r>
        <w:rPr>
          <w:rFonts w:ascii="Arial" w:cs="Arial" w:eastAsia="Arial" w:hAnsi="Arial"/>
          <w:sz w:val="16"/>
          <w:szCs w:val="16"/>
          <w:color w:val="auto"/>
        </w:rPr>
        <w:t>To reduce the impact of interest rate changes on outstanding variable-rate debt, the Company entered into forward</w:t>
      </w:r>
      <w:r>
        <w:rPr>
          <w:rFonts w:ascii="Arial" w:cs="Arial" w:eastAsia="Arial" w:hAnsi="Arial"/>
          <w:sz w:val="16"/>
          <w:szCs w:val="16"/>
          <w:i w:val="1"/>
          <w:iCs w:val="1"/>
          <w:color w:val="auto"/>
        </w:rPr>
        <w:t xml:space="preserve"> </w:t>
      </w:r>
      <w:r>
        <w:rPr>
          <w:rFonts w:ascii="Arial" w:cs="Arial" w:eastAsia="Arial" w:hAnsi="Arial"/>
          <w:sz w:val="16"/>
          <w:szCs w:val="16"/>
          <w:color w:val="auto"/>
        </w:rPr>
        <w:t>starting LIBOR-based interest rate swaps with notional values totaling $50,000. The swaps will become effective in February 2017 at which point it will effectively convert a portion of the debt from variable to fixed-rate borrowings during the term of the swap contract. The fair value of the interest rate swaps is based on market-observable forward interest rates and represents the estimated amount that the Company would pay to terminate the agreements. As such, the swap agreements have been classified as Level 2 within the fair value hierarchy.</w:t>
      </w:r>
    </w:p>
    <w:p>
      <w:pPr>
        <w:spacing w:after="0" w:line="3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assets of the Company were measured at fair value on a recurring basis subject to the disclosure requirements of ASC 820 at December 31, 2015 and December 31, 2014: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40" w:type="dxa"/>
            <w:vAlign w:val="bottom"/>
            <w:tcBorders>
              <w:right w:val="single" w:sz="8" w:color="auto"/>
            </w:tcBorders>
            <w:gridSpan w:val="10"/>
          </w:tcPr>
          <w:p>
            <w:pPr>
              <w:ind w:left="440"/>
              <w:spacing w:after="0"/>
              <w:rPr>
                <w:sz w:val="20"/>
                <w:szCs w:val="20"/>
                <w:color w:val="auto"/>
              </w:rPr>
            </w:pPr>
            <w:r>
              <w:rPr>
                <w:rFonts w:ascii="Arial" w:cs="Arial" w:eastAsia="Arial" w:hAnsi="Arial"/>
                <w:sz w:val="14"/>
                <w:szCs w:val="14"/>
                <w:b w:val="1"/>
                <w:bCs w:val="1"/>
                <w:color w:val="auto"/>
              </w:rPr>
              <w:t>Fair Value Measurements at Reporting Date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13"/>
          </w:tcPr>
          <w:p>
            <w:pPr>
              <w:ind w:left="440"/>
              <w:spacing w:after="0"/>
              <w:rPr>
                <w:sz w:val="20"/>
                <w:szCs w:val="20"/>
                <w:color w:val="auto"/>
              </w:rPr>
            </w:pPr>
            <w:r>
              <w:rPr>
                <w:rFonts w:ascii="Arial" w:cs="Arial" w:eastAsia="Arial" w:hAnsi="Arial"/>
                <w:sz w:val="14"/>
                <w:szCs w:val="14"/>
                <w:b w:val="1"/>
                <w:bCs w:val="1"/>
                <w:color w:val="auto"/>
              </w:rPr>
              <w:t>Fair Value Measurements at Reporting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Using</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Using</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Quoted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Quoted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w w:val="75"/>
              </w:rPr>
              <w:t>Prices in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Prices in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Active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Markets</w:t>
            </w:r>
          </w:p>
        </w:tc>
        <w:tc>
          <w:tcPr>
            <w:tcW w:w="3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Significant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Markets</w:t>
            </w:r>
          </w:p>
        </w:tc>
        <w:tc>
          <w:tcPr>
            <w:tcW w:w="3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for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for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w w:val="77"/>
              </w:rPr>
              <w:t>Identical</w:t>
            </w:r>
          </w:p>
        </w:tc>
        <w:tc>
          <w:tcPr>
            <w:tcW w:w="3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320" w:type="dxa"/>
            <w:vAlign w:val="bottom"/>
          </w:tcPr>
          <w:p>
            <w:pPr>
              <w:spacing w:after="0"/>
              <w:rPr>
                <w:sz w:val="12"/>
                <w:szCs w:val="12"/>
                <w:color w:val="auto"/>
              </w:rPr>
            </w:pPr>
          </w:p>
        </w:tc>
        <w:tc>
          <w:tcPr>
            <w:tcW w:w="114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Unobservable</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Identical</w:t>
            </w:r>
          </w:p>
        </w:tc>
        <w:tc>
          <w:tcPr>
            <w:tcW w:w="34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Inputs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Inputs</w:t>
            </w:r>
          </w:p>
        </w:tc>
        <w:tc>
          <w:tcPr>
            <w:tcW w:w="5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78"/>
              </w:rPr>
              <w:t>Assets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77"/>
              </w:rPr>
              <w:t>(Level 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(Level 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7"/>
              </w:rPr>
              <w:t>(Level 3)</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7"/>
              </w:rPr>
              <w:t>(Level 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(Level 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right w:val="single" w:sz="8" w:color="auto"/>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Non-domestic bank term deposits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1,939</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1,939</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vMerge w:val="restart"/>
          </w:tcPr>
          <w:p>
            <w:pPr>
              <w:ind w:left="200"/>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rate swaps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80" w:type="dxa"/>
            <w:vAlign w:val="bottom"/>
            <w:gridSpan w:val="2"/>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196</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196</w:t>
            </w:r>
          </w:p>
        </w:tc>
        <w:tc>
          <w:tcPr>
            <w:tcW w:w="400" w:type="dxa"/>
            <w:vAlign w:val="bottom"/>
            <w:gridSpan w:val="2"/>
          </w:tcPr>
          <w:p>
            <w:pPr>
              <w:ind w:left="32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tcPr>
          <w:p>
            <w:pPr>
              <w:ind w:left="60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regarding the fair value disclosures associated with the assets of the Company’s defined benefit plans can be found in Note 16, Retirement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Contingent Liabilities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is subject to product warranty claims that arise in the ordinary course of its business. For certain manufactured products, the Company maintains a product warranty accrual that is adjusted on a monthly basis as a percentage of cost of sales. This product warranty accrual is periodically adjusted based on the identification or resolution of known individual product warranty claims.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product warranty accrual:</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Warranty Liability</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2014</w:t>
            </w:r>
          </w:p>
        </w:tc>
        <w:tc>
          <w:tcPr>
            <w:tcW w:w="4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Additions to warranty liability</w:t>
            </w: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1,794</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 utilized</w:t>
            </w:r>
          </w:p>
        </w:tc>
        <w:tc>
          <w:tcPr>
            <w:tcW w:w="4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Acquisitions</w:t>
            </w:r>
          </w:p>
        </w:tc>
        <w:tc>
          <w:tcPr>
            <w:tcW w:w="4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438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8,755</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Included within the above table are concrete tie warranty reserves of approximately $7,544 and $10,331, respectively, at December 31, 2015 and 2014. For the periods ended December 31, 2015, 2014, and 2013, the Company recorded approximately $972, $9,854 and $612, respectively, in pre-tax concrete tie warranty charges within “Cost of Goods Sold” in the Company’s Rail Products and Services segment primarily related to concrete ties manufactured at the Company’s former Grand Island, NE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UPRR Warranty Claims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July 12, 2011, UPRR notified (the “UPRR Notice”) the Company and its subsidiary, CXT Incorporated (“CXT”), of a warranty claim under CXT’s 2005 supply contract relating to the sale of pre-stressed concrete railroad ties to UPRR. UPRR asserted that a significant percentage of concrete ties manufactured in 2006 through 2011 at CXT’s Grand Island, NE facility failed to meet contract specifications, had workmanship defects and were cracking and failing prematurely. Of the 3.0 million ties manufactured between 1998 and 2011 from the Grand Island, NE facility, approximately 1.6 million ties were sold during the period UPRR had claimed nonconformance. The 2005 contract called for each concrete tie which failed to conform to the specifications or had a material defect in workmanship to be replaced with 1.5 new concrete ties, provided, that, within five years of the sale of a concrete tie, UPRR notified CXT of such failure to conform or such defect in workmanship. The UPRR Notice did not specify how many ties manufactured during this period were defective nor the exact nature of the alleged workmanship defect.</w:t>
      </w:r>
    </w:p>
    <w:p>
      <w:pPr>
        <w:spacing w:after="0" w:line="3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Following the UPRR Notice, the Company worked with material scientists and pre-stressed concrete experts to test a representative sample of Grand Island, NE concrete ties and assess warranty claims for certain concrete ties made in its Grand Island, NE facility between 1998 and 2011. The Company discontinued manufacturing operations in Grand Island, NE in early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2012</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During 2012, the Company completed sufficient testing and analysis to further understand this matter. Based upon testing results and expert analysis, the Company believed it discovered conditions, which largely related to the 2006 to 2007 manufacturing period, that can shorten the life of the concrete ties produced during this period. During the fourth quarter of 2012 and first quarter of 2013, the Company reached agreement with UPRR on several matters including a process for the Company and UPRR to work together to identify, prioritize, and replace defective ties that meet the criteria for replacement. This process applies to the ties the Company shipped to UPRR from its Grand Island, NE facility from 1998 to 2011. During most of this period the Company’s warranty policy for UPRR carried a 5 year warranty with a 1.5:1 replacement ratio for any defective ties. In order to accommodate UPRR and other customer concerns, the Company also reverted to a previously used warranty policy providing a 15-year warranty with a 1:1 replacement ratio. This change provided an additional</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10 years of warranty protection. In the amended 2005 supply agreement, the Company and UPRR also extended the supply of Tucson ties by five years and agreed on a cash payment of $12,000 to UPRR as compensation for concrete ties already replaced by UPRR during the investigation period.</w:t>
      </w:r>
    </w:p>
    <w:p>
      <w:pPr>
        <w:spacing w:after="0" w:line="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2012, as a result of the testing that the Company conducted on concrete ties manufactured at its former Grand Island, NE facility and the developments related to UPRR and other customer matters, the Company recorded pre-tax warranty charges of $22,000 in “Cost of Goods Sold” within its Rail Products and Services segment based on the Company’s estimate of the number of defective concrete ties that will ultimately require replacement during the applicable warranty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Throughout 2013, at UPRR’s request and under the terms of the amended 2005 supply agreement, the Company provided warranty replacement concrete ties for use across certain UPRR subdivisions. The Company attempted to reconcile the quantity of warranty claims for ties replaced and obtain supporting detail for the ties removed. The Company believes that UPRR did not replace concrete ties in accordance with the amended agreement and has not furnished adequate documentation throughout the replacement process in these subdivisions to support its full warranty claim. Based on the information received by the Company to date, the Company believes that a significant number of ties which UPRR replaced in these subdivisions did not meet the criteria to be covered as warranty replacement ties under the amended 2005 supply agreement. The disagreement related to the 2013 warranty replacement activity includes approximately 170,000 ties where the Company provided detailed documentation supporting our position with reason codes that detail why these ties are not eligible for a warranty claim.</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late November 2013, the Company received notice from UPRR asserting a material breach of the amended 2005 supply agreement. UPRR’s notice asserted that the failure to honor its claims for warranty ties in these subdivisions was a material breach. Following receipt of this notice, the Company provided information to UPRR to refute UPRR’s claim of breach and included the reconciliation of warranty claims supported by substantial findings from the Company’s track observation team, all within the 90 day cure period. The Company also proposed further discussions to reach agreement on reconciliation for 2013 replacement activities and future replacement activities and a recommended process that will ensure future replacement activities are done with appropriate documentation and per the terms of the amended 2005 supply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During the first quarter of 2014, the Company further responded within the 90 day cure period to UPRR’s claim and presented a reconciliation for the subdivisions at issue. This proposed reconciliation was based on empirical data and visual observation from Company employees that were present during the replacement process for a substantial majority of the concrete ties replaced. The Company spent considerable time documenting facts related to concrete tie condition and track condition to assess whether the ties replaced met the criteria to be eligible for replacement under the terms of the amended 2005 supply agreement.</w:t>
      </w:r>
    </w:p>
    <w:p>
      <w:pPr>
        <w:spacing w:after="0" w:line="6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2014, the Company increased its accrual by an additional $8,766 based on revised estimates of ties to be replaced based upon scientific testing and other analysis, adjusted for ties already provided to UPRR. The Company continued to work with UPRR to identify, replace, and reconcile defective ties related to the warranty claim in accordance with the amended 2005 supply agreement. The Company and UPRR met during the third quarter of 2014 to evaluate each other’s position in an effort to work towards agreement on the unreconciled 2013 and 2014 replacement activity as well as the standards and practices to be implemented for future replacement activity and warranty tie replacement.</w:t>
      </w:r>
    </w:p>
    <w:p>
      <w:pPr>
        <w:spacing w:after="0" w:line="3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November and December of 2014, the Company received additional notices from UPRR asserting that ties manufactured in 2000 were defective and again asserting material breaches of the amended 2005 supply agreement relating to warranty tie replacements as well as certain new ties provided to UPRR being out of specification.</w:t>
      </w:r>
    </w:p>
    <w:p>
      <w:pPr>
        <w:spacing w:after="0" w:line="59"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of December 31, 2014, the Company and UPRR had not been able to reconcile the disagreement related to the 2013 and 2014 warranty replacement activity. The disagreement relating to the 2014 warranty replacement activity includes approximately 90,100 ties that the Company believes are not warranty-eligible.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w:t>
      </w:r>
    </w:p>
    <w:p>
      <w:pPr>
        <w:spacing w:after="0" w:line="9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 January 23, 2015, UPRR filed a Complaint and Demand for Jury Trial in the District Court for Douglas County, NE against the Company and its subsidiary, CXT, asserting, among other matters, that the Company breached its express warranty, breached an implied covenant of good faith and fair dealing, anticipatorily repudiated its warranty obligations, and that UPRR’s exclusive and limited remedy provisions in the supply agreement have failed of their essential purpose which entitles UPRR to recover all incidental and consequential damages. The Complaint seeks to cancel all duties of UPRR under the contract, to adjudge the Company as having no remaining rights under the contracts, and to recover damages in an amount to be determined at trial for the value of unfulfilled warranty replacement ties and ties likely to become warranty eligible, for costs of cover for replacement ties, and for various incidental and consequential damages. The amended 2005 supply agreement provides that UPRR’s exclusive remedy is to receive a replacement tie that meets the contract specifications for each tie that failed to meet the contract specifications or otherwise contained a material defect provided that the Company receives written notice of such failure or defect within 15 years after that tie was produced. The amended 2005 supply agreement provides that the Company’s warranty does not apply to ties that</w:t>
      </w:r>
    </w:p>
    <w:p>
      <w:pPr>
        <w:spacing w:after="0" w:line="4" w:lineRule="exact"/>
        <w:rPr>
          <w:sz w:val="20"/>
          <w:szCs w:val="20"/>
          <w:color w:val="auto"/>
        </w:rPr>
      </w:pPr>
    </w:p>
    <w:p>
      <w:pPr>
        <w:ind w:right="60" w:firstLine="8"/>
        <w:spacing w:after="0" w:line="287" w:lineRule="auto"/>
        <w:tabs>
          <w:tab w:leader="none" w:pos="2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have been repaired or altered without the Company’s written consent in such a way as to affect the stability or reliability thereof, (b) have been subject to misuse, negligence, or accident, or (c) have been improperly maintained or used contrary to the specifications for which such ties were produced. The amended 2005 supply agreement also continues to provide that the Company’s warranty is in lieu of all other express or implied warranties and that neither party shall be subject to or liable for any incidental or consequential damages to the other party. The dispute is largely based on (1) claims submitted that the Company believes are for ties claimed for warranty replacement inaccurately rated that are not the responsibility of the Company and claims that do not meet the criteria of a warranty replacement and (2) UPRR’s assertion, which the Company vigorously disputes, that UPRR in future years will be entitled to warranty replacement ties for virtually all of the Grand Island ties. Many thousands of Grand Island ties have been performing in track for over ten years. In addition, a significant amount of Grand Island ties were rated by both parties in the excellent category of the rating system.</w:t>
      </w:r>
    </w:p>
    <w:p>
      <w:pPr>
        <w:spacing w:after="0" w:line="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2015, UPRR delivered an additional notice alleging defects in ties produced in the Company’s Tucson and Spokane locations and other claimed material breaches which the Company contends are unfounded. The Company again responded to UPRR that it was not in material breach of the amended 2005 supply agreement relating to warranty tie replacements and that new ties being manufactured complied with the specifications provided by UPRR.</w:t>
      </w:r>
    </w:p>
    <w:p>
      <w:pPr>
        <w:spacing w:after="0" w:line="2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June 16 and 17, 2015, UPRR issued formal notice of the termination of the concrete tie supply agreement as well as the termination of the lease agreement at the Tucson, AZ production facility and rejection and revocation of its prior acceptance of certain ties manufactured at the Company’s Spokane, WA production facility. Since that time, UPRR has discontinued submitting purchase orders to the Company for shipment of warranty replacement ties.</w:t>
      </w:r>
    </w:p>
    <w:p>
      <w:pPr>
        <w:spacing w:after="0" w:line="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May 29, 2015, the Company and CXT filed an Answer, Affirmative Defenses and Counterclaims in response to the Complaint, denying liability to UPRR. As a result of UPRR’s subsequent June 16-17, 2015 actions and certain related conduct, the Company on October 5, 2015 amended the pending Answer, Affirmative Defenses and Counterclaims to add, among other things, assertions that UPRR’s conduct in question was wrongful and unjustified and constituted additional grounds for the affirmative defenses to UPRR’s claims and also for the Company’s counterclaims. By Scheduling Order dated September 3, 2015, a December 30, 2016 deadline for the completion of fact discovery has been established and trial may proceed at some future date after March 3, 2017, although no trial date has been set. The parties are currently conducting discovery.</w:t>
      </w:r>
    </w:p>
    <w:p>
      <w:pPr>
        <w:spacing w:after="0" w:line="3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continues to engage in discussions in an effort to resolve this matter. However, we cannot predict that such discussions will be successful, or that the results of the litigation with UPRR, or any settlement or judgment amounts will be within the range of our estimated accruals for loss contingencies. Future potential costs pertaining to UPRR’s claims and the outcome of the UPRR litigation could result in a material adverse effect on our results of operations, financial condition, and cash flows.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Legal Matters</w:t>
      </w:r>
    </w:p>
    <w:p>
      <w:pPr>
        <w:spacing w:after="0" w:line="9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The Company is also subject to other legal proceedings and claims that arise in the ordinary course of its business. In the opinion of management, the amount of ultimate liability with respect to these actions will not materially affect the financial condition or liquidity of the Company. The resolution, in any reporting period, of one or more of these matters could have a material effect on the Company’s results of operations for that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Matters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is subject to national, state, foreign, and/or local laws and regulations relating to the protection of the environment. The Company is monitoring its potential environmental exposure related to current and former facilities. The Company’s efforts to comply with environmental regulations may have an adverse effect on its future earnings. In the opinion of management, compliance with the present environmental protection laws will not have a material adverse effect on the financial condition, results of operations, cash flows, competitive position, or capital expenditures of the Company.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undiscounted environmental obligation: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96"/>
              </w:rPr>
              <w:t>Environmental liability</w:t>
            </w: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2014</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Additions to environmental obligations</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obligations utilized</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223"/>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Acquisitions</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w:t>
            </w: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other income for the three years ended December 31, 2015, 2014, and 2013.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4"/>
                <w:szCs w:val="14"/>
                <w:color w:val="auto"/>
              </w:rPr>
            </w:pPr>
          </w:p>
        </w:tc>
      </w:tr>
      <w:tr>
        <w:trPr>
          <w:trHeight w:val="210"/>
        </w:trPr>
        <w:tc>
          <w:tcPr>
            <w:tcW w:w="8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 on Tucson, AZ asset sale(a)</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$(2,279)</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Foreign currency gains</w:t>
            </w:r>
          </w:p>
        </w:tc>
        <w:tc>
          <w:tcPr>
            <w:tcW w:w="1120" w:type="dxa"/>
            <w:vAlign w:val="bottom"/>
            <w:gridSpan w:val="4"/>
          </w:tcPr>
          <w:p>
            <w:pPr>
              <w:jc w:val="right"/>
              <w:ind w:right="500"/>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(422)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Remeasurement gain on equity method investment(b)</w:t>
            </w:r>
          </w:p>
        </w:tc>
        <w:tc>
          <w:tcPr>
            <w:tcW w:w="11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Legal settlement gain(c)</w:t>
            </w:r>
          </w:p>
        </w:tc>
        <w:tc>
          <w:tcPr>
            <w:tcW w:w="1120" w:type="dxa"/>
            <w:vAlign w:val="bottom"/>
            <w:gridSpan w:val="4"/>
          </w:tcPr>
          <w:p>
            <w:pPr>
              <w:jc w:val="right"/>
              <w:ind w:right="50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8660" w:type="dxa"/>
            <w:vAlign w:val="bottom"/>
          </w:tcPr>
          <w:p>
            <w:pPr>
              <w:spacing w:after="0"/>
              <w:rPr>
                <w:sz w:val="19"/>
                <w:szCs w:val="19"/>
                <w:color w:val="auto"/>
              </w:rPr>
            </w:pPr>
          </w:p>
        </w:tc>
        <w:tc>
          <w:tcPr>
            <w:tcW w:w="1120" w:type="dxa"/>
            <w:vAlign w:val="bottom"/>
            <w:gridSpan w:val="4"/>
          </w:tcPr>
          <w:p>
            <w:pPr>
              <w:jc w:val="right"/>
              <w:ind w:right="5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(5,585)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(678)</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(1,077)</w:t>
            </w:r>
          </w:p>
        </w:tc>
      </w:tr>
      <w:tr>
        <w:trPr>
          <w:trHeight w:val="20"/>
        </w:trPr>
        <w:tc>
          <w:tcPr>
            <w:tcW w:w="8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180" w:hanging="332"/>
        <w:spacing w:after="0" w:line="25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December 23, 2015, the Company sold certain assets related to the former Tucson, AZ precast concrete tie facility for $2,750 resulting in a pre-tax gain on sale of $2,279.</w:t>
      </w:r>
    </w:p>
    <w:p>
      <w:pPr>
        <w:ind w:left="340" w:right="120" w:hanging="332"/>
        <w:spacing w:after="0" w:line="28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November 23, 2015, the Company acquired the remaining 75% of shares of Tew Plus resulting in a gain of $580, which is recorded within other income as of December 31, 2015. The gain is included in equity loss (income) and remeasurement gain within the Consolidated Statements of Cash Flows.</w:t>
      </w:r>
    </w:p>
    <w:p>
      <w:pPr>
        <w:spacing w:after="0" w:line="1" w:lineRule="exact"/>
        <w:rPr>
          <w:rFonts w:ascii="Arial" w:cs="Arial" w:eastAsia="Arial" w:hAnsi="Arial"/>
          <w:sz w:val="16"/>
          <w:szCs w:val="16"/>
          <w:color w:val="auto"/>
        </w:rPr>
      </w:pPr>
    </w:p>
    <w:p>
      <w:pPr>
        <w:ind w:left="340" w:right="80" w:hanging="332"/>
        <w:spacing w:after="0" w:line="26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fourth quarter the Company received $460 from the Steel Antitrust Settlement Fund related to a claim regarding steel purchased by the Company between 2005 and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more fully described in Note 3, “Acquisitions,” the Company acquired Tew, Tew Plus, and IOS during 2015 and Carr, FWO, and Chemtec during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subsidiary’s operations are included from the acquisition dates.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financial information for the years ended December 31, 2015 and 2014 is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First</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6"/>
              </w:rPr>
              <w:t>Second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5"/>
              <w:spacing w:after="0" w:line="129" w:lineRule="exact"/>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1"/>
                <w:szCs w:val="11"/>
                <w:color w:val="auto"/>
              </w:rPr>
            </w:pPr>
          </w:p>
        </w:tc>
      </w:tr>
      <w:tr>
        <w:trPr>
          <w:trHeight w:val="161"/>
        </w:trPr>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90"/>
              </w:rPr>
              <w:t>Quarter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Quarter</w:t>
            </w:r>
          </w:p>
        </w:tc>
        <w:tc>
          <w:tcPr>
            <w:tcW w:w="660" w:type="dxa"/>
            <w:vAlign w:val="bottom"/>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Quarter(1)</w:t>
            </w:r>
          </w:p>
        </w:tc>
        <w:tc>
          <w:tcPr>
            <w:tcW w:w="24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Quarter(2)</w:t>
            </w: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137,907</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171,419</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176,059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Gross profit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30,653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36,038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29,872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(57,422)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(5.60)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Dividends paid per common share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Differences between the sum of quarterly results and Consolidated Statement of Operations due to rounding.</w:t>
      </w:r>
    </w:p>
    <w:p>
      <w:pPr>
        <w:spacing w:after="0" w:line="9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Third quarter 2015 includes $80,337 ($63,887 net of tax) impairment of goodwill related to the IOS and Chemtec reporting units.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Fourth quarter 2015 includes $2,279 pre-tax gain on sale of Tucson, AZ concrete tie facility.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First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79"/>
              </w:rPr>
              <w:t>Second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1"/>
                <w:szCs w:val="11"/>
                <w:color w:val="auto"/>
              </w:rPr>
            </w:pPr>
          </w:p>
        </w:tc>
        <w:tc>
          <w:tcPr>
            <w:tcW w:w="620" w:type="dxa"/>
            <w:vAlign w:val="bottom"/>
          </w:tcPr>
          <w:p>
            <w:pPr>
              <w:jc w:val="center"/>
              <w:ind w:right="55"/>
              <w:spacing w:after="0" w:line="129" w:lineRule="exact"/>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1"/>
                <w:szCs w:val="11"/>
                <w:color w:val="auto"/>
              </w:rPr>
            </w:pPr>
          </w:p>
        </w:tc>
      </w:tr>
      <w:tr>
        <w:trPr>
          <w:trHeight w:val="16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Quarter(1)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Quarter</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Quarter(2)</w:t>
            </w:r>
          </w:p>
        </w:tc>
      </w:tr>
      <w:tr>
        <w:trPr>
          <w:trHeight w:val="210"/>
        </w:trPr>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111,414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166,832</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167,797</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161,149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24,127</w:t>
            </w: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30,700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35,159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31,605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0.89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Dividends paid per common share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0.03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bl>
    <w:p>
      <w:pPr>
        <w:spacing w:after="0" w:line="6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Second quarter 2014 includes a $4,000 warranty charge related to UPRR warranty claim.</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Fourth quarter 2014 includes a $4,766 warranty charge related to UPRR warranty claim.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 13a-15(e) under the Securities and Exchange Act of 1934, as amended (“the Exchange Act”)) as of the end of the period covered by this report. Based on that evaluation, the Chief Executive Officer and Chief Financial Officer concluded that the Company’s disclosure controls and procedures were effective at the end of the period covered by this report.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management of L.B. Foster Company is responsible for establishing and maintaining adequate internal control over financial reporting, as such term is defined in Exchange Act Rule 13a-15(f). L.B. Foster Company’s internal control system is designed to provide reasonable assurance to the Company’s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Accordingly, even effective controls can provide only reasonable assurance with respect to financial statement preparation and presentation. There were no significant changes in internal control over financial reporting (as defined in Rule 13a-15(f) under the Exchange Act) that occurred during the fourth quarter of 2015 that have materially affected, or are reasonably likely to materially affect, the Company’s internal control over financial reporting.</w:t>
      </w:r>
    </w:p>
    <w:p>
      <w:pPr>
        <w:spacing w:after="0" w:line="3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L.B. Foster Company’s management assessed the effectiveness of the Company’s internal control over financial reporting as of December 31, 2015. In making this assessment, management used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 (2013 Framework)</w:t>
      </w:r>
      <w:r>
        <w:rPr>
          <w:rFonts w:ascii="Arial" w:cs="Arial" w:eastAsia="Arial" w:hAnsi="Arial"/>
          <w:sz w:val="18"/>
          <w:szCs w:val="18"/>
          <w:color w:val="auto"/>
        </w:rPr>
        <w:t>. Based on this assessment, management concluded that the Company maintained effective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at December 31, 2015.</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SEC’s general guidance permits the exclusion of an assessment of the effectiveness of a registrant’s internal control over financial reporting for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acquired business during the first year following such acquisition, if among other circumstances and factors there is not adequate time between the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and the date of assessment. As previously discussed in Note 3, “Acquisitions,” of the consolidated financial statements included in this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10-K, L.B. Foster Company completed the acquisition of IOS Holdings, Inc. (“IOS”) on March 13, 2015 and Tew Plus, LTD (“Tew Plus”)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November 23, 2015. These acquired businesses constituted approximately $110.2 million of the Company’s consolidated assets at December 31, 2015 and $37.2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of the Company’s consolidated sales for the year ended December 31, 2015. In addition, these acquired businesses contributed $5.3 million in pre-tax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to the Company (which excludes goodwill impairment charges of $69.9 million related to IOS) as compared to its consolidated pre-tax loss of $44.4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year ended December 31, 2015. Management’s assessment and conclusion on the effectiveness of the Company’s disclosure controls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procedures and internal control over financial reporting at December 31, 2015 excluded an assessment of the internal control over financial reporting of the assets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businesses acquired in the IOS and Tew Plus acquisitions.</w:t>
      </w:r>
    </w:p>
    <w:p>
      <w:pPr>
        <w:spacing w:after="0" w:line="8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Ernst &amp; Young LLP, the independent registered public accounting firm that also audited the Company’s consolidated financial statements has issued an attestation report on the Company’s internal control over financial reporting. Ernst &amp; Young’s attestation report on the Company’s internal control over financial reporting appears in Part II, Item 8 of this Annual Report on Form 10-K and is incorporated herein by reference.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500" w:firstLine="3052"/>
        <w:spacing w:after="0" w:line="391"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The Board of Directors and Stockholders L.B. Foster Company and Subsidiaries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L.B. Foster Company and Subsidiaries’ internal control over financial reporting as of December 31, 2015, based on criteria established in Internal Control—Integrated Framework issued by the Committee of Sponsoring Organizations of the Treadway Commission (2013 framework) (the COSO criteria). L.B. Foster Company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internal control over financial reporting did not include the internal controls of IOS Holdings, Inc. (IOS) and Tew Plus, LTD (Tew Plus),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included in the 2015 consolidated financial statements of L.B. Foster Company and Subsidiaries and constituted approximately $110.2 million of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assets as of December 31, 2015 and $37.2 million of consolidated sales for the year then ended. In addition, these acquired businesses contributed $5.3 million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pre-tax losses to the Company (which excludes goodwill impairment charges of $69.9 million related to IOS) as compared to its consolidated pre-tax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$44.4 million for the year ended December 31, 2015. Our audit of internal control over financial reporting of L.B. Foster Company and Subsidiaries also did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 an evaluation of the internal control over financial reporting of IOS and Tew Plus.</w:t>
      </w:r>
    </w:p>
    <w:p>
      <w:pPr>
        <w:spacing w:after="0" w:line="8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our opinion, L. B. Foster Company and Subsidiaries maintained, in all material respects, effective internal control over financial reporting as of December 31, 2015, based on the COSO criteria.</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L.B. Foster Company and Subsidiaries, as of December 31, 2015 and 2014, and the related consolidated statements of operations, comprehensive income, stockholders’ equity and cash flows for each of the three years in the period ended December 31, 2015 and our report dated March 1, 2016 expressed an unqualified opinion thereon.</w:t>
      </w:r>
    </w:p>
    <w:p>
      <w:pPr>
        <w:spacing w:after="0" w:line="62"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i w:val="1"/>
          <w:iCs w:val="1"/>
          <w:color w:val="auto"/>
        </w:rPr>
        <w:t>DIRECTORS, EXECUTIVE OFFICERS, AND CORPORATE GOVERNANCE</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information required by this Item regarding the directors of the Company is incorporated herein by reference to the information included in the Company’s proxy statement for the 2016 annual meeting of stockholders (the “Proxy Statement”) under the caption “Election of Directors.”</w:t>
      </w:r>
    </w:p>
    <w:p>
      <w:pPr>
        <w:spacing w:after="0" w:line="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required by this Item regarding the executive officers of the Company is set forth in Part I of this Annual Report on Form 10-K under the caption “Executive Officers of the Registrant” and is incorporated herein by reference.</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information required by this Item regarding compliance with Section 16(a) of the Securities Exchange Act of 1934 is incorporated herein by reference to the information included in the Proxy Statement under the caption “Section 16(a) Beneficial Reporting Compliance.”</w:t>
      </w:r>
    </w:p>
    <w:p>
      <w:pPr>
        <w:spacing w:after="0" w:line="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information required by this Item regarding our Code of Ethics is set forth in Part I of this Annual Report on Form 10-K under the caption “Code of Ethics” and is incorporated herein by reference.</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information required by this Item regarding our audit committee and the audit committee financial expert(s) is incorporated herein by reference to the information included in the Proxy Statement under the caption “Corporate Governance—Board Committees—Audit Committee.”</w:t>
      </w:r>
    </w:p>
    <w:p>
      <w:pPr>
        <w:spacing w:after="0" w:line="1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EXECUTIVE COMPENSATION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information required by this Item regarding executive compensation is incorporated herein by reference to the information included in the Proxy Statement under the captions “Director Compensation—2015,” “Executive Compensation,” “Summary Compensation Table (2015, 2014, and 2013),” “Grants of Plan-Based Awards in 2015,” “Outstanding Equity Awards At 2015 Fiscal Year-End,” “2015 Options Exercises and Stock Vested Table,” “2015 Nonqualified Deferred Compensation,” “Change-In-Control,” “Compensation Committee Interlocks and Insider Participation,” and “Compensation Committee Report.”</w:t>
      </w:r>
    </w:p>
    <w:p>
      <w:pPr>
        <w:spacing w:after="0" w:line="14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information required by this Item regarding the Company’s equity compensation plans is set forth in Part II, Item 5 of this Annual Report on Form 10-K under the caption “Securities Authorized for Issuance Under Equity Compensation Plans” and is incorporated herein by reference.</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regarding the beneficial ownership of the Company is incorporated herein by reference to the information included in the Proxy Statement under the caption “Stock Ownership.”</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i w:val="1"/>
          <w:iCs w:val="1"/>
          <w:color w:val="auto"/>
        </w:rPr>
        <w:t>CERTAIN RELATIONSHIPS AND RELATED TRANSACTIONS, AND DIRECTOR INDEPENDENCE</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by this Item regarding transactions with related persons is incorporated herein by reference to the information included in the Proxy Statement under the caption “Corporate Governance—Transactions with Related Parties.”</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required by this Item regarding director independence is incorporated herein by reference to information included in the Proxy Statement under the caption “Corporate Governance—The Board and Board Meetings.”</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PRINCIPAL ACCOUNTANT FEES AND SERVICES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information required by this Item regarding principal accountant fees and services is incorporated herein by reference to information included in the Proxy Statement under the caption “Independent Registered Public Accountants’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i w:val="1"/>
          <w:iCs w:val="1"/>
          <w:color w:val="auto"/>
        </w:rPr>
        <w:t>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Reports of Independent Registered Public Accounting Firm, consolidated financial statements, and accompanying notes are included 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8 of this Report: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Consolidated Balance Sheets as of December 31,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Consolidated Statements of Comprehensive Income for the Years Ended December 31, 2015, 2014, and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Consolidated Statements of Stockholders’ Equity for the Years Ended December 31, 2015, 2014, and 2013.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5"/>
          <w:szCs w:val="15"/>
          <w:i w:val="1"/>
          <w:iCs w:val="1"/>
          <w:color w:val="auto"/>
        </w:rPr>
        <w:t>Financial Statement Schedule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Schedules for the Years Ended December 31, 2015, 2014, and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II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schedules are omitted because of the absence of conditions upon which they are required.</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i w:val="1"/>
          <w:iCs w:val="1"/>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Index to Exhibits immediately following the signature page are filed as part of this Annual Report on Form 10-K.</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240" w:top="459" w:right="6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L. B. FOSTER COMPANY AND SUBSIDIARIES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Balance at</w:t>
            </w:r>
          </w:p>
        </w:tc>
        <w:tc>
          <w:tcPr>
            <w:tcW w:w="4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400" w:type="dxa"/>
            <w:vAlign w:val="bottom"/>
          </w:tcPr>
          <w:p>
            <w:pPr>
              <w:spacing w:after="0"/>
              <w:rPr>
                <w:sz w:val="12"/>
                <w:szCs w:val="12"/>
                <w:color w:val="auto"/>
              </w:rPr>
            </w:pPr>
          </w:p>
        </w:tc>
        <w:tc>
          <w:tcPr>
            <w:tcW w:w="14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Costs and</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40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Deductions (1)</w:t>
            </w:r>
          </w:p>
        </w:tc>
        <w:tc>
          <w:tcPr>
            <w:tcW w:w="7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of Year</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Deducted from assets to which they apply: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17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1,113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8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2014</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Deducted from assets to which they apply: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1780" w:type="dxa"/>
            <w:vAlign w:val="bottom"/>
            <w:gridSpan w:val="2"/>
          </w:tcPr>
          <w:p>
            <w:pPr>
              <w:ind w:left="168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1,099</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462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525</w:t>
            </w:r>
          </w:p>
        </w:tc>
        <w:tc>
          <w:tcPr>
            <w:tcW w:w="1280" w:type="dxa"/>
            <w:vAlign w:val="bottom"/>
            <w:gridSpan w:val="2"/>
          </w:tcPr>
          <w:p>
            <w:pPr>
              <w:jc w:val="center"/>
              <w:ind w:left="6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Deducted from assets to which they apply: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17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899</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8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(1)  Notes and accounts receivable written off as uncollectible.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L.B. FOSTER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940" w:val="left"/>
          <w:tab w:leader="none" w:pos="6380" w:val="left"/>
          <w:tab w:leader="none" w:pos="6740" w:val="left"/>
        </w:tabs>
        <w:rPr>
          <w:sz w:val="20"/>
          <w:szCs w:val="20"/>
          <w:color w:val="auto"/>
        </w:rPr>
      </w:pPr>
      <w:r>
        <w:rPr>
          <w:rFonts w:ascii="Arial" w:cs="Arial" w:eastAsia="Arial" w:hAnsi="Arial"/>
          <w:sz w:val="18"/>
          <w:szCs w:val="18"/>
          <w:color w:val="auto"/>
        </w:rPr>
        <w:t>Date: March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w:t>
      </w:r>
      <w:r>
        <w:rPr>
          <w:sz w:val="20"/>
          <w:szCs w:val="20"/>
          <w:color w:val="auto"/>
        </w:rPr>
        <w:tab/>
      </w:r>
      <w:r>
        <w:rPr>
          <w:rFonts w:ascii="Arial" w:cs="Arial" w:eastAsia="Arial" w:hAnsi="Arial"/>
          <w:sz w:val="15"/>
          <w:szCs w:val="15"/>
          <w:u w:val="single" w:color="auto"/>
          <w:color w:val="auto"/>
        </w:rPr>
        <w:t>Robert P.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(Robert P. Bauer,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8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7" w:lineRule="exact"/>
        <w:rPr>
          <w:sz w:val="20"/>
          <w:szCs w:val="20"/>
          <w:color w:val="auto"/>
        </w:rPr>
      </w:pPr>
    </w:p>
    <w:p>
      <w:pPr>
        <w:ind w:left="2100"/>
        <w:spacing w:after="0"/>
        <w:tabs>
          <w:tab w:leader="none" w:pos="6280" w:val="left"/>
          <w:tab w:leader="none" w:pos="100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Position</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420"/>
          </w:cols>
          <w:pgMar w:left="240" w:top="459" w:right="23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Lee B. Foster II</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(Lee B. Foster II)</w:t>
            </w:r>
          </w:p>
        </w:tc>
      </w:tr>
      <w:tr>
        <w:trPr>
          <w:trHeight w:val="37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Robert P. Bauer</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(Robert P. Bauer)</w:t>
            </w:r>
          </w:p>
        </w:tc>
      </w:tr>
      <w:tr>
        <w:trPr>
          <w:trHeight w:val="37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Dirk Jungé</w:t>
            </w:r>
          </w:p>
        </w:tc>
      </w:tr>
      <w:tr>
        <w:trPr>
          <w:trHeight w:val="184"/>
        </w:trPr>
        <w:tc>
          <w:tcPr>
            <w:tcW w:w="500" w:type="dxa"/>
            <w:vAlign w:val="bottom"/>
          </w:tcPr>
          <w:p>
            <w:pPr>
              <w:spacing w:after="0"/>
              <w:rPr>
                <w:sz w:val="15"/>
                <w:szCs w:val="15"/>
                <w:color w:val="auto"/>
              </w:rPr>
            </w:pPr>
          </w:p>
        </w:tc>
        <w:tc>
          <w:tcPr>
            <w:tcW w:w="3540" w:type="dxa"/>
            <w:vAlign w:val="bottom"/>
            <w:gridSpan w:val="4"/>
          </w:tcPr>
          <w:p>
            <w:pPr>
              <w:spacing w:after="0" w:line="183" w:lineRule="exact"/>
              <w:rPr>
                <w:sz w:val="20"/>
                <w:szCs w:val="20"/>
                <w:color w:val="auto"/>
              </w:rPr>
            </w:pPr>
            <w:r>
              <w:rPr>
                <w:rFonts w:ascii="Arial" w:cs="Arial" w:eastAsia="Arial" w:hAnsi="Arial"/>
                <w:sz w:val="18"/>
                <w:szCs w:val="18"/>
                <w:color w:val="auto"/>
              </w:rPr>
              <w:t>(Dirk Jungé)</w:t>
            </w: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9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G. Thomas McKane</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(G. Thomas McKane)</w:t>
            </w:r>
          </w:p>
        </w:tc>
      </w:tr>
      <w:tr>
        <w:trPr>
          <w:trHeight w:val="37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Diane B. Owen</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(Diane B. Owen)</w:t>
            </w:r>
          </w:p>
        </w:tc>
      </w:tr>
      <w:tr>
        <w:trPr>
          <w:trHeight w:val="37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Robert S. Purgason</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(Robert S. Purgason)</w:t>
            </w:r>
          </w:p>
        </w:tc>
      </w:tr>
      <w:tr>
        <w:trPr>
          <w:trHeight w:val="37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William H. Rackoff</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(William H. Rackoff)</w:t>
            </w:r>
          </w:p>
        </w:tc>
      </w:tr>
      <w:tr>
        <w:trPr>
          <w:trHeight w:val="37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Suzanne B. Rowland</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(Suzanne B. Rowland)</w:t>
            </w:r>
          </w:p>
        </w:tc>
      </w:tr>
      <w:tr>
        <w:trPr>
          <w:trHeight w:val="37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Bradley S. Vizi</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(Bradley S. Vizi)</w:t>
            </w:r>
          </w:p>
        </w:tc>
      </w:tr>
      <w:tr>
        <w:trPr>
          <w:trHeight w:val="43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David J. Russo</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(David J. Russo)</w:t>
            </w:r>
          </w:p>
        </w:tc>
      </w:tr>
      <w:tr>
        <w:trPr>
          <w:trHeight w:val="60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Christopher T. Scanlon</w:t>
            </w:r>
          </w:p>
        </w:tc>
      </w:tr>
      <w:tr>
        <w:trPr>
          <w:trHeight w:val="222"/>
        </w:trPr>
        <w:tc>
          <w:tcPr>
            <w:tcW w:w="50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(Christopher T. Scanlon)</w:t>
            </w:r>
          </w:p>
        </w:tc>
      </w:tr>
    </w:tbl>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89"/>
              </w:rPr>
              <w:t>Chairman of the Board and Director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615"/>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89"/>
              </w:rPr>
              <w:t>President, Chief Executive Officer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222"/>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and Director</w:t>
            </w:r>
          </w:p>
        </w:tc>
        <w:tc>
          <w:tcPr>
            <w:tcW w:w="1900" w:type="dxa"/>
            <w:vAlign w:val="bottom"/>
          </w:tcPr>
          <w:p>
            <w:pPr>
              <w:spacing w:after="0"/>
              <w:rPr>
                <w:sz w:val="19"/>
                <w:szCs w:val="19"/>
                <w:color w:val="auto"/>
              </w:rPr>
            </w:pPr>
          </w:p>
        </w:tc>
      </w:tr>
      <w:tr>
        <w:trPr>
          <w:trHeight w:val="405"/>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Director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621"/>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Director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621"/>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Director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621"/>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Director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621"/>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Director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621"/>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Director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621"/>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Director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669"/>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88"/>
              </w:rPr>
              <w:t>Senior Vice President,</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216"/>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Chief Financial Officer</w:t>
            </w:r>
          </w:p>
        </w:tc>
        <w:tc>
          <w:tcPr>
            <w:tcW w:w="1900" w:type="dxa"/>
            <w:vAlign w:val="bottom"/>
          </w:tcPr>
          <w:p>
            <w:pPr>
              <w:spacing w:after="0"/>
              <w:rPr>
                <w:sz w:val="18"/>
                <w:szCs w:val="18"/>
                <w:color w:val="auto"/>
              </w:rPr>
            </w:pPr>
          </w:p>
        </w:tc>
      </w:tr>
      <w:tr>
        <w:trPr>
          <w:trHeight w:val="222"/>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86"/>
              </w:rPr>
              <w:t>and Treasurer</w:t>
            </w:r>
          </w:p>
        </w:tc>
        <w:tc>
          <w:tcPr>
            <w:tcW w:w="1900" w:type="dxa"/>
            <w:vAlign w:val="bottom"/>
          </w:tcPr>
          <w:p>
            <w:pPr>
              <w:spacing w:after="0"/>
              <w:rPr>
                <w:sz w:val="19"/>
                <w:szCs w:val="19"/>
                <w:color w:val="auto"/>
              </w:rPr>
            </w:pPr>
          </w:p>
        </w:tc>
      </w:tr>
      <w:tr>
        <w:trPr>
          <w:trHeight w:val="419"/>
        </w:trPr>
        <w:tc>
          <w:tcPr>
            <w:tcW w:w="3740" w:type="dxa"/>
            <w:vAlign w:val="bottom"/>
          </w:tcPr>
          <w:p>
            <w:pPr>
              <w:jc w:val="center"/>
              <w:ind w:right="792"/>
              <w:spacing w:after="0"/>
              <w:rPr>
                <w:sz w:val="20"/>
                <w:szCs w:val="20"/>
                <w:color w:val="auto"/>
              </w:rPr>
            </w:pPr>
            <w:r>
              <w:rPr>
                <w:rFonts w:ascii="Arial" w:cs="Arial" w:eastAsia="Arial" w:hAnsi="Arial"/>
                <w:sz w:val="18"/>
                <w:szCs w:val="18"/>
                <w:color w:val="auto"/>
                <w:w w:val="91"/>
              </w:rPr>
              <w:t>Controller and Chief Accounting Officer</w:t>
            </w:r>
          </w:p>
        </w:tc>
        <w:tc>
          <w:tcPr>
            <w:tcW w:w="1900" w:type="dxa"/>
            <w:vAlign w:val="bottom"/>
          </w:tcPr>
          <w:p>
            <w:pPr>
              <w:ind w:left="880"/>
              <w:spacing w:after="0"/>
              <w:rPr>
                <w:sz w:val="20"/>
                <w:szCs w:val="20"/>
                <w:color w:val="auto"/>
              </w:rPr>
            </w:pPr>
            <w:r>
              <w:rPr>
                <w:rFonts w:ascii="Arial" w:cs="Arial" w:eastAsia="Arial" w:hAnsi="Arial"/>
                <w:sz w:val="18"/>
                <w:szCs w:val="18"/>
                <w:color w:val="auto"/>
                <w:w w:val="86"/>
              </w:rPr>
              <w:t>March 1, 2016</w:t>
            </w:r>
          </w:p>
        </w:tc>
      </w:tr>
      <w:tr>
        <w:trPr>
          <w:trHeight w:val="581"/>
        </w:trPr>
        <w:tc>
          <w:tcPr>
            <w:tcW w:w="3740" w:type="dxa"/>
            <w:vAlign w:val="bottom"/>
          </w:tcPr>
          <w:p>
            <w:pPr>
              <w:jc w:val="right"/>
              <w:ind w:right="2952"/>
              <w:spacing w:after="0"/>
              <w:rPr>
                <w:sz w:val="20"/>
                <w:szCs w:val="20"/>
                <w:color w:val="auto"/>
              </w:rPr>
            </w:pPr>
            <w:r>
              <w:rPr>
                <w:rFonts w:ascii="Arial" w:cs="Arial" w:eastAsia="Arial" w:hAnsi="Arial"/>
                <w:sz w:val="18"/>
                <w:szCs w:val="18"/>
                <w:color w:val="auto"/>
              </w:rPr>
              <w:t>84</w:t>
            </w:r>
          </w:p>
        </w:tc>
        <w:tc>
          <w:tcPr>
            <w:tcW w:w="1900" w:type="dxa"/>
            <w:vAlign w:val="bottom"/>
          </w:tcPr>
          <w:p>
            <w:pPr>
              <w:spacing w:after="0"/>
              <w:rPr>
                <w:sz w:val="24"/>
                <w:szCs w:val="24"/>
                <w:color w:val="auto"/>
              </w:rPr>
            </w:pPr>
          </w:p>
        </w:tc>
      </w:tr>
    </w:tbl>
    <w:p>
      <w:pPr>
        <w:sectPr>
          <w:pgSz w:w="11900" w:h="16838" w:orient="portrait"/>
          <w:cols w:equalWidth="0" w:num="2">
            <w:col w:w="4380" w:space="720"/>
            <w:col w:w="632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INDEX TO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exhibits are incorporated herein by reference: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Agreement and Plan of Merger dated March 13, 2015 among IOS Holdings, Inc., L.B. Foster Company, L.B. Foster Raven Merger Company and</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IOS Holding Company LLC, solely in its capacity as the representative of IOS’s shareholders is incorporated herein by reference to Exhibit 2.1</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to the Current Report on Form 8-K/A, File No. 0-10436, filed on March 16, 2015.</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Restated Certificate of Incorporation of the Company, incorporated by reference to Exhibit 3.1 to the Company’s Quarterly Report on Form 10-Q</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 the quarter ended March 31, 2003, File No. 0-10436, filed on May 13, 2003.</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4"/>
              </w:rPr>
              <w:t>Bylaws of the Company, incorporated by reference to Exhibit 3.1 to the Company’s Quarterly Report on Form 10-Q for the quarter ended</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September 30, 2012, File No. 0-10436, filed on November 8, 2012.</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Rights Agreement, amended and restated as of November 19, 2012, between L.B. Foster Company and American Stock Transfer &amp; Trust</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Company, including the form of Rights Certificate and the Summary of Rights attached thereto, incorporated by reference to Exhibit 4.1 to the</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 No. 0-10436, filed on November 20, 2012.</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$335,000,000 Amended and Restated Credit Agreement dated March 13, 2015, between Registrant and PNC Bank, N.A., Bank of America,</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N.A., Wells Fargo Bank, N.A., Citizens Bank of Pennsylvania, and Branch Banking and Trust Company is incorporated herein by reference to</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Exhibit 10.1 to the Current Report on Form 8-K/A, File No. 0-10436, filed on March 16, 2015.</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Employment Agreement with Robert P. Bauer, dated January 18, 2012, incorporated by reference to Exhibit 10.1 to the Company’s Current</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Report on Form 8-K, File No. 0-10436, filed on January 23, 2012.</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2006 Omnibus Incentive Plan, as amended and restated October 30, 2013, incorporated by reference to Exhibit 10.4 to the Company’s Annual</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Report on Form 10-K for the year ended December 31, 2013, File No. 0-10436, filed on February 27, 2014.</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Amended Form of Restricted Stock Agreement (for grants made on or after December 23, 2011), incorporated by reference to Exhibit 10.2 to the</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 No. 0-10436, filed on December 21, 2011.</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Restricted Stock Agreement between Registrant and David J. Russo dated May 28, 2010, incorporated by reference to Exhibit 10.62 to the</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 No. 0-10436, filed on June 1, 2010.</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Retention Performance Share Unit Award Agreement between Registrant and David R. Sauder dated March 15, 2011, incorporated by reference</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to Exhibit 10.14 to the Company’s Annual Report on Form 10-K for the year ended December 31, 2011, File No. 0-10436, filed on March 15,</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2012.</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Form of Performance Share Unit Award Agreement (2013), incorporated by reference to Exhibit 10.13.2 to the Company’s Annual Report on</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10-K for the year ended December 31, 2012, File No. 0-10436, filed on March 8, 2013.</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Form of Performance Share Unit Award Agreement (2014), incorporated by reference to Exhibit 10.10.3 to the Company’s Annual Report on</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10-K for the year ended December 31, 2013, File No. 0-10436, filed on February 27, 2014</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Executive Annual Incentive Compensation Plan (as Amended and Restated), incorporated by reference to Exhibit A to the Company’s Definitive</w:t>
            </w:r>
          </w:p>
        </w:tc>
      </w:tr>
      <w:tr>
        <w:trPr>
          <w:trHeight w:val="216"/>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Proxy Statement on Schedule 14A, filed on April 12, 2013.</w:t>
            </w:r>
          </w:p>
        </w:tc>
      </w:tr>
      <w:tr>
        <w:trPr>
          <w:trHeight w:val="216"/>
        </w:trPr>
        <w:tc>
          <w:tcPr>
            <w:tcW w:w="900" w:type="dxa"/>
            <w:vAlign w:val="bottom"/>
            <w:gridSpan w:val="2"/>
          </w:tcPr>
          <w:p>
            <w:pPr>
              <w:jc w:val="right"/>
              <w:ind w:right="192"/>
              <w:spacing w:after="0"/>
              <w:rPr>
                <w:sz w:val="20"/>
                <w:szCs w:val="20"/>
                <w:color w:val="auto"/>
              </w:rPr>
            </w:pPr>
            <w:r>
              <w:rPr>
                <w:rFonts w:ascii="Arial" w:cs="Arial" w:eastAsia="Arial" w:hAnsi="Arial"/>
                <w:sz w:val="18"/>
                <w:szCs w:val="18"/>
                <w:color w:val="auto"/>
                <w:w w:val="93"/>
              </w:rPr>
              <w:t>10.10 **</w:t>
            </w: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Amended and Restated Key Employee Separation Plan, incorporated by reference to Exhibit 10.15 to the Company’s Annual Report on Form 10-</w:t>
            </w:r>
          </w:p>
        </w:tc>
      </w:tr>
      <w:tr>
        <w:trPr>
          <w:trHeight w:val="222"/>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K for the year ended December 31, 2012, File No. 0-10436, filed on March 8, 2013.</w:t>
            </w:r>
          </w:p>
        </w:tc>
      </w:tr>
      <w:tr>
        <w:trPr>
          <w:trHeight w:val="365"/>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372"/>
              <w:spacing w:after="0"/>
              <w:rPr>
                <w:sz w:val="20"/>
                <w:szCs w:val="20"/>
                <w:color w:val="auto"/>
              </w:rPr>
            </w:pPr>
            <w:r>
              <w:rPr>
                <w:rFonts w:ascii="Arial" w:cs="Arial" w:eastAsia="Arial" w:hAnsi="Arial"/>
                <w:sz w:val="18"/>
                <w:szCs w:val="18"/>
                <w:color w:val="auto"/>
              </w:rPr>
              <w:t>10.11 **</w:t>
            </w:r>
          </w:p>
        </w:tc>
        <w:tc>
          <w:tcPr>
            <w:tcW w:w="10260" w:type="dxa"/>
            <w:vAlign w:val="bottom"/>
          </w:tcPr>
          <w:p>
            <w:pPr>
              <w:ind w:left="440"/>
              <w:spacing w:after="0"/>
              <w:rPr>
                <w:sz w:val="20"/>
                <w:szCs w:val="20"/>
                <w:color w:val="auto"/>
              </w:rPr>
            </w:pPr>
            <w:r>
              <w:rPr>
                <w:rFonts w:ascii="Arial" w:cs="Arial" w:eastAsia="Arial" w:hAnsi="Arial"/>
                <w:sz w:val="18"/>
                <w:szCs w:val="18"/>
                <w:color w:val="auto"/>
                <w:w w:val="89"/>
              </w:rPr>
              <w:t>Restated Supplemental Executive Retirement Plan, incorporated by reference to Exhibit 10.1 to the Company’s Quarterly Report on Form</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10-Q for the quarter ended June 30, 2012, File No. 0-10436, filed on August 9, 2012.</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10.12 **</w:t>
            </w:r>
          </w:p>
        </w:tc>
        <w:tc>
          <w:tcPr>
            <w:tcW w:w="10260" w:type="dxa"/>
            <w:vAlign w:val="bottom"/>
          </w:tcPr>
          <w:p>
            <w:pPr>
              <w:ind w:left="440"/>
              <w:spacing w:after="0"/>
              <w:rPr>
                <w:sz w:val="20"/>
                <w:szCs w:val="20"/>
                <w:color w:val="auto"/>
              </w:rPr>
            </w:pPr>
            <w:r>
              <w:rPr>
                <w:rFonts w:ascii="Arial" w:cs="Arial" w:eastAsia="Arial" w:hAnsi="Arial"/>
                <w:sz w:val="18"/>
                <w:szCs w:val="18"/>
                <w:color w:val="auto"/>
                <w:w w:val="92"/>
              </w:rPr>
              <w:t>Medical Reimbursement Plan (MRP1) effective January 1, 2006, incorporated by reference to Exhibit 10.45 to the Company’s Annual</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Report on Form 10-K for the year ended December 31, 2010, File No. 0-10436, filed on March 16, 2011.</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10.13 **</w:t>
            </w:r>
          </w:p>
        </w:tc>
        <w:tc>
          <w:tcPr>
            <w:tcW w:w="10260" w:type="dxa"/>
            <w:vAlign w:val="bottom"/>
          </w:tcPr>
          <w:p>
            <w:pPr>
              <w:ind w:left="440"/>
              <w:spacing w:after="0"/>
              <w:rPr>
                <w:sz w:val="20"/>
                <w:szCs w:val="20"/>
                <w:color w:val="auto"/>
              </w:rPr>
            </w:pPr>
            <w:r>
              <w:rPr>
                <w:rFonts w:ascii="Arial" w:cs="Arial" w:eastAsia="Arial" w:hAnsi="Arial"/>
                <w:sz w:val="18"/>
                <w:szCs w:val="18"/>
                <w:color w:val="auto"/>
                <w:w w:val="91"/>
              </w:rPr>
              <w:t>Medical Reimbursement Plan (MRP2) effective January 1, 2006, incorporated by reference to Exhibit 10.45.1 to the Company’s Annual</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Report on Form 10-K for the year ended December 31, 2010, File No. 0-10436, filed on March 16, 2011.</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10.14 **</w:t>
            </w:r>
          </w:p>
        </w:tc>
        <w:tc>
          <w:tcPr>
            <w:tcW w:w="10260" w:type="dxa"/>
            <w:vAlign w:val="bottom"/>
          </w:tcPr>
          <w:p>
            <w:pPr>
              <w:ind w:left="440"/>
              <w:spacing w:after="0"/>
              <w:rPr>
                <w:sz w:val="20"/>
                <w:szCs w:val="20"/>
                <w:color w:val="auto"/>
              </w:rPr>
            </w:pPr>
            <w:r>
              <w:rPr>
                <w:rFonts w:ascii="Arial" w:cs="Arial" w:eastAsia="Arial" w:hAnsi="Arial"/>
                <w:sz w:val="18"/>
                <w:szCs w:val="18"/>
                <w:color w:val="auto"/>
                <w:w w:val="91"/>
              </w:rPr>
              <w:t>Amendments to MRP2, incorporated by reference to Exhibit 10.45.2 to the Company’s Annual Report on Form 10-K for the year ended</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December 31, 2010, File No. 0-10436, filed on March 16, 2011.</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10.15 **</w:t>
            </w:r>
          </w:p>
        </w:tc>
        <w:tc>
          <w:tcPr>
            <w:tcW w:w="10260" w:type="dxa"/>
            <w:vAlign w:val="bottom"/>
          </w:tcPr>
          <w:p>
            <w:pPr>
              <w:ind w:left="440"/>
              <w:spacing w:after="0"/>
              <w:rPr>
                <w:sz w:val="20"/>
                <w:szCs w:val="20"/>
                <w:color w:val="auto"/>
              </w:rPr>
            </w:pPr>
            <w:r>
              <w:rPr>
                <w:rFonts w:ascii="Arial" w:cs="Arial" w:eastAsia="Arial" w:hAnsi="Arial"/>
                <w:sz w:val="18"/>
                <w:szCs w:val="18"/>
                <w:color w:val="auto"/>
                <w:w w:val="88"/>
              </w:rPr>
              <w:t>Leased Vehicle Plan as amended and restated on September 1, 2007, incorporated by reference to Exhibit 10.46 to the Company’s Annual</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Report on Form 10-K for the year ended December 31, 2010, File No. 0-10436, filed on March 16, 2011.</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10.16 **</w:t>
            </w:r>
          </w:p>
        </w:tc>
        <w:tc>
          <w:tcPr>
            <w:tcW w:w="10260" w:type="dxa"/>
            <w:vAlign w:val="bottom"/>
          </w:tcPr>
          <w:p>
            <w:pPr>
              <w:ind w:left="440"/>
              <w:spacing w:after="0"/>
              <w:rPr>
                <w:sz w:val="20"/>
                <w:szCs w:val="20"/>
                <w:color w:val="auto"/>
              </w:rPr>
            </w:pPr>
            <w:r>
              <w:rPr>
                <w:rFonts w:ascii="Arial" w:cs="Arial" w:eastAsia="Arial" w:hAnsi="Arial"/>
                <w:sz w:val="18"/>
                <w:szCs w:val="18"/>
                <w:color w:val="auto"/>
                <w:w w:val="91"/>
              </w:rPr>
              <w:t>2014 Executive Annual Incentive Compensation Plan, incorporated by reference to Exhibit 10.1 to the Company’s Quarterly Report on</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Form 10-Q for the quarter ended March 31, 2014, File No. 0-10436, filed May 5, 2014.</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10.17 **</w:t>
            </w:r>
          </w:p>
        </w:tc>
        <w:tc>
          <w:tcPr>
            <w:tcW w:w="10260" w:type="dxa"/>
            <w:vAlign w:val="bottom"/>
          </w:tcPr>
          <w:p>
            <w:pPr>
              <w:ind w:left="440"/>
              <w:spacing w:after="0"/>
              <w:rPr>
                <w:sz w:val="20"/>
                <w:szCs w:val="20"/>
                <w:color w:val="auto"/>
              </w:rPr>
            </w:pPr>
            <w:r>
              <w:rPr>
                <w:rFonts w:ascii="Arial" w:cs="Arial" w:eastAsia="Arial" w:hAnsi="Arial"/>
                <w:sz w:val="18"/>
                <w:szCs w:val="18"/>
                <w:color w:val="auto"/>
                <w:w w:val="89"/>
              </w:rPr>
              <w:t>Form of 2014 Restricted Stock Agreement, incorporated by reference to Exhibit 10.2 to the Company’s Quarterly Report on Form 10-Q for</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the quarter ended March 31, 2014, File No. 0-10436, filed May 5, 2014.</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10.18 **</w:t>
            </w:r>
          </w:p>
        </w:tc>
        <w:tc>
          <w:tcPr>
            <w:tcW w:w="10260" w:type="dxa"/>
            <w:vAlign w:val="bottom"/>
          </w:tcPr>
          <w:p>
            <w:pPr>
              <w:ind w:left="440"/>
              <w:spacing w:after="0"/>
              <w:rPr>
                <w:sz w:val="20"/>
                <w:szCs w:val="20"/>
                <w:color w:val="auto"/>
              </w:rPr>
            </w:pPr>
            <w:r>
              <w:rPr>
                <w:rFonts w:ascii="Arial" w:cs="Arial" w:eastAsia="Arial" w:hAnsi="Arial"/>
                <w:sz w:val="18"/>
                <w:szCs w:val="18"/>
                <w:color w:val="auto"/>
                <w:w w:val="91"/>
              </w:rPr>
              <w:t>Retirement and Consulting Agreement and Non-Competition and Non-Solicitation Agreement dated June 20, 2014 between L.B. Foster</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w w:val="93"/>
              </w:rPr>
              <w:t>Company and Donald L. Foster, incorporated by reference to Exhibit 10.1 to the Company’s Current Report on Form 8-K, File No. 0-</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10436, filed on June 20, 2014.</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10.19 **</w:t>
            </w:r>
          </w:p>
        </w:tc>
        <w:tc>
          <w:tcPr>
            <w:tcW w:w="10260" w:type="dxa"/>
            <w:vAlign w:val="bottom"/>
          </w:tcPr>
          <w:p>
            <w:pPr>
              <w:ind w:left="440"/>
              <w:spacing w:after="0"/>
              <w:rPr>
                <w:sz w:val="20"/>
                <w:szCs w:val="20"/>
                <w:color w:val="auto"/>
              </w:rPr>
            </w:pPr>
            <w:r>
              <w:rPr>
                <w:rFonts w:ascii="Arial" w:cs="Arial" w:eastAsia="Arial" w:hAnsi="Arial"/>
                <w:sz w:val="18"/>
                <w:szCs w:val="18"/>
                <w:color w:val="auto"/>
                <w:w w:val="88"/>
              </w:rPr>
              <w:t>Release Agreement dated June 20, 2014 between L.B. Foster Company and Donald L. Foster, incorporated by reference to Exhibit 10.2 to</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the Company’s Current Report on Form 8-K, File No. 0-10436, filed on June 20, 2014.</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10.20 **</w:t>
            </w:r>
          </w:p>
        </w:tc>
        <w:tc>
          <w:tcPr>
            <w:tcW w:w="10260" w:type="dxa"/>
            <w:vAlign w:val="bottom"/>
          </w:tcPr>
          <w:p>
            <w:pPr>
              <w:ind w:left="440"/>
              <w:spacing w:after="0"/>
              <w:rPr>
                <w:sz w:val="20"/>
                <w:szCs w:val="20"/>
                <w:color w:val="auto"/>
              </w:rPr>
            </w:pPr>
            <w:r>
              <w:rPr>
                <w:rFonts w:ascii="Arial" w:cs="Arial" w:eastAsia="Arial" w:hAnsi="Arial"/>
                <w:sz w:val="18"/>
                <w:szCs w:val="18"/>
                <w:color w:val="auto"/>
                <w:w w:val="91"/>
              </w:rPr>
              <w:t>2015 Executive Annual Incentive Compensation Plan, incorporated by reference to Exhibit 10.2 to the Company’s Quarterly Report on</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Form 10-Q for the quarter ended March 31, 2015, filed May 6, 2015.</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10.21 **</w:t>
            </w:r>
          </w:p>
        </w:tc>
        <w:tc>
          <w:tcPr>
            <w:tcW w:w="10260" w:type="dxa"/>
            <w:vAlign w:val="bottom"/>
          </w:tcPr>
          <w:p>
            <w:pPr>
              <w:ind w:left="440"/>
              <w:spacing w:after="0"/>
              <w:rPr>
                <w:sz w:val="20"/>
                <w:szCs w:val="20"/>
                <w:color w:val="auto"/>
              </w:rPr>
            </w:pPr>
            <w:r>
              <w:rPr>
                <w:rFonts w:ascii="Arial" w:cs="Arial" w:eastAsia="Arial" w:hAnsi="Arial"/>
                <w:sz w:val="18"/>
                <w:szCs w:val="18"/>
                <w:color w:val="auto"/>
                <w:w w:val="89"/>
              </w:rPr>
              <w:t>2015 Form of Restricted Stock Agreement, incorporated by reference to Exhibit 10.3 to the Company’s Quarterly Report on Form 10-Q for</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the quarter ended March 31, 2015, filed May 6, 2015.</w:t>
            </w:r>
          </w:p>
        </w:tc>
      </w:tr>
      <w:tr>
        <w:trPr>
          <w:trHeight w:val="216"/>
        </w:trPr>
        <w:tc>
          <w:tcPr>
            <w:tcW w:w="1160" w:type="dxa"/>
            <w:vAlign w:val="bottom"/>
          </w:tcPr>
          <w:p>
            <w:pPr>
              <w:jc w:val="right"/>
              <w:ind w:right="352"/>
              <w:spacing w:after="0"/>
              <w:rPr>
                <w:sz w:val="20"/>
                <w:szCs w:val="20"/>
                <w:color w:val="auto"/>
              </w:rPr>
            </w:pPr>
            <w:r>
              <w:rPr>
                <w:rFonts w:ascii="Arial" w:cs="Arial" w:eastAsia="Arial" w:hAnsi="Arial"/>
                <w:sz w:val="18"/>
                <w:szCs w:val="18"/>
                <w:color w:val="auto"/>
              </w:rPr>
              <w:t>10.22 **</w:t>
            </w:r>
          </w:p>
        </w:tc>
        <w:tc>
          <w:tcPr>
            <w:tcW w:w="10260" w:type="dxa"/>
            <w:vAlign w:val="bottom"/>
          </w:tcPr>
          <w:p>
            <w:pPr>
              <w:ind w:left="440"/>
              <w:spacing w:after="0"/>
              <w:rPr>
                <w:sz w:val="20"/>
                <w:szCs w:val="20"/>
                <w:color w:val="auto"/>
              </w:rPr>
            </w:pPr>
            <w:r>
              <w:rPr>
                <w:rFonts w:ascii="Arial" w:cs="Arial" w:eastAsia="Arial" w:hAnsi="Arial"/>
                <w:sz w:val="18"/>
                <w:szCs w:val="18"/>
                <w:color w:val="auto"/>
                <w:w w:val="88"/>
              </w:rPr>
              <w:t>2015 Performance Share Unit Program (2015-2017), incorporated by reference to Exhibit 10.4 to the Company’s Quarterly Report on Form</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10-Q for the quarter ended March 31, 2015, filed May 6, 2015.</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color w:val="auto"/>
                <w:w w:val="96"/>
              </w:rPr>
              <w:t>*10.23**</w:t>
            </w:r>
          </w:p>
        </w:tc>
        <w:tc>
          <w:tcPr>
            <w:tcW w:w="10260" w:type="dxa"/>
            <w:vAlign w:val="bottom"/>
          </w:tcPr>
          <w:p>
            <w:pPr>
              <w:ind w:left="440"/>
              <w:spacing w:after="0"/>
              <w:rPr>
                <w:sz w:val="20"/>
                <w:szCs w:val="20"/>
                <w:color w:val="auto"/>
              </w:rPr>
            </w:pPr>
            <w:r>
              <w:rPr>
                <w:rFonts w:ascii="Arial" w:cs="Arial" w:eastAsia="Arial" w:hAnsi="Arial"/>
                <w:sz w:val="18"/>
                <w:szCs w:val="18"/>
                <w:color w:val="auto"/>
              </w:rPr>
              <w:t>Long Term Incentive Performance Share Unit Program (2016-2018).</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color w:val="auto"/>
                <w:w w:val="96"/>
              </w:rPr>
              <w:t>*10.24**</w:t>
            </w:r>
          </w:p>
        </w:tc>
        <w:tc>
          <w:tcPr>
            <w:tcW w:w="10260" w:type="dxa"/>
            <w:vAlign w:val="bottom"/>
          </w:tcPr>
          <w:p>
            <w:pPr>
              <w:ind w:left="440"/>
              <w:spacing w:after="0"/>
              <w:rPr>
                <w:sz w:val="20"/>
                <w:szCs w:val="20"/>
                <w:color w:val="auto"/>
              </w:rPr>
            </w:pPr>
            <w:r>
              <w:rPr>
                <w:rFonts w:ascii="Arial" w:cs="Arial" w:eastAsia="Arial" w:hAnsi="Arial"/>
                <w:sz w:val="18"/>
                <w:szCs w:val="18"/>
                <w:color w:val="auto"/>
              </w:rPr>
              <w:t>Form of Performance Share Unit Award Agreement (2016-2018).</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color w:val="auto"/>
                <w:w w:val="96"/>
              </w:rPr>
              <w:t>*10.25**</w:t>
            </w:r>
          </w:p>
        </w:tc>
        <w:tc>
          <w:tcPr>
            <w:tcW w:w="10260" w:type="dxa"/>
            <w:vAlign w:val="bottom"/>
          </w:tcPr>
          <w:p>
            <w:pPr>
              <w:ind w:left="440"/>
              <w:spacing w:after="0"/>
              <w:rPr>
                <w:sz w:val="20"/>
                <w:szCs w:val="20"/>
                <w:color w:val="auto"/>
              </w:rPr>
            </w:pPr>
            <w:r>
              <w:rPr>
                <w:rFonts w:ascii="Arial" w:cs="Arial" w:eastAsia="Arial" w:hAnsi="Arial"/>
                <w:sz w:val="18"/>
                <w:szCs w:val="18"/>
                <w:color w:val="auto"/>
              </w:rPr>
              <w:t>Form of Restricted Stock Award Agreement (2016).</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color w:val="auto"/>
                <w:w w:val="96"/>
              </w:rPr>
              <w:t>*10.26**</w:t>
            </w:r>
          </w:p>
        </w:tc>
        <w:tc>
          <w:tcPr>
            <w:tcW w:w="10260" w:type="dxa"/>
            <w:vAlign w:val="bottom"/>
          </w:tcPr>
          <w:p>
            <w:pPr>
              <w:ind w:left="440"/>
              <w:spacing w:after="0"/>
              <w:rPr>
                <w:sz w:val="20"/>
                <w:szCs w:val="20"/>
                <w:color w:val="auto"/>
              </w:rPr>
            </w:pPr>
            <w:r>
              <w:rPr>
                <w:rFonts w:ascii="Arial" w:cs="Arial" w:eastAsia="Arial" w:hAnsi="Arial"/>
                <w:sz w:val="18"/>
                <w:szCs w:val="18"/>
                <w:color w:val="auto"/>
              </w:rPr>
              <w:t>2016 Executive Annual Incentive Compensation Plan.</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color w:val="auto"/>
                <w:w w:val="96"/>
              </w:rPr>
              <w:t>*10.27**</w:t>
            </w:r>
          </w:p>
        </w:tc>
        <w:tc>
          <w:tcPr>
            <w:tcW w:w="10260" w:type="dxa"/>
            <w:vAlign w:val="bottom"/>
          </w:tcPr>
          <w:p>
            <w:pPr>
              <w:ind w:left="440"/>
              <w:spacing w:after="0"/>
              <w:rPr>
                <w:sz w:val="20"/>
                <w:szCs w:val="20"/>
                <w:color w:val="auto"/>
              </w:rPr>
            </w:pPr>
            <w:r>
              <w:rPr>
                <w:rFonts w:ascii="Arial" w:cs="Arial" w:eastAsia="Arial" w:hAnsi="Arial"/>
                <w:sz w:val="18"/>
                <w:szCs w:val="18"/>
                <w:color w:val="auto"/>
              </w:rPr>
              <w:t>2016 Free Cash Flow Program.</w:t>
            </w:r>
          </w:p>
        </w:tc>
      </w:tr>
      <w:tr>
        <w:trPr>
          <w:trHeight w:val="216"/>
        </w:trPr>
        <w:tc>
          <w:tcPr>
            <w:tcW w:w="1160" w:type="dxa"/>
            <w:vAlign w:val="bottom"/>
          </w:tcPr>
          <w:p>
            <w:pPr>
              <w:jc w:val="right"/>
              <w:ind w:right="572"/>
              <w:spacing w:after="0"/>
              <w:rPr>
                <w:sz w:val="20"/>
                <w:szCs w:val="20"/>
                <w:color w:val="auto"/>
              </w:rPr>
            </w:pPr>
            <w:r>
              <w:rPr>
                <w:rFonts w:ascii="Arial" w:cs="Arial" w:eastAsia="Arial" w:hAnsi="Arial"/>
                <w:sz w:val="18"/>
                <w:szCs w:val="18"/>
                <w:color w:val="auto"/>
              </w:rPr>
              <w:t>10.28</w:t>
            </w:r>
          </w:p>
        </w:tc>
        <w:tc>
          <w:tcPr>
            <w:tcW w:w="10260" w:type="dxa"/>
            <w:vAlign w:val="bottom"/>
          </w:tcPr>
          <w:p>
            <w:pPr>
              <w:ind w:left="440"/>
              <w:spacing w:after="0"/>
              <w:rPr>
                <w:sz w:val="20"/>
                <w:szCs w:val="20"/>
                <w:color w:val="auto"/>
              </w:rPr>
            </w:pPr>
            <w:r>
              <w:rPr>
                <w:rFonts w:ascii="Arial" w:cs="Arial" w:eastAsia="Arial" w:hAnsi="Arial"/>
                <w:sz w:val="18"/>
                <w:szCs w:val="18"/>
                <w:color w:val="auto"/>
                <w:w w:val="92"/>
              </w:rPr>
              <w:t>Agreement dated February 12, 2016, among L. B. Foster Company, Legion Partners, L.P. I, Legion Partners, L.P. II, Legion Partners</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w w:val="90"/>
              </w:rPr>
              <w:t>Special Opportunities, L.P. II, Legion Partners Holdings, LLC, Legion Partners Asset Management, LLC, Legion Partners Holdings, LLC,</w:t>
            </w:r>
          </w:p>
        </w:tc>
      </w:tr>
      <w:tr>
        <w:trPr>
          <w:trHeight w:val="216"/>
        </w:trPr>
        <w:tc>
          <w:tcPr>
            <w:tcW w:w="1160" w:type="dxa"/>
            <w:vAlign w:val="bottom"/>
          </w:tcPr>
          <w:p>
            <w:pPr>
              <w:spacing w:after="0"/>
              <w:rPr>
                <w:sz w:val="18"/>
                <w:szCs w:val="18"/>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w w:val="89"/>
              </w:rPr>
              <w:t>Bradley S. Vizi, Christopher S. Kiper, and Raymond White, incorporated by reference to Exhibit 10.1 to the Company’s Current Report on</w:t>
            </w:r>
          </w:p>
        </w:tc>
      </w:tr>
      <w:tr>
        <w:trPr>
          <w:trHeight w:val="222"/>
        </w:trPr>
        <w:tc>
          <w:tcPr>
            <w:tcW w:w="1160" w:type="dxa"/>
            <w:vAlign w:val="bottom"/>
          </w:tcPr>
          <w:p>
            <w:pPr>
              <w:spacing w:after="0"/>
              <w:rPr>
                <w:sz w:val="19"/>
                <w:szCs w:val="19"/>
                <w:color w:val="auto"/>
              </w:rPr>
            </w:pPr>
          </w:p>
        </w:tc>
        <w:tc>
          <w:tcPr>
            <w:tcW w:w="10260" w:type="dxa"/>
            <w:vAlign w:val="bottom"/>
          </w:tcPr>
          <w:p>
            <w:pPr>
              <w:ind w:left="440"/>
              <w:spacing w:after="0"/>
              <w:rPr>
                <w:sz w:val="20"/>
                <w:szCs w:val="20"/>
                <w:color w:val="auto"/>
              </w:rPr>
            </w:pPr>
            <w:r>
              <w:rPr>
                <w:rFonts w:ascii="Arial" w:cs="Arial" w:eastAsia="Arial" w:hAnsi="Arial"/>
                <w:sz w:val="18"/>
                <w:szCs w:val="18"/>
                <w:color w:val="auto"/>
              </w:rPr>
              <w:t>Form 8-K, File No. 0-10436, filed on February 17, 2016.</w:t>
            </w:r>
          </w:p>
        </w:tc>
      </w:tr>
      <w:tr>
        <w:trPr>
          <w:trHeight w:val="365"/>
        </w:trPr>
        <w:tc>
          <w:tcPr>
            <w:tcW w:w="116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3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*101.LAB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Agreement dated February 12, 2016, among L.B. Foster Company, Legion Partners, L.P. I, Legion Partners, L.P. II, Legion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Partners Special Opportunities, L.P. II, Legion Partners Holdings, LLC, Legion Partners Asset Management, LLC, Legion Partners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Holdings, LLC, Bradley S. Vizi, Christopher S. Kiper, Raymond White, David A. Katz, and Justin Albert incorporated by reference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 10.2 to the Company’s Current Report on Form 8-K, File No. 0-10436, filed on February 17,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under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under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and Chief Financial Officer under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Exhibits are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represents a management contract or compensatory plan, contract or arrangement required to be filed as Exhibits to this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10-K.</w:t>
      </w:r>
    </w:p>
    <w:p>
      <w:pPr>
        <w:spacing w:after="0" w:line="151" w:lineRule="exact"/>
        <w:rPr>
          <w:sz w:val="20"/>
          <w:szCs w:val="20"/>
          <w:color w:val="auto"/>
        </w:rPr>
      </w:pPr>
    </w:p>
    <w:p>
      <w:pPr>
        <w:sectPr>
          <w:pgSz w:w="11900" w:h="16838" w:orient="portrait"/>
          <w:cols w:equalWidth="0" w:num="2">
            <w:col w:w="780" w:space="720"/>
            <w:col w:w="974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40"/>
          </w:cols>
          <w:pgMar w:left="240" w:top="459" w:right="419" w:bottom="1440" w:gutter="0" w:footer="0" w:header="0"/>
          <w:type w:val="continuous"/>
        </w:sectPr>
      </w:pPr>
    </w:p>
    <w:bookmarkStart w:id="87" w:name="page88"/>
    <w:bookmarkEnd w:id="87"/>
    <w:p>
      <w:pPr>
        <w:ind w:left="10400"/>
        <w:spacing w:after="0"/>
        <w:rPr>
          <w:sz w:val="20"/>
          <w:szCs w:val="20"/>
          <w:color w:val="auto"/>
        </w:rPr>
      </w:pPr>
      <w:r>
        <w:rPr>
          <w:rFonts w:ascii="Arial" w:cs="Arial" w:eastAsia="Arial" w:hAnsi="Arial"/>
          <w:sz w:val="16"/>
          <w:szCs w:val="16"/>
          <w:b w:val="1"/>
          <w:bCs w:val="1"/>
          <w:color w:val="auto"/>
        </w:rPr>
        <w:t>Exhibit 10.23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 B. FOSTER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PERFORMANCE SHARE UNIT PROGRAM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(2016-2018)</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L. B. FOSTER COMPANY, a Pennsylvania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establishes this L. B. FOSTER COMPANY 2016 PERFORMANCE SHARE UNIT PROGRAM (the “</w:t>
      </w:r>
      <w:r>
        <w:rPr>
          <w:rFonts w:ascii="Arial" w:cs="Arial" w:eastAsia="Arial" w:hAnsi="Arial"/>
          <w:sz w:val="18"/>
          <w:szCs w:val="18"/>
          <w:u w:val="single" w:color="auto"/>
          <w:color w:val="auto"/>
        </w:rPr>
        <w:t>Program</w:t>
      </w:r>
      <w:r>
        <w:rPr>
          <w:rFonts w:ascii="Arial" w:cs="Arial" w:eastAsia="Arial" w:hAnsi="Arial"/>
          <w:sz w:val="18"/>
          <w:szCs w:val="18"/>
          <w:color w:val="auto"/>
        </w:rPr>
        <w:t>”), in accordance with the provisions of the L. B. FOSTER COMPANY 2006 Omnibus Incentive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and the terms and conditions provided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maintains the Plan for the benefit of its and its Subsidiaries’ key employees; and</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in order to align the interests of key employees with the interests of the Company’s shareholders and to enhance the Company’s ability to retain the employment of its key employees, the Company desires to provide long-term incentive compensation;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Article VI of the Plan authorizes the Company to make performance-based awards.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the Compensation Committee of the Board of Directors of the Company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hereby adopts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Program on the following terms and conditions:</w:t>
      </w:r>
    </w:p>
    <w:p>
      <w:pPr>
        <w:spacing w:after="0" w:line="103" w:lineRule="exact"/>
        <w:rPr>
          <w:sz w:val="20"/>
          <w:szCs w:val="20"/>
          <w:color w:val="auto"/>
        </w:rPr>
      </w:pPr>
    </w:p>
    <w:p>
      <w:pPr>
        <w:ind w:firstLine="464"/>
        <w:spacing w:after="0" w:line="257"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In addition to the terms and conditions set forth herein, awards under the Program are subject to, and governed by, the terms and conditions set forth in the Plan, which are hereby incorporated by reference. Unless the context otherwise requires, capitalized terms used in this Program and not otherwise defined herein shall have the meanings set forth in the Plan. In the event of any conflict between the provisions of the Program and the Plan, the Compensation Committee shall have full authority and discretion to resolve such conflict and any such determination shall be final, conclusive and binding on the Participant and all interested parties.</w:t>
      </w:r>
    </w:p>
    <w:p>
      <w:pPr>
        <w:spacing w:after="0" w:line="80" w:lineRule="exact"/>
        <w:rPr>
          <w:rFonts w:ascii="Arial" w:cs="Arial" w:eastAsia="Arial" w:hAnsi="Arial"/>
          <w:sz w:val="18"/>
          <w:szCs w:val="18"/>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this Program is January 1, 2016.</w:t>
      </w:r>
    </w:p>
    <w:p>
      <w:pPr>
        <w:spacing w:after="0" w:line="225" w:lineRule="exact"/>
        <w:rPr>
          <w:rFonts w:ascii="Arial" w:cs="Arial" w:eastAsia="Arial" w:hAnsi="Arial"/>
          <w:sz w:val="18"/>
          <w:szCs w:val="18"/>
          <w:color w:val="auto"/>
        </w:rPr>
      </w:pPr>
    </w:p>
    <w:p>
      <w:pPr>
        <w:ind w:right="240" w:firstLine="464"/>
        <w:spacing w:after="0" w:line="259"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The Committee shall select those individuals who shall participate in the Program (the “</w:t>
      </w:r>
      <w:r>
        <w:rPr>
          <w:rFonts w:ascii="Arial" w:cs="Arial" w:eastAsia="Arial" w:hAnsi="Arial"/>
          <w:sz w:val="18"/>
          <w:szCs w:val="18"/>
          <w:u w:val="single" w:color="auto"/>
          <w:color w:val="auto"/>
        </w:rPr>
        <w:t>Participants</w:t>
      </w:r>
      <w:r>
        <w:rPr>
          <w:rFonts w:ascii="Arial" w:cs="Arial" w:eastAsia="Arial" w:hAnsi="Arial"/>
          <w:sz w:val="18"/>
          <w:szCs w:val="18"/>
          <w:color w:val="auto"/>
        </w:rPr>
        <w:t>”). In the event that an employee is hired by the Company or a Subsidiary during the Performance Period, upon recommendation by the CEO, the Committee shall determine whether such employee will become a Participant in the Program, subject to such terms, conditions and adjustments as the Committee determines to be necessary or desirable.</w:t>
      </w:r>
    </w:p>
    <w:p>
      <w:pPr>
        <w:spacing w:after="0" w:line="78" w:lineRule="exact"/>
        <w:rPr>
          <w:rFonts w:ascii="Arial" w:cs="Arial" w:eastAsia="Arial" w:hAnsi="Arial"/>
          <w:sz w:val="18"/>
          <w:szCs w:val="18"/>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Performance Share Unit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21"/>
        <w:spacing w:after="0" w:line="257" w:lineRule="auto"/>
        <w:tabs>
          <w:tab w:leader="none" w:pos="11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Committee shall determine the number of performance share units (the “</w:t>
      </w:r>
      <w:r>
        <w:rPr>
          <w:rFonts w:ascii="Arial" w:cs="Arial" w:eastAsia="Arial" w:hAnsi="Arial"/>
          <w:sz w:val="18"/>
          <w:szCs w:val="18"/>
          <w:u w:val="single" w:color="auto"/>
          <w:color w:val="auto"/>
        </w:rPr>
        <w:t>Performance Share Units</w:t>
      </w:r>
      <w:r>
        <w:rPr>
          <w:rFonts w:ascii="Arial" w:cs="Arial" w:eastAsia="Arial" w:hAnsi="Arial"/>
          <w:sz w:val="18"/>
          <w:szCs w:val="18"/>
          <w:color w:val="auto"/>
        </w:rPr>
        <w:t>”) to be awarded to each Participant. Each Performance Share Unit awarded under the Program shall represent a contingent right to receive up to two shares of the Company’s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as described more fully herein, to the extent such Performance Share Unit is earned and becomes payable pursuant to the terms of this Program. Performance Share Units have no independent economic value, but rather are mere units of measurement used for purpose of calculating the number of shares, if any, to be paid under the Program.</w:t>
      </w:r>
    </w:p>
    <w:p>
      <w:pPr>
        <w:spacing w:after="0" w:line="188" w:lineRule="exact"/>
        <w:rPr>
          <w:rFonts w:ascii="Arial" w:cs="Arial" w:eastAsia="Arial" w:hAnsi="Arial"/>
          <w:sz w:val="18"/>
          <w:szCs w:val="18"/>
          <w:color w:val="auto"/>
        </w:rPr>
      </w:pPr>
    </w:p>
    <w:p>
      <w:pPr>
        <w:jc w:val="both"/>
        <w:ind w:right="340" w:firstLine="921"/>
        <w:spacing w:after="0" w:line="342" w:lineRule="auto"/>
        <w:tabs>
          <w:tab w:leader="none" w:pos="1168" w:val="left"/>
        </w:tabs>
        <w:numPr>
          <w:ilvl w:val="1"/>
          <w:numId w:val="20"/>
        </w:numPr>
        <w:rPr>
          <w:rFonts w:ascii="Arial" w:cs="Arial" w:eastAsia="Arial" w:hAnsi="Arial"/>
          <w:sz w:val="16"/>
          <w:szCs w:val="16"/>
          <w:color w:val="auto"/>
        </w:rPr>
      </w:pPr>
      <w:r>
        <w:rPr>
          <w:rFonts w:ascii="Arial" w:cs="Arial" w:eastAsia="Arial" w:hAnsi="Arial"/>
          <w:sz w:val="16"/>
          <w:szCs w:val="16"/>
          <w:color w:val="auto"/>
        </w:rPr>
        <w:t>Performance Share Units shall be increased and/or decreased in accordance with the terms of the Program as described more fully herein. Notwithstanding any provision of this Program to the contrary, (i) the Committee, in its sole discretion, may reduce the amount of any Performance Share</w:t>
      </w:r>
    </w:p>
    <w:p>
      <w:pPr>
        <w:sectPr>
          <w:pgSz w:w="11900" w:h="16838" w:orient="portrait"/>
          <w:cols w:equalWidth="0" w:num="1">
            <w:col w:w="11420"/>
          </w:cols>
          <w:pgMar w:left="240" w:top="121" w:right="239" w:bottom="1440" w:gutter="0" w:footer="0" w:header="0"/>
        </w:sectPr>
      </w:pPr>
    </w:p>
    <w:bookmarkStart w:id="88" w:name="page89"/>
    <w:bookmarkEnd w:id="8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Units that would otherwise be earned by a Participant upon attainment of the Performance Conditions (as defined below) if it concludes that such reduction is necessary or appropriate, and (ii) the Committee shall not use its discretionary authority to increase the number of Performance Share Units that would otherwise be earned upon attainment of the Performance Conditions with respect to any award that is intended to be performance-based compensation under Section 162(m) of the Code.</w:t>
      </w:r>
    </w:p>
    <w:p>
      <w:pPr>
        <w:spacing w:after="0" w:line="187" w:lineRule="exact"/>
        <w:rPr>
          <w:sz w:val="20"/>
          <w:szCs w:val="20"/>
          <w:color w:val="auto"/>
        </w:rPr>
      </w:pPr>
    </w:p>
    <w:p>
      <w:pPr>
        <w:ind w:right="140" w:firstLine="464"/>
        <w:spacing w:after="0" w:line="291" w:lineRule="auto"/>
        <w:tabs>
          <w:tab w:leader="none" w:pos="63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Performance Conditions of the Performance Share Units</w:t>
      </w:r>
      <w:r>
        <w:rPr>
          <w:rFonts w:ascii="Arial" w:cs="Arial" w:eastAsia="Arial" w:hAnsi="Arial"/>
          <w:sz w:val="16"/>
          <w:szCs w:val="16"/>
          <w:color w:val="auto"/>
        </w:rPr>
        <w:t>. The total number of shares of the Company’s Common Stock that may be earned by a Participant will be based on the Company’s attainment of performance goals relating to the Company’s return on invested capital (“ROIC”) and Compound Annual Growth Rate of Earnings from continuing operations (“Earnings CAGR”) during the Performance Period (as defined below) as approved by (and in accordance with the procedures established by) the Committee on January 25, 2016 and on file with the Committee (the “</w:t>
      </w:r>
      <w:r>
        <w:rPr>
          <w:rFonts w:ascii="Arial" w:cs="Arial" w:eastAsia="Arial" w:hAnsi="Arial"/>
          <w:sz w:val="16"/>
          <w:szCs w:val="16"/>
          <w:u w:val="single" w:color="auto"/>
          <w:color w:val="auto"/>
        </w:rPr>
        <w:t>Performance Conditions</w:t>
      </w:r>
      <w:r>
        <w:rPr>
          <w:rFonts w:ascii="Arial" w:cs="Arial" w:eastAsia="Arial" w:hAnsi="Arial"/>
          <w:sz w:val="16"/>
          <w:szCs w:val="16"/>
          <w:color w:val="auto"/>
        </w:rPr>
        <w:t>”), for the performance period of January 1, 2016 through December 31, 2018 (the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provided, however, that except as otherwise specifically provided herein, the ability to earn shares of the Company’s Common Stock and to receive payment thereon under the Program is expressly contingent upon achievement of the threshold for the Performance Conditions and otherwise satisfying all other terms and conditions of the Program.</w:t>
      </w:r>
    </w:p>
    <w:p>
      <w:pPr>
        <w:spacing w:after="0" w:line="167" w:lineRule="exact"/>
        <w:rPr>
          <w:rFonts w:ascii="Arial" w:cs="Arial" w:eastAsia="Arial" w:hAnsi="Arial"/>
          <w:sz w:val="16"/>
          <w:szCs w:val="16"/>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Issuance and Distribution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21"/>
        <w:spacing w:after="0" w:line="264" w:lineRule="auto"/>
        <w:tabs>
          <w:tab w:leader="none" w:pos="11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After the end of the Performance Period, the Committee shall certify in writing the extent to which the applicable Performance Conditions and any other material terms of the Program have been achieved. For purposes of this provision, and for so long as the Code permits, the approved minutes of the Committee meeting in which the certification is made may be treated as written certification.</w:t>
      </w:r>
    </w:p>
    <w:p>
      <w:pPr>
        <w:spacing w:after="0" w:line="181" w:lineRule="exact"/>
        <w:rPr>
          <w:rFonts w:ascii="Arial" w:cs="Arial" w:eastAsia="Arial" w:hAnsi="Arial"/>
          <w:sz w:val="18"/>
          <w:szCs w:val="18"/>
          <w:color w:val="auto"/>
        </w:rPr>
      </w:pPr>
    </w:p>
    <w:p>
      <w:pPr>
        <w:jc w:val="both"/>
        <w:ind w:right="220" w:firstLine="921"/>
        <w:spacing w:after="0" w:line="264" w:lineRule="auto"/>
        <w:tabs>
          <w:tab w:leader="none" w:pos="11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Subject to the terms and conditions of this Program, Performance Share Units will be settled and paid in shares of the Company’s common stock in the calendar year immediately following the end of the Performance Period on a date determined in the Company’s discretion,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such calendar year (the “</w:t>
      </w:r>
      <w:r>
        <w:rPr>
          <w:rFonts w:ascii="Arial" w:cs="Arial" w:eastAsia="Arial" w:hAnsi="Arial"/>
          <w:sz w:val="18"/>
          <w:szCs w:val="18"/>
          <w:u w:val="single" w:color="auto"/>
          <w:color w:val="auto"/>
        </w:rPr>
        <w:t>Payment Date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921"/>
        <w:spacing w:after="0" w:line="290" w:lineRule="auto"/>
        <w:tabs>
          <w:tab w:leader="none" w:pos="1158"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Notwithstanding any other provision of this Program, in the event of a Change of Control, the Committee may, in its sole discretion, terminate the Program and, unless otherwise determined by the Committee, the Participant shall be deemed to earn shares of the Company’s Common Stock at the target level; provided, however, the Participant shall only be entitled to a prorated portion of such shares of the Company’s Common Stock determined based on the ratio of the number of complete months the Participant is employed or serves during the Performance Period through the date of the change of control to the total number of originally scheduled months in the Performance Period (or the number of originally scheduled remaining months in the Performance Period if the Participant becomes an employee of the Company and/or its Subsidiaries after the start of the Performance Period). Any such earned shares of the Company’s Common Stock shall be issued contemporaneous with the Change of Control on the closing date of the Change of Control; provided, further, in the event of a Change of Control, Performance Share Units may, in the Committee’s discretion, be settled in cash and/or securities or other property.</w:t>
      </w:r>
    </w:p>
    <w:p>
      <w:pPr>
        <w:spacing w:after="0" w:line="166" w:lineRule="exact"/>
        <w:rPr>
          <w:rFonts w:ascii="Arial" w:cs="Arial" w:eastAsia="Arial" w:hAnsi="Arial"/>
          <w:sz w:val="16"/>
          <w:szCs w:val="16"/>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Performance Share Units will not be credited with dividends that are paid on the Company’s Common Stock.</w:t>
      </w:r>
    </w:p>
    <w:p>
      <w:pPr>
        <w:spacing w:after="0" w:line="225" w:lineRule="exact"/>
        <w:rPr>
          <w:rFonts w:ascii="Arial" w:cs="Arial" w:eastAsia="Arial" w:hAnsi="Arial"/>
          <w:sz w:val="18"/>
          <w:szCs w:val="18"/>
          <w:color w:val="auto"/>
        </w:rPr>
      </w:pPr>
    </w:p>
    <w:p>
      <w:pPr>
        <w:ind w:right="640" w:firstLine="464"/>
        <w:spacing w:after="0" w:line="342" w:lineRule="auto"/>
        <w:tabs>
          <w:tab w:leader="none" w:pos="63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Change in Participant’s Status</w:t>
      </w:r>
      <w:r>
        <w:rPr>
          <w:rFonts w:ascii="Arial" w:cs="Arial" w:eastAsia="Arial" w:hAnsi="Arial"/>
          <w:sz w:val="16"/>
          <w:szCs w:val="16"/>
          <w:color w:val="auto"/>
        </w:rPr>
        <w:t>. In the event a Participant’s employment with the Company or any Subsidiary is terminated (i) by reason of Retirement on or after January 1, 2017 (or such earlier date as may be expressly authorized by the Committee), or (ii) on account of death or total and</w:t>
      </w:r>
    </w:p>
    <w:p>
      <w:pPr>
        <w:sectPr>
          <w:pgSz w:w="11900" w:h="16838" w:orient="portrait"/>
          <w:cols w:equalWidth="0" w:num="1">
            <w:col w:w="11420"/>
          </w:cols>
          <w:pgMar w:left="240" w:top="274" w:right="239" w:bottom="1440" w:gutter="0" w:footer="0" w:header="0"/>
        </w:sectPr>
      </w:pPr>
    </w:p>
    <w:bookmarkStart w:id="89" w:name="page90"/>
    <w:bookmarkEnd w:id="89"/>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permanent Disability prior to the Payment Date, the Participant shall be entitled to retain the Performance Share Units and receive payment therefore to the extent earned and payable pursuant to the provisions of this Program; provided, however, the Participant shall only be entitled to retain a prorated portion of the Performance Share Units determined at the end of the Performance Period and based on the ratio of the number of complete months the Participant is employed or serves during the Performance Period to the total number of months in the Performance Period (or the number of remaining months in the Performance Period if the Participant becomes an employee of the Company and/or its Subsidiaries after the start of the Performance Period). In the event a Participant’s employment with the Company or any Subsidiary is terminated for any other reason, including, but not limited to, by the Participant voluntarily, or by the Company on account of a Termination for Cause or without cause, prior to the Payment Date, the Performance Share Units awarded to the Participant shall be cancelled and forfeited, whether payable or not, without payment by the Company or any Subsidiary. Any payments due a deceased Participant shall be paid to his estate as provided herein after the end of the Performance Period.</w:t>
      </w:r>
    </w:p>
    <w:p>
      <w:pPr>
        <w:spacing w:after="0" w:line="182" w:lineRule="exact"/>
        <w:rPr>
          <w:sz w:val="20"/>
          <w:szCs w:val="20"/>
          <w:color w:val="auto"/>
        </w:rPr>
      </w:pPr>
    </w:p>
    <w:p>
      <w:pPr>
        <w:ind w:right="100" w:firstLine="464"/>
        <w:spacing w:after="0" w:line="273" w:lineRule="auto"/>
        <w:tabs>
          <w:tab w:leader="none" w:pos="636"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Responsibilities of the Compensation Committee</w:t>
      </w:r>
      <w:r>
        <w:rPr>
          <w:rFonts w:ascii="Arial" w:cs="Arial" w:eastAsia="Arial" w:hAnsi="Arial"/>
          <w:sz w:val="17"/>
          <w:szCs w:val="17"/>
          <w:color w:val="auto"/>
        </w:rPr>
        <w:t>. In addition to the authority granted to the Compensation Committee under the Plan, the Compensation Committee has responsibility for all aspects of the Program’s administration, including but not limited to: ensuring that the Program is administered in accordance with the provisions of the Program and the Plan; approving Participants; authorizing Performance Share Unit awards to Participants; and adjusting Performance Share Units as authorized hereunder consistent with the terms of the Program and the Plan. All decisions of the Compensation Committee under the Program shall be final, conclusive and binding on all interest parties. No member of the Compensation Committee shall be liable for any action or determination made in good faith as to the Program or any Performance Share Units awarded thereunder.</w:t>
      </w:r>
    </w:p>
    <w:p>
      <w:pPr>
        <w:spacing w:after="0" w:line="178" w:lineRule="exact"/>
        <w:rPr>
          <w:rFonts w:ascii="Arial" w:cs="Arial" w:eastAsia="Arial" w:hAnsi="Arial"/>
          <w:sz w:val="17"/>
          <w:szCs w:val="17"/>
          <w:color w:val="auto"/>
        </w:rPr>
      </w:pPr>
    </w:p>
    <w:p>
      <w:pPr>
        <w:ind w:left="740" w:hanging="27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Tax Consequences/Withholding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21"/>
        <w:spacing w:after="0" w:line="286" w:lineRule="auto"/>
        <w:tabs>
          <w:tab w:leader="none" w:pos="1158" w:val="left"/>
        </w:tabs>
        <w:numPr>
          <w:ilvl w:val="1"/>
          <w:numId w:val="22"/>
        </w:numPr>
        <w:rPr>
          <w:rFonts w:ascii="Arial" w:cs="Arial" w:eastAsia="Arial" w:hAnsi="Arial"/>
          <w:sz w:val="17"/>
          <w:szCs w:val="17"/>
          <w:color w:val="auto"/>
        </w:rPr>
      </w:pPr>
      <w:r>
        <w:rPr>
          <w:rFonts w:ascii="Arial" w:cs="Arial" w:eastAsia="Arial" w:hAnsi="Arial"/>
          <w:sz w:val="17"/>
          <w:szCs w:val="17"/>
          <w:color w:val="auto"/>
        </w:rPr>
        <w:t>It is intended that: (i) a Participant’s Performance Share Units shall be considered to be subject to a substantial risk of forfeiture in accordance with those terms as defined in Section 409A and 3121(v)(2) of the Code; and (ii) a Participant shall have merely an unfunded, unsecured promise to be paid a benefit, and such unfunded promise shall not consist of a transfer of “</w:t>
      </w:r>
      <w:r>
        <w:rPr>
          <w:rFonts w:ascii="Arial" w:cs="Arial" w:eastAsia="Arial" w:hAnsi="Arial"/>
          <w:sz w:val="17"/>
          <w:szCs w:val="17"/>
          <w:u w:val="single" w:color="auto"/>
          <w:color w:val="auto"/>
        </w:rPr>
        <w:t>property</w:t>
      </w:r>
      <w:r>
        <w:rPr>
          <w:rFonts w:ascii="Arial" w:cs="Arial" w:eastAsia="Arial" w:hAnsi="Arial"/>
          <w:sz w:val="17"/>
          <w:szCs w:val="17"/>
          <w:color w:val="auto"/>
        </w:rPr>
        <w:t>” within the meaning of Code Section 83.</w:t>
      </w:r>
    </w:p>
    <w:p>
      <w:pPr>
        <w:spacing w:after="0" w:line="165" w:lineRule="exact"/>
        <w:rPr>
          <w:rFonts w:ascii="Arial" w:cs="Arial" w:eastAsia="Arial" w:hAnsi="Arial"/>
          <w:sz w:val="17"/>
          <w:szCs w:val="17"/>
          <w:color w:val="auto"/>
        </w:rPr>
      </w:pPr>
    </w:p>
    <w:p>
      <w:pPr>
        <w:ind w:firstLine="921"/>
        <w:spacing w:after="0" w:line="291" w:lineRule="auto"/>
        <w:tabs>
          <w:tab w:leader="none" w:pos="1168" w:val="left"/>
        </w:tabs>
        <w:numPr>
          <w:ilvl w:val="1"/>
          <w:numId w:val="22"/>
        </w:numPr>
        <w:rPr>
          <w:rFonts w:ascii="Arial" w:cs="Arial" w:eastAsia="Arial" w:hAnsi="Arial"/>
          <w:sz w:val="16"/>
          <w:szCs w:val="16"/>
          <w:color w:val="auto"/>
        </w:rPr>
      </w:pPr>
      <w:r>
        <w:rPr>
          <w:rFonts w:ascii="Arial" w:cs="Arial" w:eastAsia="Arial" w:hAnsi="Arial"/>
          <w:sz w:val="16"/>
          <w:szCs w:val="16"/>
          <w:color w:val="auto"/>
        </w:rPr>
        <w:t>Participant acknowledges that any income for foreign, federal, state or local income tax purposes, including payroll taxes, that the Participant is required to recognize on account of the vesting of the Performance Share Units and/or issuance of the shares of Common Stock under this award to Participant shall be subject to withholding of tax by the Company. In accordance with administrative procedures established by the Company, Participant may elect to satisfy Participant’s minimum statutory withholding tax obligations, if any, on account of the vesting of the Performance Share Units and/or issuance of shares of Common Stock under this award, in one or a combination of the following methods: in cash or by separate check made payable to the Company and/or by authorizing the Company to withhold from the Performance Share Units to be issued to the Participant a sufficient number of whole shares distributable in connection with this award equal to the applicable minimum statutory withholding tax obligation.</w:t>
      </w:r>
    </w:p>
    <w:p>
      <w:pPr>
        <w:spacing w:after="0" w:line="167" w:lineRule="exact"/>
        <w:rPr>
          <w:rFonts w:ascii="Arial" w:cs="Arial" w:eastAsia="Arial" w:hAnsi="Arial"/>
          <w:sz w:val="16"/>
          <w:szCs w:val="16"/>
          <w:color w:val="auto"/>
        </w:rPr>
      </w:pPr>
    </w:p>
    <w:p>
      <w:pPr>
        <w:ind w:right="160" w:firstLine="921"/>
        <w:spacing w:after="0" w:line="273" w:lineRule="auto"/>
        <w:tabs>
          <w:tab w:leader="none" w:pos="1158"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This Program is intended to be excepted from coverage under Section 409A and shall be construed accordingly. Notwithstanding any provision of this Program to the contrary, if any benefit provided under this Program is subject to the provisions of Section 409A, the provisions of the Program will be administered, interpreted and construed in a manner necessary to comply with Section 409A (or disregarded to the extent such provision cannot be so administered, interpreted or construed). Notwithstanding, Section 409A of the Code may impose upon the Participant certain taxes or other charges for which the Participant is and shall remain solely responsible, and nothing contained in this Program or the Plan shall be construed to obligate the Compensation Committee, the Company or any Subsidiary for any such taxes or other charges.</w:t>
      </w:r>
    </w:p>
    <w:p>
      <w:pPr>
        <w:sectPr>
          <w:pgSz w:w="11900" w:h="16838" w:orient="portrait"/>
          <w:cols w:equalWidth="0" w:num="1">
            <w:col w:w="11380"/>
          </w:cols>
          <w:pgMar w:left="240" w:top="274" w:right="279" w:bottom="1440" w:gutter="0" w:footer="0" w:header="0"/>
        </w:sectPr>
      </w:pPr>
    </w:p>
    <w:bookmarkStart w:id="90" w:name="page91"/>
    <w:bookmarkEnd w:id="90"/>
    <w:p>
      <w:pPr>
        <w:ind w:left="-464" w:right="140" w:firstLine="921"/>
        <w:spacing w:after="0" w:line="259" w:lineRule="auto"/>
        <w:tabs>
          <w:tab w:leader="none" w:pos="703"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of the Program to the contrary, if an award of Performance Share Units under this Program is intended to qualify as performance-based compensation under Section 162(m) of the Code and the regulations issued thereunder and a provision of this Program would prevent such award from so qualifying, such provision shall be administered, interpreted and construed to carry out such intention (or disregarded to the extent such provision cannot be so administered, interpreted or construed).</w:t>
      </w:r>
    </w:p>
    <w:p>
      <w:pPr>
        <w:spacing w:after="0" w:line="186" w:lineRule="exact"/>
        <w:rPr>
          <w:rFonts w:ascii="Arial" w:cs="Arial" w:eastAsia="Arial" w:hAnsi="Arial"/>
          <w:sz w:val="18"/>
          <w:szCs w:val="18"/>
          <w:color w:val="auto"/>
        </w:rPr>
      </w:pPr>
    </w:p>
    <w:p>
      <w:pPr>
        <w:ind w:left="256" w:hanging="256"/>
        <w:spacing w:after="0"/>
        <w:tabs>
          <w:tab w:leader="none" w:pos="25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right="100" w:firstLine="921"/>
        <w:spacing w:after="0" w:line="276" w:lineRule="auto"/>
        <w:tabs>
          <w:tab w:leader="none" w:pos="693"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Participants hereunder agree that this Section 11 is reasonable and necessary in order to protect the legitimate business interests and goodwill of the Company, including the Company’s trade secrets, valuable confidential business and professional information, substantial relationships with prospective and existing customers and clients, and specialized training provided to Participants and other employees of the Company. The Participants acknowledge and recognize the highly competitive nature of the business of the Company and its Subsidiaries and accordingly agree that during the term of each of their employment and for a period of two (2) years after the termination thereof:</w:t>
      </w:r>
    </w:p>
    <w:p>
      <w:pPr>
        <w:spacing w:after="0" w:line="64" w:lineRule="exact"/>
        <w:rPr>
          <w:rFonts w:ascii="Arial" w:cs="Arial" w:eastAsia="Arial" w:hAnsi="Arial"/>
          <w:sz w:val="17"/>
          <w:szCs w:val="17"/>
          <w:color w:val="auto"/>
        </w:rPr>
      </w:pPr>
    </w:p>
    <w:p>
      <w:pPr>
        <w:ind w:left="-464" w:right="120" w:firstLine="1492"/>
        <w:spacing w:after="0" w:line="279" w:lineRule="auto"/>
        <w:tabs>
          <w:tab w:leader="none" w:pos="1234"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Participants will not directly or indirectly engage in any business substantially similar to any line of business conducted by the Company or any of its Subsidiaries, including, but not limited to, where such engagement is as an officer, director, proprietor, employee, partner, investor (other than as a holder of less than 1% of the outstanding capital stock of a publicly traded corporation), consultant, advisor, agent or sales representative, in any geographic region in which the Company or any of its Subsidiaries conducted business;</w:t>
      </w:r>
    </w:p>
    <w:p>
      <w:pPr>
        <w:spacing w:after="0" w:line="171" w:lineRule="exact"/>
        <w:rPr>
          <w:rFonts w:ascii="Arial" w:cs="Arial" w:eastAsia="Arial" w:hAnsi="Arial"/>
          <w:sz w:val="17"/>
          <w:szCs w:val="17"/>
          <w:color w:val="auto"/>
        </w:rPr>
      </w:pPr>
    </w:p>
    <w:p>
      <w:pPr>
        <w:ind w:left="-464" w:right="160" w:firstLine="1492"/>
        <w:spacing w:after="0" w:line="277" w:lineRule="auto"/>
        <w:tabs>
          <w:tab w:leader="none" w:pos="1284"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Participants will not contact, solicit, perform services for, or accept business from any customer or prospective customer of the Company or any of its Subsidiaries in any line of business conducted by the Company or any of its subsidiaries;</w:t>
      </w:r>
    </w:p>
    <w:p>
      <w:pPr>
        <w:spacing w:after="0" w:line="170" w:lineRule="exact"/>
        <w:rPr>
          <w:rFonts w:ascii="Arial" w:cs="Arial" w:eastAsia="Arial" w:hAnsi="Arial"/>
          <w:sz w:val="18"/>
          <w:szCs w:val="18"/>
          <w:color w:val="auto"/>
        </w:rPr>
      </w:pPr>
    </w:p>
    <w:p>
      <w:pPr>
        <w:ind w:left="-464" w:firstLine="1492"/>
        <w:spacing w:after="0" w:line="276" w:lineRule="auto"/>
        <w:tabs>
          <w:tab w:leader="none" w:pos="1334"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Participants will not directly or indirectly induce any employee of the Company or any of its Subsidiaries to: (1) engage in any activity or conduct which is prohibited pursuant to subparagraph 11(a)(i) or (2) terminate such employee’s employment with the Company or any of its Subsidiaries. Moreover, the Participants will not directly or indirectly employ or offer employment (in connection with any business substantially similar to any line of business conducted by the Company or any of its Subsidiaries) to any person who was employed by the Company or any of its Subsidiaries unless such person shall have ceased to be employed by the Company or any of its Subsidiaries for a period of at least 12 months; and</w:t>
      </w:r>
    </w:p>
    <w:p>
      <w:pPr>
        <w:spacing w:after="0" w:line="172" w:lineRule="exact"/>
        <w:rPr>
          <w:rFonts w:ascii="Arial" w:cs="Arial" w:eastAsia="Arial" w:hAnsi="Arial"/>
          <w:sz w:val="17"/>
          <w:szCs w:val="17"/>
          <w:color w:val="auto"/>
        </w:rPr>
      </w:pPr>
    </w:p>
    <w:p>
      <w:pPr>
        <w:ind w:left="-464" w:right="780" w:firstLine="1492"/>
        <w:spacing w:after="0" w:line="277" w:lineRule="auto"/>
        <w:tabs>
          <w:tab w:leader="none" w:pos="1324"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Participants will not directly or indirectly assist others in engaging in any of the activities, which are prohibited under subparagraphs (a)(i-iii) above.</w:t>
      </w:r>
    </w:p>
    <w:p>
      <w:pPr>
        <w:spacing w:after="0" w:line="170" w:lineRule="exact"/>
        <w:rPr>
          <w:rFonts w:ascii="Arial" w:cs="Arial" w:eastAsia="Arial" w:hAnsi="Arial"/>
          <w:sz w:val="18"/>
          <w:szCs w:val="18"/>
          <w:color w:val="auto"/>
        </w:rPr>
      </w:pPr>
    </w:p>
    <w:p>
      <w:pPr>
        <w:ind w:left="-464" w:right="60" w:firstLine="921"/>
        <w:spacing w:after="0" w:line="257" w:lineRule="auto"/>
        <w:tabs>
          <w:tab w:leader="none" w:pos="7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It is expressly understood and agreed that although the Participants and the Company consider the restrictions contained in this Section 11 to be reasonable, if a final judicial determination is made by a court of competent jurisdiction that the time or territory or any other restriction contained in this Program is an unenforceable restriction against any Participant, the provisions of this Program shall not be rendered void but shall be deemed amended to apply as to such maximum time and territory and to such maximum extent as such court may judicially determine or indicate to be enforceable against such Participant. Alternatively, if any court of competent jurisdiction finds that any</w:t>
      </w:r>
    </w:p>
    <w:p>
      <w:pPr>
        <w:sectPr>
          <w:pgSz w:w="11900" w:h="16838" w:orient="portrait"/>
          <w:cols w:equalWidth="0" w:num="1">
            <w:col w:w="10896"/>
          </w:cols>
          <w:pgMar w:left="704" w:top="274" w:right="299" w:bottom="1440" w:gutter="0" w:footer="0" w:header="0"/>
        </w:sectPr>
      </w:pPr>
    </w:p>
    <w:bookmarkStart w:id="91" w:name="page92"/>
    <w:bookmarkEnd w:id="91"/>
    <w:p>
      <w:pPr>
        <w:jc w:val="both"/>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 contained in this Program is unenforceable, and such restriction cannot be amended so as to make it enforceable, such finding shall not affect the enforceability of any of the other restrictions contained herein. The restrictive covenants set forth in this Section 11 shall be extended by any amount of time that a Participant is in breach of such covenants, such that the Company receives the full benefit of the time duration set forth above.</w:t>
      </w:r>
    </w:p>
    <w:p>
      <w:pPr>
        <w:spacing w:after="0" w:line="166" w:lineRule="exact"/>
        <w:rPr>
          <w:sz w:val="20"/>
          <w:szCs w:val="20"/>
          <w:color w:val="auto"/>
        </w:rPr>
      </w:pPr>
    </w:p>
    <w:p>
      <w:pPr>
        <w:ind w:firstLine="464"/>
        <w:spacing w:after="0" w:line="268" w:lineRule="auto"/>
        <w:tabs>
          <w:tab w:leader="none" w:pos="726"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Trade Secrets</w:t>
      </w:r>
      <w:r>
        <w:rPr>
          <w:rFonts w:ascii="Arial" w:cs="Arial" w:eastAsia="Arial" w:hAnsi="Arial"/>
          <w:sz w:val="17"/>
          <w:szCs w:val="17"/>
          <w:color w:val="auto"/>
        </w:rPr>
        <w:t>. The Participants and the Company agree that certain materials, including, but not limited to, information, data and other materials relating to customers, development programs, costs, marketing, trading, investment, sales activities, promotion, credit and financial data, manufacturing processes, financing methods, plans or the business and affairs of the Company and its Subsidiaries, constitute proprietary confidential information and trade secrets. Accordingly, the Participants will not at any time during or after a Participant’s employment with the Company (including any Subsidiary) disclose or use for such Participant’s own benefit or purposes or the benefit or purposes of any other person, firm, partnership, joint venture, association, corporation or other business organization, entity or enterprise other than the Company and any of its affiliates, any proprietary confidential information or trade secrets, provided that the foregoing shall not apply to information which is not unique to the Company or any of its Subsidiaries or which is generally known to the industry or the public other than as a result of such Participant’s breach of this covenant. The Participants agree that upon termination of employment with the Company (including any Subsidiary) for any reason, the Participants will immediately return to the Company all memoranda, books, papers, plans, information, letters and other data, and all copies thereof or therefrom, which in any way relate to the business of the Company and its Subsidiaries, except that the Participants may retain personal notes, notebooks and diaries. The Participants further agree that the Participants will not retain or use for their own account at any time any trade names, trademark or other proprietary business designation used or owned in connection with the business of the Company or any of its Subsidiaries.</w:t>
      </w:r>
    </w:p>
    <w:p>
      <w:pPr>
        <w:spacing w:after="0" w:line="187" w:lineRule="exact"/>
        <w:rPr>
          <w:rFonts w:ascii="Arial" w:cs="Arial" w:eastAsia="Arial" w:hAnsi="Arial"/>
          <w:sz w:val="17"/>
          <w:szCs w:val="17"/>
          <w:color w:val="auto"/>
        </w:rPr>
      </w:pPr>
    </w:p>
    <w:p>
      <w:pPr>
        <w:ind w:left="740" w:hanging="27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Remedies/Forfeiture/Recoupment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5" w:lineRule="auto"/>
        <w:tabs>
          <w:tab w:leader="none" w:pos="1158"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Participants acknowledge that a violation or attempted violation on a Participant’s part of Sections 11 and 12 will cause irreparable damage to the Company and its Subsidiaries, and the Participants therefore agree that the Company and its Subsidiaries shall be entitled as a matter of right to an injunction, out of any court of competent jurisdiction, restraining any violation or further violation of such promises by the Participants or a Participant’s employees, partners or agents. The Participants agree that such right to an injunction is cumulative and in addition to whatever other remedies the Company (including any Subsidiary) may have under law or equity, and the Participants’ obligations to make timely payment to the Company as set forth in</w:t>
      </w:r>
    </w:p>
    <w:p>
      <w:pPr>
        <w:spacing w:after="0" w:line="2" w:lineRule="exact"/>
        <w:rPr>
          <w:rFonts w:ascii="Arial" w:cs="Arial" w:eastAsia="Arial" w:hAnsi="Arial"/>
          <w:sz w:val="16"/>
          <w:szCs w:val="16"/>
          <w:color w:val="auto"/>
        </w:rPr>
      </w:pPr>
    </w:p>
    <w:p>
      <w:pPr>
        <w:ind w:right="48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Section 13(b) of this Program. </w:t>
      </w:r>
      <w:r>
        <w:rPr>
          <w:rFonts w:ascii="Arial" w:cs="Arial" w:eastAsia="Arial" w:hAnsi="Arial"/>
          <w:sz w:val="16"/>
          <w:szCs w:val="16"/>
          <w:b w:val="1"/>
          <w:bCs w:val="1"/>
          <w:i w:val="1"/>
          <w:iCs w:val="1"/>
          <w:color w:val="auto"/>
        </w:rPr>
        <w:t>The Participants further acknowledge and agree that a Participant’s Performance Share Units shall be cancelled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forfeited without payment by the Company if such Participant breaches any of his or her obligations set forth in Section 11 and 12 herein.</w:t>
      </w:r>
    </w:p>
    <w:p>
      <w:pPr>
        <w:spacing w:after="0" w:line="138" w:lineRule="exact"/>
        <w:rPr>
          <w:rFonts w:ascii="Arial" w:cs="Arial" w:eastAsia="Arial" w:hAnsi="Arial"/>
          <w:sz w:val="16"/>
          <w:szCs w:val="16"/>
          <w:color w:val="auto"/>
        </w:rPr>
      </w:pPr>
    </w:p>
    <w:p>
      <w:pPr>
        <w:ind w:firstLine="921"/>
        <w:spacing w:after="0" w:line="271" w:lineRule="auto"/>
        <w:tabs>
          <w:tab w:leader="none" w:pos="116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At any point after becoming aware of a breach of any obligation set forth in Sections 11 and/or 12 of this Program, the Company shall provide notice of such breach to a Participant. By agreeing to participate in this Program, the Participants agree that within ten (10) days after the date the Company provides such notice, a Participant shall pay to the Company in cash an amount equal to any and all distributions paid to or on behalf of such Participant under this Program within the six (6) months prior to the date of the earliest breach. The Participant agrees that failure to make such timely payment to the Company constitutes an independent and material breach of the terms and conditions of this Program, for which the Company may seek recovery of the unpaid amount as liquidated damages, in addition to all other rights and remedies the Company may have resulting from a Participant’s breach of the obligations set forth in Sections 11 and 12. The Participants agree that timely payment to the Company as set forth in this provision of the Program is reasonable and necessary because the compensatory damages that will</w:t>
      </w:r>
    </w:p>
    <w:p>
      <w:pPr>
        <w:sectPr>
          <w:pgSz w:w="11900" w:h="16838" w:orient="portrait"/>
          <w:cols w:equalWidth="0" w:num="1">
            <w:col w:w="11400"/>
          </w:cols>
          <w:pgMar w:left="240" w:top="274" w:right="259" w:bottom="1440" w:gutter="0" w:footer="0" w:header="0"/>
        </w:sectPr>
      </w:pPr>
    </w:p>
    <w:bookmarkStart w:id="92" w:name="page93"/>
    <w:bookmarkEnd w:id="92"/>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 from breaches of Sections 11 and/or 12 cannot readily be ascertained. Further, the Participants agree that timely payment to the Company as set forth in this provision of the Program is not a penalty, and it does not preclude the Company from seeking all other remedies that may be available to the Company, including without limitation those set forth in this Section 13.</w:t>
      </w:r>
    </w:p>
    <w:p>
      <w:pPr>
        <w:spacing w:after="0" w:line="181" w:lineRule="exact"/>
        <w:rPr>
          <w:sz w:val="20"/>
          <w:szCs w:val="20"/>
          <w:color w:val="auto"/>
        </w:rPr>
      </w:pPr>
    </w:p>
    <w:p>
      <w:pPr>
        <w:ind w:firstLine="921"/>
        <w:spacing w:after="0" w:line="282" w:lineRule="auto"/>
        <w:tabs>
          <w:tab w:leader="none" w:pos="115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event the Company is required to prepare an accounting restatement applicable to any financial reporting period covering a period within the Performance Period due to the material noncompliance of the Company with any financial reporting requirement under the securities laws or other applicable law and if the Committee, in its discretion, so determines, (i) each “Specified Participant” shall pay to the Company in cash up to the amount equal to the fair market value of any and all shares, cash or other compensation paid to or on behalf of such Participant under this Program, and, without duplication, (ii) each “Specified Participant” shall pay to the Company in cash an amount equal to the fair market value of any and all shares, cash or other compensation paid to or on behalf of such Participant under of this Program in excess of the amount of such compensation that would have been paid to the Participant based on the restated financial results. Any such payment shall be made within the time periods prescribed by the Committee. The Committee, in its discretion, shall determine whether the Company shall effect any such recovery (i) by seeking repayment from the Specified Participant, (ii) by reducing (subject to applicable law and the terms and conditions of the applicable plan, program or arrangement) the amount that would otherwise be payable to the Specified Participant under any compensatory plan, program or arrangement maintained by the Company or any of its affiliates, (iii) by withholding payment of future increases in compensation (including the payment of any discretionary bonus amount) or grants of compensatory awards that would otherwise have been made in accordance with the Company’s otherwise applicable compensation practices, or (iv) by any combination of the foregoing. For purposes of this Program, the term “Specified Participant” means any Participant that the Committee has determined, in its sole discretion, that any fraud, negligence, or intentional misconduct by Participant was a significant contributing factor to the Company having to prepare an accounting restatement. A Participant’s failure to make any such timely payment to the Company constitutes an independent and material breach of the terms and conditions of this Program, for which the Company may seek recovery of the unpaid amount as liquidated damages, in addition to all other rights and remedies the Company may have against the Participant. By participating in the Program, each Participant agrees that timely payment to the Company as set forth in this provision of the Program is reasonable and necessary, and that timely payment to the Company as set forth in this provision of the Program is not a penalty, and it does not preclude the Company from seeking all other remedies that may be available to the Company, including without limitation those set forth in this Section 13.</w:t>
      </w:r>
    </w:p>
    <w:p>
      <w:pPr>
        <w:spacing w:after="0" w:line="12" w:lineRule="exact"/>
        <w:rPr>
          <w:rFonts w:ascii="Arial" w:cs="Arial" w:eastAsia="Arial" w:hAnsi="Arial"/>
          <w:sz w:val="16"/>
          <w:szCs w:val="16"/>
          <w:color w:val="auto"/>
        </w:rPr>
      </w:pPr>
    </w:p>
    <w:p>
      <w:pPr>
        <w:ind w:right="60"/>
        <w:spacing w:after="0" w:line="273" w:lineRule="auto"/>
        <w:rPr>
          <w:rFonts w:ascii="Arial" w:cs="Arial" w:eastAsia="Arial" w:hAnsi="Arial"/>
          <w:sz w:val="16"/>
          <w:szCs w:val="16"/>
          <w:color w:val="auto"/>
        </w:rPr>
      </w:pPr>
      <w:r>
        <w:rPr>
          <w:rFonts w:ascii="Arial" w:cs="Arial" w:eastAsia="Arial" w:hAnsi="Arial"/>
          <w:sz w:val="17"/>
          <w:szCs w:val="17"/>
          <w:b w:val="1"/>
          <w:bCs w:val="1"/>
          <w:i w:val="1"/>
          <w:iCs w:val="1"/>
          <w:color w:val="auto"/>
        </w:rPr>
        <w:t>Each Participant further acknowledges and agrees that a Participant’s Performance Share Units shall be cancelled and forfeited without payment by the Company if such Participant is determined to be a Specified Participant with respect to any financial reporting period covering a period within the Performance Period. Notwithstanding the foregoing, the Company shall not be required to make any additional payment in the event that the restated financial results would have resulted in a greater payment to the Participant.</w:t>
      </w:r>
    </w:p>
    <w:p>
      <w:pPr>
        <w:spacing w:after="0" w:line="17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Notwithstanding any other provisions of this program or the Plan, the Performance Share Units granted pursuant to this Program shall be subject to recovery under any law, governmental regulation, stock exchange listing requirement or Company policy applicable to them, including any related deductions, recoupment and/or claw-back as may be required to be made pursuant to such law, government regulation, stock exchange listing requirement, or Company policy, as may be in effect from time to time, and which may operate to create additional rights for the Company with respect to the Performance Share Units and recovery of amounts relating thereto (the “</w:t>
      </w:r>
      <w:r>
        <w:rPr>
          <w:rFonts w:ascii="Arial" w:cs="Arial" w:eastAsia="Arial" w:hAnsi="Arial"/>
          <w:sz w:val="17"/>
          <w:szCs w:val="17"/>
          <w:u w:val="single" w:color="auto"/>
          <w:color w:val="auto"/>
        </w:rPr>
        <w:t>Clawback Requirement</w:t>
      </w:r>
      <w:r>
        <w:rPr>
          <w:rFonts w:ascii="Arial" w:cs="Arial" w:eastAsia="Arial" w:hAnsi="Arial"/>
          <w:sz w:val="17"/>
          <w:szCs w:val="17"/>
          <w:color w:val="auto"/>
        </w:rPr>
        <w:t>”). By accepting Performance Share Units granted under the Program and under the Plan, Participants agree and acknowledge that they are obligated to cooperate with, and provide any and all assistance necessary to, the Company to recover or recoup any award or amounts paid under the Plan subject to claw-back</w:t>
      </w:r>
    </w:p>
    <w:p>
      <w:pPr>
        <w:sectPr>
          <w:pgSz w:w="11900" w:h="16838" w:orient="portrait"/>
          <w:cols w:equalWidth="0" w:num="1">
            <w:col w:w="11380"/>
          </w:cols>
          <w:pgMar w:left="240" w:top="274" w:right="279" w:bottom="1440" w:gutter="0" w:footer="0" w:header="0"/>
        </w:sectPr>
      </w:pPr>
    </w:p>
    <w:bookmarkStart w:id="93" w:name="page94"/>
    <w:bookmarkEnd w:id="9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such law, government regulation, stock exchange listing requirement or Company policy. Such cooperation and assistance shall include, but is not limited to, executing, completing and submitting any documentation necessary to recover or recoup any award or amounts paid under the Plan from a Participant’s accounts, or pending or future compensation or awards. In the event the awards granted pursuant to this document and the Plan become subject to such Clawback Requirement, then the awards shall be subject to such Clawback Requirement, and the foregoing provisions of this Section 13(c) shall no longer apply to such awards.</w:t>
      </w:r>
    </w:p>
    <w:p>
      <w:pPr>
        <w:spacing w:after="0" w:line="188" w:lineRule="exact"/>
        <w:rPr>
          <w:sz w:val="20"/>
          <w:szCs w:val="20"/>
          <w:color w:val="auto"/>
        </w:rPr>
      </w:pPr>
    </w:p>
    <w:p>
      <w:pPr>
        <w:ind w:left="740" w:hanging="27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Assignment/Nonassignment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21"/>
        <w:spacing w:after="0" w:line="312" w:lineRule="auto"/>
        <w:tabs>
          <w:tab w:leader="none" w:pos="1158"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shall have the right to assign this Program, including without limitation Section 11, and the Participants agree to remain obligated by all provisions of this Program that are assigned to any successor, assign or surviving entity. The obligations of the Company under the Program shall be binding upon the successors and assigns of the Company. Any successor to the Company is an intended third party beneficiary of this Program.</w:t>
      </w:r>
    </w:p>
    <w:p>
      <w:pPr>
        <w:spacing w:after="0" w:line="146" w:lineRule="exact"/>
        <w:rPr>
          <w:rFonts w:ascii="Arial" w:cs="Arial" w:eastAsia="Arial" w:hAnsi="Arial"/>
          <w:sz w:val="16"/>
          <w:szCs w:val="16"/>
          <w:color w:val="auto"/>
        </w:rPr>
      </w:pPr>
    </w:p>
    <w:p>
      <w:pPr>
        <w:ind w:right="20" w:firstLine="921"/>
        <w:spacing w:after="0" w:line="259" w:lineRule="auto"/>
        <w:tabs>
          <w:tab w:leader="none" w:pos="11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Performance Share Units shall not be sold, pledged, assigned, hypothecated, transferred or disposed of (a “</w:t>
      </w:r>
      <w:r>
        <w:rPr>
          <w:rFonts w:ascii="Arial" w:cs="Arial" w:eastAsia="Arial" w:hAnsi="Arial"/>
          <w:sz w:val="18"/>
          <w:szCs w:val="18"/>
          <w:u w:val="single" w:color="auto"/>
          <w:color w:val="auto"/>
        </w:rPr>
        <w:t>Transfer</w:t>
      </w:r>
      <w:r>
        <w:rPr>
          <w:rFonts w:ascii="Arial" w:cs="Arial" w:eastAsia="Arial" w:hAnsi="Arial"/>
          <w:sz w:val="18"/>
          <w:szCs w:val="18"/>
          <w:color w:val="auto"/>
        </w:rPr>
        <w:t>”) in any manner, other than by will or the laws of descent and distribution. Any attempt by a Participant to Transfer the Performance Share Units in violation of the terms of the Program shall render the Performance Share Units null and void, and result in the immediate forfeiture of such Performance Share Units, without payment by the Company or any Subsidiary.</w:t>
      </w:r>
    </w:p>
    <w:p>
      <w:pPr>
        <w:spacing w:after="0" w:line="186" w:lineRule="exact"/>
        <w:rPr>
          <w:rFonts w:ascii="Arial" w:cs="Arial" w:eastAsia="Arial" w:hAnsi="Arial"/>
          <w:sz w:val="18"/>
          <w:szCs w:val="18"/>
          <w:color w:val="auto"/>
        </w:rPr>
      </w:pPr>
    </w:p>
    <w:p>
      <w:pPr>
        <w:ind w:right="20" w:firstLine="464"/>
        <w:spacing w:after="0" w:line="264" w:lineRule="auto"/>
        <w:tabs>
          <w:tab w:leader="none" w:pos="72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Impact on Benefit Plans</w:t>
      </w:r>
      <w:r>
        <w:rPr>
          <w:rFonts w:ascii="Arial" w:cs="Arial" w:eastAsia="Arial" w:hAnsi="Arial"/>
          <w:sz w:val="18"/>
          <w:szCs w:val="18"/>
          <w:color w:val="auto"/>
        </w:rPr>
        <w:t>. Payments under the Program shall not be considered as earnings for purposes of the Company’s and/or Affiliate’s qualified retirement plans or any such retirement or benefit plan unless specifically provided for therein. Nothing herein shall prevent the Company or any Affiliate from maintaining additional compensation plans and arrangements for its employees.</w:t>
      </w:r>
    </w:p>
    <w:p>
      <w:pPr>
        <w:spacing w:after="0" w:line="181" w:lineRule="exact"/>
        <w:rPr>
          <w:rFonts w:ascii="Arial" w:cs="Arial" w:eastAsia="Arial" w:hAnsi="Arial"/>
          <w:sz w:val="18"/>
          <w:szCs w:val="18"/>
          <w:color w:val="auto"/>
        </w:rPr>
      </w:pPr>
    </w:p>
    <w:p>
      <w:pPr>
        <w:ind w:right="100" w:firstLine="464"/>
        <w:spacing w:after="0" w:line="302" w:lineRule="auto"/>
        <w:tabs>
          <w:tab w:leader="none" w:pos="72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In the event of a stock split, stock dividend, or similar event, the Performance Share Units and the shares of Company common stock on which the Performance Conditions are based shall be appropriately adjusted to prevent dilution or enlargement of the rights of Participants which would otherwise result from any such transaction, provided such adjustment shall be consistent with Code Section 162(m) and Section 409A. In the case of a Change of Control, any obligation under the Program shall be handled in accordance with the terms of Section 6(c) hereof.</w:t>
      </w:r>
    </w:p>
    <w:p>
      <w:pPr>
        <w:spacing w:after="0" w:line="154" w:lineRule="exact"/>
        <w:rPr>
          <w:rFonts w:ascii="Arial" w:cs="Arial" w:eastAsia="Arial" w:hAnsi="Arial"/>
          <w:sz w:val="16"/>
          <w:szCs w:val="16"/>
          <w:color w:val="auto"/>
        </w:rPr>
      </w:pPr>
    </w:p>
    <w:p>
      <w:pPr>
        <w:ind w:left="740" w:hanging="27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77" w:lineRule="auto"/>
        <w:tabs>
          <w:tab w:leader="none" w:pos="11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Program shall be governed by and construed in accordance with the laws of the Commonwealth of Pennsylvania, without giving effect to the principles of conflicts of law.</w:t>
      </w:r>
    </w:p>
    <w:p>
      <w:pPr>
        <w:spacing w:after="0" w:line="170" w:lineRule="exact"/>
        <w:rPr>
          <w:rFonts w:ascii="Arial" w:cs="Arial" w:eastAsia="Arial" w:hAnsi="Arial"/>
          <w:sz w:val="18"/>
          <w:szCs w:val="18"/>
          <w:color w:val="auto"/>
        </w:rPr>
      </w:pPr>
    </w:p>
    <w:p>
      <w:pPr>
        <w:ind w:right="20" w:firstLine="921"/>
        <w:spacing w:after="0" w:line="279" w:lineRule="auto"/>
        <w:tabs>
          <w:tab w:leader="none" w:pos="1168" w:val="left"/>
        </w:tabs>
        <w:numPr>
          <w:ilvl w:val="1"/>
          <w:numId w:val="27"/>
        </w:numPr>
        <w:rPr>
          <w:rFonts w:ascii="Arial" w:cs="Arial" w:eastAsia="Arial" w:hAnsi="Arial"/>
          <w:sz w:val="17"/>
          <w:szCs w:val="17"/>
          <w:color w:val="auto"/>
        </w:rPr>
      </w:pPr>
      <w:r>
        <w:rPr>
          <w:rFonts w:ascii="Arial" w:cs="Arial" w:eastAsia="Arial" w:hAnsi="Arial"/>
          <w:sz w:val="17"/>
          <w:szCs w:val="17"/>
          <w:color w:val="auto"/>
        </w:rPr>
        <w:t>Participant hereby irrevocably submits to the personal and exclusive jurisdiction of the United States District Court for the Western District of Pennsylvania or the Court of Common Pleas of Allegheny County, Pennsylvania in any action or proceeding arising out of, or relating to, this Program (whether such action or proceeding arises under contract, tort, equity or otherwise). Participant hereby irrevocably waives any objection which Participant now or hereafter may have to the laying of venue or personal jurisdiction of any such action or proceeding brought in said courts.</w:t>
      </w:r>
    </w:p>
    <w:p>
      <w:pPr>
        <w:spacing w:after="0" w:line="171" w:lineRule="exact"/>
        <w:rPr>
          <w:rFonts w:ascii="Arial" w:cs="Arial" w:eastAsia="Arial" w:hAnsi="Arial"/>
          <w:sz w:val="17"/>
          <w:szCs w:val="17"/>
          <w:color w:val="auto"/>
        </w:rPr>
      </w:pPr>
    </w:p>
    <w:p>
      <w:pPr>
        <w:ind w:right="160" w:firstLine="921"/>
        <w:spacing w:after="0" w:line="277" w:lineRule="auto"/>
        <w:tabs>
          <w:tab w:leader="none" w:pos="11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Jurisdiction over, and venue of, any such action or proceeding </w:t>
      </w:r>
      <w:r>
        <w:rPr>
          <w:rFonts w:ascii="Arial" w:cs="Arial" w:eastAsia="Arial" w:hAnsi="Arial"/>
          <w:sz w:val="18"/>
          <w:szCs w:val="18"/>
          <w:u w:val="single" w:color="auto"/>
          <w:color w:val="auto"/>
        </w:rPr>
        <w:t>shall</w:t>
      </w:r>
      <w:r>
        <w:rPr>
          <w:rFonts w:ascii="Arial" w:cs="Arial" w:eastAsia="Arial" w:hAnsi="Arial"/>
          <w:sz w:val="18"/>
          <w:szCs w:val="18"/>
          <w:color w:val="auto"/>
        </w:rPr>
        <w:t xml:space="preserve"> be exclusively vested in the United States District Court for the Western District of Pennsylvania or the Court of Common Pleas of Allegheny County, Pennsylvania.</w:t>
      </w:r>
    </w:p>
    <w:p>
      <w:pPr>
        <w:sectPr>
          <w:pgSz w:w="11900" w:h="16838" w:orient="portrait"/>
          <w:cols w:equalWidth="0" w:num="1">
            <w:col w:w="11420"/>
          </w:cols>
          <w:pgMar w:left="240" w:top="274" w:right="239" w:bottom="1440" w:gutter="0" w:footer="0" w:header="0"/>
        </w:sectPr>
      </w:pPr>
    </w:p>
    <w:bookmarkStart w:id="94" w:name="page95"/>
    <w:bookmarkEnd w:id="94"/>
    <w:p>
      <w:pPr>
        <w:ind w:firstLine="921"/>
        <w:spacing w:after="0" w:line="257" w:lineRule="auto"/>
        <w:tabs>
          <w:tab w:leader="none" w:pos="1168"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the Company commences any such action or proceeding in the courts identified in Section 17(b), Participant irrevocably waives Participant’s right to object to or challenge the above selected forum on the basis of inconvenience or unfairness under 28 U.S.C. § 1404, 42 Pa. C.S. § 5322 or similar state or federal statutes. Participant agrees to reimburse the Company for all of the attorneys fees and costs it incurs to oppose Participant’s efforts to challenge or object to litigation proceeding in the courts identified in Section 17(b) with respect to actions arising out of or relating to this Program (whether such actions arise under contract, tort, equity or otherwise).</w:t>
      </w:r>
    </w:p>
    <w:p>
      <w:pPr>
        <w:spacing w:after="0" w:line="188" w:lineRule="exact"/>
        <w:rPr>
          <w:rFonts w:ascii="Arial" w:cs="Arial" w:eastAsia="Arial" w:hAnsi="Arial"/>
          <w:sz w:val="18"/>
          <w:szCs w:val="18"/>
          <w:color w:val="auto"/>
        </w:rPr>
      </w:pPr>
    </w:p>
    <w:p>
      <w:pPr>
        <w:ind w:right="180" w:firstLine="464"/>
        <w:spacing w:after="0" w:line="277" w:lineRule="auto"/>
        <w:tabs>
          <w:tab w:leader="none" w:pos="72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the Company to enforce at any time any provision of this Program shall in no way be construed to be a waiver of such provision or of any other provision hereof.</w:t>
      </w:r>
    </w:p>
    <w:p>
      <w:pPr>
        <w:spacing w:after="0" w:line="170" w:lineRule="exact"/>
        <w:rPr>
          <w:rFonts w:ascii="Arial" w:cs="Arial" w:eastAsia="Arial" w:hAnsi="Arial"/>
          <w:sz w:val="18"/>
          <w:szCs w:val="18"/>
          <w:color w:val="auto"/>
        </w:rPr>
      </w:pPr>
    </w:p>
    <w:p>
      <w:pPr>
        <w:ind w:right="260" w:firstLine="464"/>
        <w:spacing w:after="0" w:line="277" w:lineRule="auto"/>
        <w:tabs>
          <w:tab w:leader="none" w:pos="72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of this Program shall be held to be invalid, illegal or unenforceable, the validity, legality or enforceability of the remaining provisions shall not in any way be affected or impaired thereby.</w:t>
      </w:r>
    </w:p>
    <w:p>
      <w:pPr>
        <w:spacing w:after="0" w:line="170" w:lineRule="exact"/>
        <w:rPr>
          <w:rFonts w:ascii="Arial" w:cs="Arial" w:eastAsia="Arial" w:hAnsi="Arial"/>
          <w:sz w:val="18"/>
          <w:szCs w:val="18"/>
          <w:color w:val="auto"/>
        </w:rPr>
      </w:pPr>
    </w:p>
    <w:p>
      <w:pPr>
        <w:jc w:val="both"/>
        <w:ind w:firstLine="464"/>
        <w:spacing w:after="0" w:line="302" w:lineRule="auto"/>
        <w:tabs>
          <w:tab w:leader="none" w:pos="72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Funding</w:t>
      </w:r>
      <w:r>
        <w:rPr>
          <w:rFonts w:ascii="Arial" w:cs="Arial" w:eastAsia="Arial" w:hAnsi="Arial"/>
          <w:sz w:val="16"/>
          <w:szCs w:val="16"/>
          <w:color w:val="auto"/>
        </w:rPr>
        <w:t>. The Program is not funded and all amounts payable hereunder, if any, shall be paid from the general assets of the Company or its Affiliate, as applicable. No provision contained in this Program or the Plan and no action taken pursuant to the provisions of this Program or the Plan shall create a trust of any kind or require the Company to maintain or set aside any specific funds to pay benefits hereunder. To the extent a Participant acquires a right to receive payments from the Company under the Program, such right shall be no greater than the right of any unsecured general creditor of the Company.</w:t>
      </w:r>
    </w:p>
    <w:p>
      <w:pPr>
        <w:spacing w:after="0" w:line="154" w:lineRule="exact"/>
        <w:rPr>
          <w:rFonts w:ascii="Arial" w:cs="Arial" w:eastAsia="Arial" w:hAnsi="Arial"/>
          <w:sz w:val="16"/>
          <w:szCs w:val="16"/>
          <w:color w:val="auto"/>
        </w:rPr>
      </w:pPr>
    </w:p>
    <w:p>
      <w:pPr>
        <w:ind w:right="100" w:firstLine="464"/>
        <w:spacing w:after="0" w:line="277" w:lineRule="auto"/>
        <w:tabs>
          <w:tab w:leader="none" w:pos="72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of the Sections of this Program are inserted for convenience of reference only and shall not constitute a part of this Program.</w:t>
      </w:r>
    </w:p>
    <w:p>
      <w:pPr>
        <w:spacing w:after="0" w:line="170" w:lineRule="exact"/>
        <w:rPr>
          <w:rFonts w:ascii="Arial" w:cs="Arial" w:eastAsia="Arial" w:hAnsi="Arial"/>
          <w:sz w:val="18"/>
          <w:szCs w:val="18"/>
          <w:color w:val="auto"/>
        </w:rPr>
      </w:pPr>
    </w:p>
    <w:p>
      <w:pPr>
        <w:ind w:firstLine="464"/>
        <w:spacing w:after="0" w:line="255" w:lineRule="auto"/>
        <w:tabs>
          <w:tab w:leader="none" w:pos="72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this Program</w:t>
      </w:r>
      <w:r>
        <w:rPr>
          <w:rFonts w:ascii="Arial" w:cs="Arial" w:eastAsia="Arial" w:hAnsi="Arial"/>
          <w:sz w:val="18"/>
          <w:szCs w:val="18"/>
          <w:color w:val="auto"/>
        </w:rPr>
        <w:t>. This Program may be modified, amended, suspended or terminated by the Committee at any time. Notwithstanding the foregoing or any provision of this Program to the contrary, the Committee may, in the sole discretion and without the Participants’ consent, modify or amend the terms of the Program or a Performance Grant, or take any other action it deems necessary or advisable, to cause the Program to comply with Section 409A or Section 162(m) (or an exception thereto). Any modification, amendment, suspension or termination shall only be effective upon a writing issued by the Committee, and a Participant shall not offer evidence of any purported oral modifications or amendments to vary or contradict the terms of this Program document.</w:t>
      </w:r>
    </w:p>
    <w:p>
      <w:pPr>
        <w:spacing w:after="0" w:line="189"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has executed this Program on the day and year indicated below. This Program may be executed in more</w:t>
      </w:r>
      <w:r>
        <w:rPr>
          <w:rFonts w:ascii="Arial" w:cs="Arial" w:eastAsia="Arial" w:hAnsi="Arial"/>
          <w:sz w:val="17"/>
          <w:szCs w:val="17"/>
          <w:b w:val="1"/>
          <w:bCs w:val="1"/>
          <w:color w:val="auto"/>
        </w:rPr>
        <w:t xml:space="preserve"> </w:t>
      </w:r>
      <w:r>
        <w:rPr>
          <w:rFonts w:ascii="Arial" w:cs="Arial" w:eastAsia="Arial" w:hAnsi="Arial"/>
          <w:sz w:val="17"/>
          <w:szCs w:val="17"/>
          <w:color w:val="auto"/>
        </w:rPr>
        <w:t>than one counterpart, each of which is deemed to be an original and all of which taken together constitute one and the same agreement.</w:t>
      </w:r>
    </w:p>
    <w:p>
      <w:pPr>
        <w:spacing w:after="0" w:line="169"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January 25, 2016</w:t>
      </w:r>
      <w:r>
        <w:rPr>
          <w:sz w:val="20"/>
          <w:szCs w:val="20"/>
          <w:color w:val="auto"/>
        </w:rPr>
        <w:tab/>
      </w:r>
      <w:r>
        <w:rPr>
          <w:rFonts w:ascii="Arial" w:cs="Arial" w:eastAsia="Arial" w:hAnsi="Arial"/>
          <w:sz w:val="17"/>
          <w:szCs w:val="17"/>
          <w:color w:val="auto"/>
        </w:rPr>
        <w:t>/s/ William H. Rackoff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William H. Rackoff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Compensation Committee</w:t>
      </w:r>
    </w:p>
    <w:p>
      <w:pPr>
        <w:sectPr>
          <w:pgSz w:w="11900" w:h="16838" w:orient="portrait"/>
          <w:cols w:equalWidth="0" w:num="1">
            <w:col w:w="11400"/>
          </w:cols>
          <w:pgMar w:left="240" w:top="274" w:right="2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 B. Foster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PERFORMANCE SHARE UNIT PROGRAM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117" w:lineRule="exact"/>
        <w:rPr>
          <w:sz w:val="20"/>
          <w:szCs w:val="20"/>
          <w:color w:val="auto"/>
        </w:rPr>
      </w:pPr>
    </w:p>
    <w:p>
      <w:pPr>
        <w:ind w:right="260" w:firstLine="456"/>
        <w:spacing w:after="0" w:line="274" w:lineRule="auto"/>
        <w:rPr>
          <w:sz w:val="20"/>
          <w:szCs w:val="20"/>
          <w:color w:val="auto"/>
        </w:rPr>
      </w:pPr>
      <w:r>
        <w:rPr>
          <w:rFonts w:ascii="Arial" w:cs="Arial" w:eastAsia="Arial" w:hAnsi="Arial"/>
          <w:sz w:val="17"/>
          <w:szCs w:val="17"/>
          <w:color w:val="auto"/>
        </w:rPr>
        <w:t>Pursuant to the terms and conditions of the L. B. Foster Company 2016 Performance Share Unit Program (the “Program”), a component of the Long Term Incentive Program, the Compensation Committee of the Board of Directors of L. B. Foster Company (the “Committee”) has awarded you</w:t>
      </w:r>
    </w:p>
    <w:p>
      <w:pPr>
        <w:ind w:right="200" w:firstLine="540"/>
        <w:spacing w:after="0" w:line="255" w:lineRule="auto"/>
        <w:rPr>
          <w:sz w:val="20"/>
          <w:szCs w:val="20"/>
          <w:color w:val="auto"/>
        </w:rPr>
      </w:pPr>
      <w:r>
        <w:rPr>
          <w:rFonts w:ascii="Arial" w:cs="Arial" w:eastAsia="Arial" w:hAnsi="Arial"/>
          <w:sz w:val="18"/>
          <w:szCs w:val="18"/>
          <w:color w:val="auto"/>
        </w:rPr>
        <w:t xml:space="preserve">Performance Share Units (the “Award”). The terms and conditions of your Award are governed by the provisions of the Program document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terms of which are hereby incorporated by reference. Capitalized terms not otherwise defined herein shall each have the meaning assigned to them in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284480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 hereby acknowledge and accept the Award described above subject to all of the terms and conditions of the Program including, without limitation, the forfeiture and covenant provisions set forth in Sections 11, 12 and 13 of the Program, regardless of whether the Award ever results in a payment under the Program. I further acknowledge receipt of a copy of the Program document and the L. B. Foster Company 2006 Omnibus Incentive Plan, as amended (the “Plan”), and I agree to be bound by all the provisions of the Program and the Plan, as amended from time to time.</w:t>
      </w:r>
    </w:p>
    <w:p>
      <w:pPr>
        <w:spacing w:after="0" w:line="17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By signing below, I acknowledge that: (i) I have read and understand the Program including, without limitation, the provisions that require me to repay monies to the Company if (A) I breach Section 11 or 12 of the Program or (B) the Company is required to prepare an accounting restatement to the extent set forth in Section 13(c); (ii) the Performance Share Units that have been awarded to me have no independent economic value, but rather are mere units of measurement to be used in calculating benefits, if any, available under the Program; (iii) I agree to accept as binding, conclusive and final all decisions or interpretations of the Compensation Committee upon any questions arising under this Award, the Program or the Plan; and (iv) my decision to participate in the Program is completely voluntary and done with full knowledge of its terms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 further acknowledge and agree that, except as otherwise specifically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provided in the Program, in the event I terminate employment prior to the Payment Date, the Performance Share Units awarded to me shall be cancelled and forfeited, whether payable or not, without payment by the Company or any Subsidiary.</w:t>
      </w:r>
    </w:p>
    <w:p>
      <w:pPr>
        <w:spacing w:after="0" w:line="206"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5.1 Of The Omnibus Incentive Plan, As Amended And Restated)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ind w:left="460"/>
              <w:spacing w:after="0"/>
              <w:rPr>
                <w:sz w:val="20"/>
                <w:szCs w:val="20"/>
                <w:color w:val="auto"/>
              </w:rPr>
            </w:pPr>
            <w:r>
              <w:rPr>
                <w:rFonts w:ascii="Arial" w:cs="Arial" w:eastAsia="Arial" w:hAnsi="Arial"/>
                <w:sz w:val="18"/>
                <w:szCs w:val="18"/>
                <w:color w:val="auto"/>
                <w:w w:val="91"/>
              </w:rPr>
              <w:t>This Restricted Stock Agreement set forth below (this “</w:t>
            </w:r>
            <w:r>
              <w:rPr>
                <w:rFonts w:ascii="Arial" w:cs="Arial" w:eastAsia="Arial" w:hAnsi="Arial"/>
                <w:sz w:val="18"/>
                <w:szCs w:val="18"/>
                <w:b w:val="1"/>
                <w:bCs w:val="1"/>
                <w:i w:val="1"/>
                <w:iCs w:val="1"/>
                <w:color w:val="auto"/>
                <w:w w:val="91"/>
              </w:rPr>
              <w:t>Agreement</w:t>
            </w:r>
            <w:r>
              <w:rPr>
                <w:rFonts w:ascii="Arial" w:cs="Arial" w:eastAsia="Arial" w:hAnsi="Arial"/>
                <w:sz w:val="18"/>
                <w:szCs w:val="18"/>
                <w:color w:val="auto"/>
                <w:w w:val="91"/>
              </w:rPr>
              <w:t>”) is dated as of</w:t>
            </w:r>
          </w:p>
        </w:tc>
        <w:tc>
          <w:tcPr>
            <w:tcW w:w="1300" w:type="dxa"/>
            <w:vAlign w:val="bottom"/>
            <w:tcBorders>
              <w:bottom w:val="single" w:sz="8" w:color="auto"/>
            </w:tcBorders>
          </w:tcPr>
          <w:p>
            <w:pPr>
              <w:spacing w:after="0"/>
              <w:rPr>
                <w:sz w:val="17"/>
                <w:szCs w:val="17"/>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w w:val="90"/>
              </w:rPr>
              <w:t>the “</w:t>
            </w:r>
            <w:r>
              <w:rPr>
                <w:rFonts w:ascii="Arial" w:cs="Arial" w:eastAsia="Arial" w:hAnsi="Arial"/>
                <w:sz w:val="18"/>
                <w:szCs w:val="18"/>
                <w:b w:val="1"/>
                <w:bCs w:val="1"/>
                <w:i w:val="1"/>
                <w:iCs w:val="1"/>
                <w:color w:val="auto"/>
                <w:w w:val="90"/>
              </w:rPr>
              <w:t>Issue Date</w:t>
            </w:r>
            <w:r>
              <w:rPr>
                <w:rFonts w:ascii="Arial" w:cs="Arial" w:eastAsia="Arial" w:hAnsi="Arial"/>
                <w:sz w:val="18"/>
                <w:szCs w:val="18"/>
                <w:color w:val="auto"/>
                <w:w w:val="90"/>
              </w:rPr>
              <w:t>”) and is between L. B. Foster</w:t>
            </w:r>
          </w:p>
        </w:tc>
      </w:tr>
      <w:tr>
        <w:trPr>
          <w:trHeight w:val="237"/>
        </w:trPr>
        <w:tc>
          <w:tcPr>
            <w:tcW w:w="6460" w:type="dxa"/>
            <w:vAlign w:val="bottom"/>
          </w:tcPr>
          <w:p>
            <w:pPr>
              <w:spacing w:after="0"/>
              <w:rPr>
                <w:sz w:val="20"/>
                <w:szCs w:val="20"/>
                <w:color w:val="auto"/>
              </w:rPr>
            </w:pPr>
            <w:r>
              <w:rPr>
                <w:rFonts w:ascii="Arial" w:cs="Arial" w:eastAsia="Arial" w:hAnsi="Arial"/>
                <w:sz w:val="18"/>
                <w:szCs w:val="18"/>
                <w:color w:val="auto"/>
                <w:w w:val="92"/>
              </w:rPr>
              <w:t>Company, a Pennsylvania corporation (“</w:t>
            </w:r>
            <w:r>
              <w:rPr>
                <w:rFonts w:ascii="Arial" w:cs="Arial" w:eastAsia="Arial" w:hAnsi="Arial"/>
                <w:sz w:val="18"/>
                <w:szCs w:val="18"/>
                <w:b w:val="1"/>
                <w:bCs w:val="1"/>
                <w:i w:val="1"/>
                <w:iCs w:val="1"/>
                <w:color w:val="auto"/>
                <w:w w:val="92"/>
              </w:rPr>
              <w:t>Company</w:t>
            </w:r>
            <w:r>
              <w:rPr>
                <w:rFonts w:ascii="Arial" w:cs="Arial" w:eastAsia="Arial" w:hAnsi="Arial"/>
                <w:sz w:val="18"/>
                <w:szCs w:val="18"/>
                <w:color w:val="auto"/>
                <w:w w:val="92"/>
              </w:rPr>
              <w:t xml:space="preserve">”), and </w:t>
            </w:r>
            <w:r>
              <w:rPr>
                <w:rFonts w:ascii="Arial" w:cs="Arial" w:eastAsia="Arial" w:hAnsi="Arial"/>
                <w:sz w:val="18"/>
                <w:szCs w:val="18"/>
                <w:b w:val="1"/>
                <w:bCs w:val="1"/>
                <w:color w:val="auto"/>
                <w:w w:val="92"/>
              </w:rPr>
              <w:t>«Name»</w:t>
            </w:r>
            <w:r>
              <w:rPr>
                <w:rFonts w:ascii="Arial" w:cs="Arial" w:eastAsia="Arial" w:hAnsi="Arial"/>
                <w:sz w:val="18"/>
                <w:szCs w:val="18"/>
                <w:color w:val="auto"/>
                <w:w w:val="92"/>
              </w:rPr>
              <w:t xml:space="preserve"> (the “</w:t>
            </w:r>
            <w:r>
              <w:rPr>
                <w:rFonts w:ascii="Arial" w:cs="Arial" w:eastAsia="Arial" w:hAnsi="Arial"/>
                <w:sz w:val="18"/>
                <w:szCs w:val="18"/>
                <w:b w:val="1"/>
                <w:bCs w:val="1"/>
                <w:i w:val="1"/>
                <w:iCs w:val="1"/>
                <w:color w:val="auto"/>
                <w:w w:val="92"/>
              </w:rPr>
              <w:t>Stockholder</w:t>
            </w:r>
            <w:r>
              <w:rPr>
                <w:rFonts w:ascii="Arial" w:cs="Arial" w:eastAsia="Arial" w:hAnsi="Arial"/>
                <w:sz w:val="18"/>
                <w:szCs w:val="18"/>
                <w:color w:val="auto"/>
                <w:w w:val="92"/>
              </w:rPr>
              <w:t>”).</w:t>
            </w:r>
          </w:p>
        </w:tc>
        <w:tc>
          <w:tcPr>
            <w:tcW w:w="130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20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Company has established its 2006 Omnibus Incentive Plan, as Amended and Restated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to advance the interests of the Company and its stockholders by providing incentives to certain eligible persons who contribute significantly to the strategic and long-term performance objectives and growth of the Company. All capitalized terms not otherwise defined in this Agreement have the same meaning given them in the Plan.</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Pursuant to the provisions of the Plan, the Committee has full power and authority to direct the execution and delivery of this Agreement in the name and on behalf of the Company, and has authorized the execution and delivery of this Agreement.</w:t>
      </w:r>
    </w:p>
    <w:p>
      <w:pPr>
        <w:spacing w:after="0" w:line="38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intending to be legally bound hereby, agree as follows: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i w:val="1"/>
          <w:iCs w:val="1"/>
          <w:color w:val="auto"/>
        </w:rPr>
        <w:t>Issuance of Stoc</w:t>
      </w:r>
      <w:r>
        <w:rPr>
          <w:rFonts w:ascii="Arial" w:cs="Arial" w:eastAsia="Arial" w:hAnsi="Arial"/>
          <w:sz w:val="16"/>
          <w:szCs w:val="16"/>
          <w:b w:val="1"/>
          <w:bCs w:val="1"/>
          <w:color w:val="auto"/>
        </w:rPr>
        <w:t>k</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and pursuant to all terms and conditions stated in this Agreement and in the Plan, as of the Issue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hereby grants to Stockholder </w:t>
      </w:r>
      <w:r>
        <w:rPr>
          <w:rFonts w:ascii="Arial" w:cs="Arial" w:eastAsia="Arial" w:hAnsi="Arial"/>
          <w:sz w:val="16"/>
          <w:szCs w:val="16"/>
          <w:b w:val="1"/>
          <w:bCs w:val="1"/>
          <w:color w:val="auto"/>
        </w:rPr>
        <w:t>«Restricted_Shares»</w:t>
      </w:r>
      <w:r>
        <w:rPr>
          <w:rFonts w:ascii="Arial" w:cs="Arial" w:eastAsia="Arial" w:hAnsi="Arial"/>
          <w:sz w:val="16"/>
          <w:szCs w:val="16"/>
          <w:color w:val="auto"/>
        </w:rPr>
        <w:t xml:space="preserve"> shares of Company Common Stock, par value $0.01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pursuant to Article V of the Plan. For purposes of this Agreement,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shall include all of the shares of Common Stock issued to Stockholder pursuant to this Agreement or issued with respect to such shares of Common Stock, including, but not limited to, shares of Company capital stock issued by way of a stock dividend or stock split or in connection with a combination of shares, recapitalization, merger, consolidation or other reorganization.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i w:val="1"/>
          <w:iCs w:val="1"/>
          <w:color w:val="auto"/>
        </w:rPr>
        <w:t>Vesting; Rights; Obligations; and Restrictions on Transfer</w:t>
      </w:r>
      <w:r>
        <w:rPr>
          <w:rFonts w:ascii="Arial" w:cs="Arial" w:eastAsia="Arial" w:hAnsi="Arial"/>
          <w:sz w:val="18"/>
          <w:szCs w:val="18"/>
          <w:b w:val="1"/>
          <w:bCs w:val="1"/>
          <w:color w:val="auto"/>
        </w:rPr>
        <w:t>.</w:t>
      </w:r>
    </w:p>
    <w:p>
      <w:pPr>
        <w:spacing w:after="0" w:line="121" w:lineRule="exact"/>
        <w:rPr>
          <w:sz w:val="20"/>
          <w:szCs w:val="20"/>
          <w:color w:val="auto"/>
        </w:rPr>
      </w:pPr>
    </w:p>
    <w:p>
      <w:pPr>
        <w:ind w:left="460" w:right="140" w:firstLine="443"/>
        <w:spacing w:after="0" w:line="297" w:lineRule="auto"/>
        <w:tabs>
          <w:tab w:leader="none" w:pos="11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None of the Shares may be sold, transferred, pledged, hypothecated or otherwise encumbered or disposed of until they have vested in accordance with the terms of this Section 2. Except as set forth in this Section 2, effective at the close of business on the date Stockholder ceases to be employed by the Company or an affiliate of the Company, any Shares that are not vested in accordance with this Section 2, and any dividends accrued pursuant to Section 2(c) below, shall be automatically forfeited without any further obligation on the part of the Company. Stockholder hereby assigns and transfers any forfeited Shares and the stock certificate(s) or other evidence of ownership representing such Shares to the Company.</w:t>
      </w:r>
    </w:p>
    <w:p>
      <w:pPr>
        <w:spacing w:after="0" w:line="46" w:lineRule="exact"/>
        <w:rPr>
          <w:rFonts w:ascii="Arial" w:cs="Arial" w:eastAsia="Arial" w:hAnsi="Arial"/>
          <w:sz w:val="16"/>
          <w:szCs w:val="16"/>
          <w:color w:val="auto"/>
        </w:rPr>
      </w:pPr>
    </w:p>
    <w:p>
      <w:pPr>
        <w:ind w:left="460" w:right="40" w:firstLine="443"/>
        <w:spacing w:after="0" w:line="289" w:lineRule="auto"/>
        <w:tabs>
          <w:tab w:leader="none" w:pos="1153"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All of the Shares will vest 33 1/3% on each of the first, second, and third anniversaries. </w:t>
      </w:r>
      <w:r>
        <w:rPr>
          <w:rFonts w:ascii="Arial" w:cs="Arial" w:eastAsia="Arial" w:hAnsi="Arial"/>
          <w:sz w:val="17"/>
          <w:szCs w:val="17"/>
          <w:color w:val="auto"/>
        </w:rPr>
        <w:t>However, if a Change of Control occurs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end of the full vesting period and (i) Stockholder experiences an involuntary Separation from Service by the Company other than (A) a Termination for Cause, (B) death, or (C) Disability, or the Stockholder terminates for Good Reason (as defined below) within the</w:t>
      </w:r>
    </w:p>
    <w:p>
      <w:pPr>
        <w:sectPr>
          <w:pgSz w:w="11900" w:h="16838" w:orient="portrait"/>
          <w:cols w:equalWidth="0" w:num="1">
            <w:col w:w="11420"/>
          </w:cols>
          <w:pgMar w:left="240" w:top="121" w:right="239" w:bottom="1440" w:gutter="0" w:footer="0" w:header="0"/>
        </w:sectPr>
      </w:pPr>
    </w:p>
    <w:bookmarkStart w:id="97" w:name="page98"/>
    <w:bookmarkEnd w:id="97"/>
    <w:p>
      <w:pPr>
        <w:jc w:val="both"/>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90-day period immediately preceding a Change of Control, or on or within the two-year period immediately following a Change of Control, or (ii) the acquiring entity in a Change of Control does not assume this Agreement and convert the Shares into a substantially comparable award of capital stock or other equity incentive instrument in such acquiring entity as determined by the Board of Directors, any unvested Shares shall immediately vest.</w:t>
      </w:r>
    </w:p>
    <w:p>
      <w:pPr>
        <w:jc w:val="both"/>
        <w:ind w:right="160"/>
        <w:spacing w:after="0" w:line="261" w:lineRule="auto"/>
        <w:rPr>
          <w:sz w:val="20"/>
          <w:szCs w:val="20"/>
          <w:color w:val="auto"/>
        </w:rPr>
      </w:pPr>
      <w:r>
        <w:rPr>
          <w:rFonts w:ascii="Arial" w:cs="Arial" w:eastAsia="Arial" w:hAnsi="Arial"/>
          <w:sz w:val="18"/>
          <w:szCs w:val="18"/>
          <w:color w:val="auto"/>
        </w:rPr>
        <w:t>Vesting shall be tolled during any period in which Stockholder is on an approved leave of absence from employment with the Company or an affiliate of the Company.</w:t>
      </w:r>
    </w:p>
    <w:p>
      <w:pPr>
        <w:spacing w:after="0" w:line="76" w:lineRule="exact"/>
        <w:rPr>
          <w:sz w:val="20"/>
          <w:szCs w:val="20"/>
          <w:color w:val="auto"/>
        </w:rPr>
      </w:pPr>
    </w:p>
    <w:p>
      <w:pPr>
        <w:ind w:firstLine="443"/>
        <w:spacing w:after="0" w:line="272" w:lineRule="auto"/>
        <w:tabs>
          <w:tab w:leader="none" w:pos="683"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Subject to the foregoing provisions of this Section 2 and the provisions of the Plan, Stockholder shall have all rights of a shareholder with respect to the Shares, including the right to vote the Shares and to receive dividends,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until such time as the Shares, or portion thereof, shall have vested, the Company shall accrue on its books and records for the benefit of the Stockholder an amount equal to the dividend payment that would otherwise have been received on the Shares but for this agreement to accrue the dividend payments. Dividends accrued for the benefit of the Stockholder shall be payable as the Shares vest with payment to be made by the Company, or its agent, within ten (10) business days after vesting. For purposes of clarity, if this Agreement provides that only a portion of the Shares vest on a given date, accrued dividends shall only be payable on that portion of Shares vesting and not on any Shares that remain unvested.</w:t>
      </w:r>
    </w:p>
    <w:p>
      <w:pPr>
        <w:spacing w:after="0" w:line="69" w:lineRule="exact"/>
        <w:rPr>
          <w:rFonts w:ascii="Arial" w:cs="Arial" w:eastAsia="Arial" w:hAnsi="Arial"/>
          <w:sz w:val="17"/>
          <w:szCs w:val="17"/>
          <w:color w:val="auto"/>
        </w:rPr>
      </w:pPr>
    </w:p>
    <w:p>
      <w:pPr>
        <w:ind w:right="160" w:firstLine="443"/>
        <w:spacing w:after="0" w:line="277"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purposes of this Agreement, “Good Reason” means the Stockholder’s Separation from Service as a result of the occurrence, without the Stockholder’s written consent, of one of the following events:</w:t>
      </w:r>
    </w:p>
    <w:p>
      <w:pPr>
        <w:spacing w:after="0" w:line="62" w:lineRule="exact"/>
        <w:rPr>
          <w:rFonts w:ascii="Arial" w:cs="Arial" w:eastAsia="Arial" w:hAnsi="Arial"/>
          <w:sz w:val="18"/>
          <w:szCs w:val="18"/>
          <w:color w:val="auto"/>
        </w:rPr>
      </w:pPr>
    </w:p>
    <w:p>
      <w:pPr>
        <w:ind w:left="460" w:right="280" w:firstLine="421"/>
        <w:spacing w:after="0" w:line="277" w:lineRule="auto"/>
        <w:tabs>
          <w:tab w:leader="none" w:pos="10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material reduction in the Stockholder’s annual base salary (unless such reduction relates to an across-the-board reduction similarly affecting Stockholder and all or substantially all other executives of the Company and its affiliates);</w:t>
      </w:r>
    </w:p>
    <w:p>
      <w:pPr>
        <w:spacing w:after="0" w:line="62" w:lineRule="exact"/>
        <w:rPr>
          <w:rFonts w:ascii="Arial" w:cs="Arial" w:eastAsia="Arial" w:hAnsi="Arial"/>
          <w:sz w:val="18"/>
          <w:szCs w:val="18"/>
          <w:color w:val="auto"/>
        </w:rPr>
      </w:pPr>
    </w:p>
    <w:p>
      <w:pPr>
        <w:ind w:left="460" w:firstLine="421"/>
        <w:spacing w:after="0" w:line="254" w:lineRule="auto"/>
        <w:tabs>
          <w:tab w:leader="none" w:pos="114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(or the Subsidiary employing Stockholder) makes or causes to be made a material adverse change in the Stockholder’s position, authority, duties or responsibilities which results in a significant diminution in the Stockholder’s position, authority, duties or responsibilities, excluding any change made in connection with (A) a reassignment to a New Job Position (as defined herein), or (B) a termination of Stockholder’s employment with the Company for Disability, Termination for Cause, death, or temporarily as a result of Participant’s incapacity or other absence for an extended period; (For purposes of this Agreement, “New Job Position” means a change in the Stockholder’s position, authority, duties or responsibilities with the Company or any affiliate due to the Stockholder’s demonstrated inadequate or unsatisfactory performance, provided the Stockholder had been notified of such inadequate performance and had been given at least 30 days to cure such inadequate performance.)</w:t>
      </w:r>
    </w:p>
    <w:p>
      <w:pPr>
        <w:spacing w:after="0" w:line="84" w:lineRule="exact"/>
        <w:rPr>
          <w:rFonts w:ascii="Arial" w:cs="Arial" w:eastAsia="Arial" w:hAnsi="Arial"/>
          <w:sz w:val="18"/>
          <w:szCs w:val="18"/>
          <w:color w:val="auto"/>
        </w:rPr>
      </w:pPr>
    </w:p>
    <w:p>
      <w:pPr>
        <w:ind w:left="460" w:right="80" w:firstLine="421"/>
        <w:spacing w:after="0" w:line="342" w:lineRule="auto"/>
        <w:tabs>
          <w:tab w:leader="none" w:pos="1195"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relocation of the Company’s principal place of business, or of Stockholder’s own office as assigned to Stockholder by the Company or the Subsidiary employing Stockholder to a location that increases Stockholder’s normal work commute by more than 50 miles; or</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98" w:name="page99"/>
    <w:bookmarkEnd w:id="98"/>
    <w:p>
      <w:pPr>
        <w:ind w:left="920" w:right="500" w:firstLine="421"/>
        <w:spacing w:after="0" w:line="277" w:lineRule="auto"/>
        <w:tabs>
          <w:tab w:leader="none" w:pos="1645"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action by the Company or the Subsidiary employing Stockholder that constitutes a material breach of the employment agreement, if any, under which Stockholder’s services are to be performed.</w:t>
      </w:r>
    </w:p>
    <w:p>
      <w:pPr>
        <w:spacing w:after="0" w:line="62" w:lineRule="exact"/>
        <w:rPr>
          <w:sz w:val="20"/>
          <w:szCs w:val="20"/>
          <w:color w:val="auto"/>
        </w:rPr>
      </w:pPr>
    </w:p>
    <w:p>
      <w:pPr>
        <w:ind w:left="460" w:right="580"/>
        <w:spacing w:after="0" w:line="291" w:lineRule="auto"/>
        <w:rPr>
          <w:sz w:val="20"/>
          <w:szCs w:val="20"/>
          <w:color w:val="auto"/>
        </w:rPr>
      </w:pPr>
      <w:r>
        <w:rPr>
          <w:rFonts w:ascii="Arial" w:cs="Arial" w:eastAsia="Arial" w:hAnsi="Arial"/>
          <w:sz w:val="16"/>
          <w:szCs w:val="16"/>
          <w:color w:val="auto"/>
        </w:rPr>
        <w:t>In order for Stockholder to terminate for Good Reason, (A) the Company must be notified by Stockholder in writing within 90 days of the event constituting Good Reason, (B) the event must remain uncorrected by the Company for 30 days following such notice (the “Notice Period”), and</w:t>
      </w:r>
    </w:p>
    <w:p>
      <w:pPr>
        <w:ind w:left="740" w:hanging="27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termination must occur within 60 days after the expiration of the Notice Period.</w:t>
      </w:r>
    </w:p>
    <w:p>
      <w:pPr>
        <w:spacing w:after="0" w:line="102" w:lineRule="exact"/>
        <w:rPr>
          <w:rFonts w:ascii="Arial" w:cs="Arial" w:eastAsia="Arial" w:hAnsi="Arial"/>
          <w:sz w:val="18"/>
          <w:szCs w:val="18"/>
          <w:color w:val="auto"/>
        </w:rPr>
      </w:pPr>
    </w:p>
    <w:p>
      <w:pPr>
        <w:ind w:left="1140" w:hanging="237"/>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certificates, if any, representing unvested Shares will bear the following or similar legend:</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securities represented by this certificate are subject to forfeiture and restrictions on transfer as set forth in the Restricted Stock Agreement between the issuer and the initial holder of these shares. A copy of that document may be obtained by the holder without charge at the issuer’s principal place of business or upon written request.”</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i w:val="1"/>
          <w:iCs w:val="1"/>
          <w:color w:val="auto"/>
        </w:rPr>
        <w:t>Investment Representation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hereby acknowledges that the Shares cannot be sold, transferred, assigned, pledged or</w:t>
      </w:r>
      <w:r>
        <w:rPr>
          <w:rFonts w:ascii="Arial" w:cs="Arial" w:eastAsia="Arial" w:hAnsi="Arial"/>
          <w:sz w:val="16"/>
          <w:szCs w:val="16"/>
          <w:b w:val="1"/>
          <w:bCs w:val="1"/>
          <w:color w:val="auto"/>
        </w:rPr>
        <w:t xml:space="preserve"> </w:t>
      </w:r>
      <w:r>
        <w:rPr>
          <w:rFonts w:ascii="Arial" w:cs="Arial" w:eastAsia="Arial" w:hAnsi="Arial"/>
          <w:sz w:val="16"/>
          <w:szCs w:val="16"/>
          <w:color w:val="auto"/>
        </w:rPr>
        <w:t>hypothecated in the absence of an effective registration statement for the shares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applicable state securities laws or an applicable exemption from the registration requirements of the Securities Act and any applicable state securities laws or as otherwise provided herein or in the Plan. Stockholder also agrees that the Shares which Stockholder acquires pursuant to this Agreement will not be sold or otherwise disposed of in any manner which would constitute a violation of any applicable securities laws, whether federal or state.</w:t>
      </w:r>
    </w:p>
    <w:p>
      <w:pPr>
        <w:spacing w:after="0" w:line="154" w:lineRule="exact"/>
        <w:rPr>
          <w:sz w:val="20"/>
          <w:szCs w:val="20"/>
          <w:color w:val="auto"/>
        </w:rPr>
      </w:pPr>
    </w:p>
    <w:p>
      <w:pPr>
        <w:ind w:right="300" w:firstLine="456"/>
        <w:spacing w:after="0" w:line="347"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i w:val="1"/>
          <w:iCs w:val="1"/>
          <w:color w:val="auto"/>
        </w:rPr>
        <w:t>Book Entry Account</w:t>
      </w:r>
      <w:r>
        <w:rPr>
          <w:rFonts w:ascii="Arial" w:cs="Arial" w:eastAsia="Arial" w:hAnsi="Arial"/>
          <w:sz w:val="16"/>
          <w:szCs w:val="16"/>
          <w:color w:val="auto"/>
        </w:rPr>
        <w:t>. At the discretion of the Company, certificates for the shares may not be issued. In lieu of certificates,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establish a book entry account for the Shares, until vested, in the name of the Stockholder with the Company’s transfer agent for its Common Stock.</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Stockholder acknowledges that any income for federal, state or local income tax purposes that Stockholder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 on account of the issuance of the Shares to Stockholder shall be subject to withholding of tax by the Company. In accordance with administrative procedures established by the Company, Stockholder may elect to satisfy Stockholder’s minimum statutory withholding tax obligations, if any, on account of the vesting of Shares hereunder in one or a combination of the following methods: in cash or by separate check made payable to the Company and/or authorizing the Company to withhold a number of vested Shares issued hereunder equal to the applicable minimum statutory withholding tax obligation. In the event Stockholder does not make such payment when requested, the Company may refuse to issue or cause to be delivered any Shares under this Agreement or any other incentive plan agreement entered into by Stockholder and the Company until such payment has been made or arrangements for such payment satisfactory to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9" w:name="page100"/>
    <w:bookmarkEnd w:id="99"/>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have been made. Stockholder agrees further to notify the Company promptly if Stockholder files an election pursuant to Section 83(b)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with respect to any Shares.</w:t>
      </w:r>
    </w:p>
    <w:p>
      <w:pPr>
        <w:spacing w:after="0" w:line="166"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i w:val="1"/>
          <w:iCs w:val="1"/>
          <w:color w:val="auto"/>
        </w:rPr>
        <w:t>No Right to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Plan nor this Agreement shall be deemed to give Stockholder any right to continue to be employed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nor shall the Plan or the Agreement be deemed to limit in any way the Company’s right to terminate the employment of the Stockholder at any time.</w:t>
      </w:r>
    </w:p>
    <w:p>
      <w:pPr>
        <w:spacing w:after="0" w:line="176"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i w:val="1"/>
          <w:iCs w:val="1"/>
          <w:color w:val="auto"/>
        </w:rPr>
        <w:t>Further Assistance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will provide assistance reasonably requested by the Company in connection with actions taken by</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while employed by the Company, including but not limited to assistance in connection with any lawsuits or other claims against the Company arising from events during the period in which Stockholder was employed by the Company.</w:t>
      </w:r>
    </w:p>
    <w:p>
      <w:pPr>
        <w:spacing w:after="0" w:line="17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Binding Effect; No Third Party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to the benefit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and their respective heirs, representatives, successors and permitted assigns. This Agreement shall not confer any rights or remedies upon any person other than the Company and the Stockholder and their respective heirs, representatives, successors and permitted assigns. The parties agree that this Agreement shall survive the issuance of the Shares.</w:t>
      </w:r>
    </w:p>
    <w:p>
      <w:pPr>
        <w:spacing w:after="0" w:line="180"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i w:val="1"/>
          <w:iCs w:val="1"/>
          <w:color w:val="auto"/>
        </w:rPr>
        <w:t>Agreement to Abide by Plan; Conflict between Plan and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is hereby incorporated by reference into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is made a part hereof as though fully set forth in this Agreement. Stockholder, by execution of this Agreement, represents that he or she is familiar with the terms and provisions of the Plan and agrees to abide by all of the terms and conditions of this Agreement and the Plan. Stockholder accepts as binding, conclusive and final all decisions or interpretations of the Committee upon any question arising under the Plan or this Agreement (including, without limitation, the date of any termination of Stockholder’s employment with the Company). In the event of any conflict between the Plan and this Agreement, the Plan shall control and this Agreement shall be deemed to be modified accordingly, except to the extent that the Plan gives the Committee the express authority to vary the terms of the Plan by means of this Agreement, in which case this Agreement shall govern.</w:t>
      </w:r>
    </w:p>
    <w:p>
      <w:pPr>
        <w:spacing w:after="0" w:line="162"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herein, this Agreement and the Plan, which Stockholder has reviewed and accepted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grant of the Shares reflected by this Agreement, constitute the entire agreement between the parties and supersede any prior understandings, agreements, or representations by or between the parties, written or oral, to the extent they related in any way to the subject matter of this Agreement.</w:t>
      </w:r>
    </w:p>
    <w:p>
      <w:pPr>
        <w:spacing w:after="0" w:line="180"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not superseded by federal law, the laws of the Commonwealth of Pennsylvania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laws thereof) shall control in all matters relating to this Agreement and any action relating to this Agreement must be brought in State or Federal Courts located in the Commonwealth of Pennsylvania.</w:t>
      </w:r>
    </w:p>
    <w:p>
      <w:pPr>
        <w:spacing w:after="0" w:line="176"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All notices, requests, demands, claims, and other communications under this Agreement shall be in writing. Any notice,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demand, claim, or other communication under this Agreement shall be deemed duly given if (and then two business days after) it is sent by registered or certified mail, return receipt requested, postage prepaid, and</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00" w:name="page101"/>
    <w:bookmarkEnd w:id="10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addressed to the intended recipient at the following address: If to the Company, L. B. Foster Company, 415 Holiday Drive, Pittsburgh, PA 15220, Attn: Secretary; and if to the Stockholder, to his or her address as it appears on the Company’s records. Either party to this Agreement may send any notice, request, demand, claim, or other communication under this Agreement to the intended recipient at such address using any other means (including personal delivery, expedited courier, messenger service, telecopy, ordinary mail, or electronic mail), but no such notice, request, demand, claim, or other communication shall be deemed to have been duly given unless and until it actually is received by the intended recipient. Either party to this Agreement may change the address to which notices, requests, demands, claims, and other communications hereunder are to be delivered by giving the other party notice in the manner set forth in this section.</w:t>
      </w:r>
    </w:p>
    <w:p>
      <w:pPr>
        <w:spacing w:after="0" w:line="18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62"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at any time by an instrument in writing signed by the parties hereto, or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under the Plan. Notwithstanding, the Company may, in its sole discretion and without the Stockholder’s consent, modify or amend the terms of this Agreement, impose conditions on the timing and effectiveness of the issuance of the Shares, or take any other action it deems necessary or advisable, to cause this Award to be excepted from Section 409A of the Code (or to comply therewith to the extent the Company determines it is not excepted).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i w:val="1"/>
          <w:iCs w:val="1"/>
          <w:color w:val="auto"/>
        </w:rPr>
        <w:t>Acknowledgments.</w:t>
      </w:r>
    </w:p>
    <w:p>
      <w:pPr>
        <w:spacing w:after="0" w:line="121" w:lineRule="exact"/>
        <w:rPr>
          <w:sz w:val="20"/>
          <w:szCs w:val="20"/>
          <w:color w:val="auto"/>
        </w:rPr>
      </w:pPr>
    </w:p>
    <w:p>
      <w:pPr>
        <w:ind w:left="460" w:right="200" w:firstLine="443"/>
        <w:spacing w:after="0" w:line="277" w:lineRule="auto"/>
        <w:tabs>
          <w:tab w:leader="none" w:pos="11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accepting the Shares, the Stockholder acknowledges receipt of a copy of the Plan and agrees to be bound by the terms and conditions set forth in the Plan and this Agreement, as in effect and/or amended from time to time.</w:t>
      </w:r>
    </w:p>
    <w:p>
      <w:pPr>
        <w:spacing w:after="0" w:line="62"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Plan and related documents may be delivered to you electronically. Such means of delivery may include but do not necessarily include the delivery of a link to a Company intranet site or the internet site of a third party involved in administering the Plan, the delivery of the documents via e-mail or CD-ROM or such other delivery determined at the Committee’s discretion. Both Internet Email and the World Wide Web are required in order to access documents electronically.</w:t>
      </w:r>
    </w:p>
    <w:p>
      <w:pPr>
        <w:spacing w:after="0" w:line="78" w:lineRule="exact"/>
        <w:rPr>
          <w:rFonts w:ascii="Arial" w:cs="Arial" w:eastAsia="Arial" w:hAnsi="Arial"/>
          <w:sz w:val="18"/>
          <w:szCs w:val="18"/>
          <w:color w:val="auto"/>
        </w:rPr>
      </w:pPr>
    </w:p>
    <w:p>
      <w:pPr>
        <w:ind w:left="460" w:right="40" w:firstLine="443"/>
        <w:spacing w:after="0" w:line="286" w:lineRule="auto"/>
        <w:tabs>
          <w:tab w:leader="none" w:pos="114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Award is intended to be excepted from coverage under Section 409A of the Code and the regulations promulgated thereunder and shall be interpreted and construed accordingly. Notwithstanding, Stockholder recognizes and acknowledges that Section 409A of the Code may impose upon the Stockholder certain taxes or interest charges for which the Stockholder is and shall remain solely responsible.</w:t>
      </w:r>
    </w:p>
    <w:p>
      <w:pPr>
        <w:spacing w:after="0" w:line="57" w:lineRule="exact"/>
        <w:rPr>
          <w:rFonts w:ascii="Arial" w:cs="Arial" w:eastAsia="Arial" w:hAnsi="Arial"/>
          <w:sz w:val="17"/>
          <w:szCs w:val="17"/>
          <w:color w:val="auto"/>
        </w:rPr>
      </w:pPr>
    </w:p>
    <w:p>
      <w:pPr>
        <w:jc w:val="both"/>
        <w:ind w:left="460" w:right="20" w:firstLine="443"/>
        <w:spacing w:after="0" w:line="259"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Stockholder acknowledges that, by receipt of this Award, Stockholder has read this Section 15 and consents to the electronic delivery of the Plan and related documents, as described in this Section 15. Stockholder acknowledges that Stockholder may receive from the Company a paper copy of any documents delivered electronically at no cost if Stockholder contacts the Company’s General Counsel by telephone at (412) 928-7829 or by mail to L.B. Foster Company, 415 Holiday Drive,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1" w:name="page102"/>
    <w:bookmarkEnd w:id="101"/>
    <w:p>
      <w:pPr>
        <w:ind w:left="460"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Pittsburgh, PA 15220 ATTN: General Counsel. Stockholder further acknowledges that Stockholder will be provided with a paper copy of any documents delivered electronically if electronic delivery fails.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WITNESS WHEREOF, the Company has caused a duly authorized officer to execute this Agreement on its behalf, and the Stockholder has placed his/her signature hereon, effective as of the Issue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B. FOSTER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Robert P. Bauer</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 TO:</w:t>
      </w:r>
    </w:p>
    <w:p>
      <w:pPr>
        <w:spacing w:after="0" w:line="22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183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74" w:right="3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10.26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L. B. FOSTER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EXECUTIVE ANNUAL INCENTIVE COMPENSATION PLAN</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purpose of this document is to establish in writing the 2016 performance goals and other terms applicable to the 2016 awards authorized under the L. B. Foster Company Executive Annual Incentive Compensation Plan (“Plan”) for the Fiscal Year (as defined below).</w:t>
      </w:r>
    </w:p>
    <w:p>
      <w:pPr>
        <w:spacing w:after="0" w:line="31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Capitalized terms not otherwise defined herein shall have the meaning ascribed thereto in the Plan. The following terms shall be defined as follows:</w:t>
      </w:r>
    </w:p>
    <w:p>
      <w:pPr>
        <w:spacing w:after="0" w:line="136"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1.1. “Company” </w:t>
      </w:r>
      <w:r>
        <w:rPr>
          <w:rFonts w:ascii="Arial" w:cs="Arial" w:eastAsia="Arial" w:hAnsi="Arial"/>
          <w:sz w:val="18"/>
          <w:szCs w:val="18"/>
          <w:color w:val="auto"/>
        </w:rPr>
        <w:t>shall mean L. B. Foster Company and those subsidiaries thereof in which L. B. Foster Company owns 100% of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1.2. “Operating Unit” </w:t>
      </w:r>
      <w:r>
        <w:rPr>
          <w:rFonts w:ascii="Arial" w:cs="Arial" w:eastAsia="Arial" w:hAnsi="Arial"/>
          <w:sz w:val="18"/>
          <w:szCs w:val="18"/>
          <w:color w:val="auto"/>
        </w:rPr>
        <w:t>shall mean the Company’s units or divisions which are reported in the Company’s internal financial statements and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as applicable to this Plan and set forth on an exhibit on file with the Committee.</w:t>
      </w:r>
    </w:p>
    <w:p>
      <w:pPr>
        <w:spacing w:after="0" w:line="162"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 xml:space="preserve">1.3. “Financial Performance Award” </w:t>
      </w:r>
      <w:r>
        <w:rPr>
          <w:rFonts w:ascii="Arial" w:cs="Arial" w:eastAsia="Arial" w:hAnsi="Arial"/>
          <w:sz w:val="17"/>
          <w:szCs w:val="17"/>
          <w:color w:val="auto"/>
        </w:rPr>
        <w:t>shall mean an award, as determined for each Participant, equal to (i) the “Participant’s Target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multiplied by (ii) the applicable aggregate percentage specified for Financial Performance Awards under Section 3.2, with the amount to be paid with respect thereto to be calculated based upon the attainment of the objective financial performance goals established by the Committee for Corporate and Operating Unit Adjusted EBITDA, Corporate and Operating Unit Working Capital as a Percentage of Sales, and Corporate ROIC for the Fiscal Year, excluding the results and any other impact of IOS Holdings Inc. as approved by the Committee and set forth on an exhibit on file with the Committee, and subject to the Committee’s right to exercise discretion with respect to the amount to be paid with respect to any such award.</w:t>
      </w:r>
    </w:p>
    <w:p>
      <w:pPr>
        <w:spacing w:after="0" w:line="174"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b w:val="1"/>
          <w:bCs w:val="1"/>
          <w:color w:val="auto"/>
        </w:rPr>
        <w:t xml:space="preserve">1.4. “Base Compensation” </w:t>
      </w:r>
      <w:r>
        <w:rPr>
          <w:rFonts w:ascii="Arial" w:cs="Arial" w:eastAsia="Arial" w:hAnsi="Arial"/>
          <w:sz w:val="18"/>
          <w:szCs w:val="18"/>
          <w:color w:val="auto"/>
        </w:rPr>
        <w:t>shall mean base salary, rounded to the nearest whole dollar, as in effect for a Participant on March 1, 2016.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Base Compensation for Participants who terminate during the Fiscal Year shall include only such Base Compensation paid to such Participants during the Fiscal Year for the period prior to such termination.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“Participant” </w:t>
      </w:r>
      <w:r>
        <w:rPr>
          <w:rFonts w:ascii="Arial" w:cs="Arial" w:eastAsia="Arial" w:hAnsi="Arial"/>
          <w:sz w:val="18"/>
          <w:szCs w:val="18"/>
          <w:color w:val="auto"/>
        </w:rPr>
        <w:t>shall mean all executive officers of the Company set forth on Schedule 1.10.</w:t>
      </w:r>
    </w:p>
    <w:p>
      <w:pPr>
        <w:spacing w:after="0" w:line="225" w:lineRule="exact"/>
        <w:rPr>
          <w:sz w:val="20"/>
          <w:szCs w:val="20"/>
          <w:color w:val="auto"/>
        </w:rPr>
      </w:pPr>
    </w:p>
    <w:p>
      <w:pPr>
        <w:jc w:val="both"/>
        <w:ind w:right="240" w:firstLine="456"/>
        <w:spacing w:after="0" w:line="282" w:lineRule="auto"/>
        <w:rPr>
          <w:sz w:val="20"/>
          <w:szCs w:val="20"/>
          <w:color w:val="auto"/>
        </w:rPr>
      </w:pPr>
      <w:r>
        <w:rPr>
          <w:rFonts w:ascii="Arial" w:cs="Arial" w:eastAsia="Arial" w:hAnsi="Arial"/>
          <w:sz w:val="18"/>
          <w:szCs w:val="18"/>
          <w:b w:val="1"/>
          <w:bCs w:val="1"/>
          <w:color w:val="auto"/>
        </w:rPr>
        <w:t xml:space="preserve">1.6. “Participant’s Target Incentive” </w:t>
      </w:r>
      <w:r>
        <w:rPr>
          <w:rFonts w:ascii="Arial" w:cs="Arial" w:eastAsia="Arial" w:hAnsi="Arial"/>
          <w:sz w:val="18"/>
          <w:szCs w:val="18"/>
          <w:color w:val="auto"/>
        </w:rPr>
        <w:t>shall mean the product of the Base Compensation of a Participant multiplied by the specific target percentage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for a Participant by the Committee as described in Section 3.1 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“Fiscal Year” </w:t>
      </w:r>
      <w:r>
        <w:rPr>
          <w:rFonts w:ascii="Arial" w:cs="Arial" w:eastAsia="Arial" w:hAnsi="Arial"/>
          <w:sz w:val="18"/>
          <w:szCs w:val="18"/>
          <w:color w:val="auto"/>
        </w:rPr>
        <w:t>means the 2016 calendar year (January 1, 2016 through December 31, 2016).</w:t>
      </w:r>
    </w:p>
    <w:p>
      <w:pPr>
        <w:sectPr>
          <w:pgSz w:w="11900" w:h="16838" w:orient="portrait"/>
          <w:cols w:equalWidth="0" w:num="1">
            <w:col w:w="11420"/>
          </w:cols>
          <w:pgMar w:left="240" w:top="121" w:right="239" w:bottom="1440" w:gutter="0" w:footer="0" w:header="0"/>
        </w:sectPr>
      </w:pPr>
    </w:p>
    <w:bookmarkStart w:id="103" w:name="page104"/>
    <w:bookmarkEnd w:id="103"/>
    <w:p>
      <w:pPr>
        <w:ind w:firstLine="456"/>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1.8. “Adjusted EBITDA” </w:t>
      </w:r>
      <w:r>
        <w:rPr>
          <w:rFonts w:ascii="Arial" w:cs="Arial" w:eastAsia="Arial" w:hAnsi="Arial"/>
          <w:sz w:val="17"/>
          <w:szCs w:val="17"/>
          <w:color w:val="auto"/>
        </w:rPr>
        <w:t>(Earnings before interest, taxes, depreciation, and amortization) shall mean with respect to the Company or an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Unit, for the Fiscal Year, determined in accordance with generally accepted accounting principles, including the applicable LIFO charge or credit (a) income from continuing operations; (b) plus income tax expense; (c) plus interest expense; (d) minus interest income; (e) plus depreciation expense; and (f) plus amortization expense. Adjusted EBITDA shall be calculated without regard to: (i) the effect of changes in accounting principles, (ii) any on-going and/or one-time costs and/or expenses attributable to an acquisition, including but not limited to, those related to the negotiation, completion and/or integration of an acquisition, incurred during the Fiscal Year, (iii) any costs related to the purchase accounting step up in the basis of tangible or intangible assets not classified as depreciation or amortization, (iv) any on-going and/or one-time costs and/or expenses related to the unsuccessfully attempted acquisition of a business during the Fiscal Year (exclusive of employee travel), (v) any on-going and/or one-time costs and/or expenses (exclusive of employee travel) associated with the sale or attempted sale of a business in the Fiscal Year, (vi) any significant or non-recurring items which are disclosed in management’s discussion and analysis of financial condition and results of operations in the Company’s Annual Report on Form 10-K for such period and which would have an adverse effect on the pay-out amount of a Participant’s Financial Performance Award, (vii) the costs of the Plan for domestic Operating Units, (viii) the impact on any Operating Unit attributable to any administrative intercompany charges related to transfer pricing compliance where the consolidated impact is zero, (ix) the reported results of an acquisition (as well as results of operations and financial position) completed in the Fiscal Year, and (x) the results and any other impact of IOS Holdings, Inc. Notwithstanding the foregoing, in the event that a business is sold during the Fiscal Year, such business’ target and adjusted actual results shall be eliminated from all calculations.</w:t>
      </w:r>
    </w:p>
    <w:p>
      <w:pPr>
        <w:spacing w:after="0" w:line="18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 xml:space="preserve">1.9. “Working Capital as a Percentage of Sales” </w:t>
      </w:r>
      <w:r>
        <w:rPr>
          <w:rFonts w:ascii="Arial" w:cs="Arial" w:eastAsia="Arial" w:hAnsi="Arial"/>
          <w:sz w:val="16"/>
          <w:szCs w:val="16"/>
          <w:color w:val="auto"/>
        </w:rPr>
        <w:t>(“W/C as a % of Sales”) shall mean with respect to the Company, or as applicable, for an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Unit, for the Fiscal Year, the average monthly balances of Inventory and Accounts Receivable less the average monthly balances of Accounts Payable and Deferred Revenue divided by annual net sales, provided however that all the above items, shall be determined without regard to: (i) any on-going and/or one-time costs and/or expenses relating to acquisitions transacted during the Fiscal Year, (ii) businesses reclassified as “Discontinued Operations,” (iii) the impact on any Operating Unit attributable to any administrative intercompany charges related to transfer pricing compliance where the consolidated impact is zero,</w:t>
      </w:r>
    </w:p>
    <w:p>
      <w:pPr>
        <w:spacing w:after="0" w:line="2" w:lineRule="exact"/>
        <w:rPr>
          <w:sz w:val="20"/>
          <w:szCs w:val="20"/>
          <w:color w:val="auto"/>
        </w:rPr>
      </w:pPr>
    </w:p>
    <w:p>
      <w:pPr>
        <w:ind w:firstLine="8"/>
        <w:spacing w:after="0" w:line="255" w:lineRule="auto"/>
        <w:tabs>
          <w:tab w:leader="none" w:pos="3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reported results (as well as results of operations and financial position) of an acquisition completed in the Fiscal Year, and (v) the results and any other impact of IOS Holdings, Inc. Notwithstanding the foregoing, in the event that a business is sold during the Fiscal Year, such business’ target and adjusted actual results shall be eliminated from all calculations.</w:t>
      </w:r>
    </w:p>
    <w:p>
      <w:pPr>
        <w:spacing w:after="0" w:line="186"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b w:val="1"/>
          <w:bCs w:val="1"/>
          <w:color w:val="auto"/>
        </w:rPr>
        <w:t xml:space="preserve">1.10. “Return on Invested Capital” (“ROIC”) </w:t>
      </w:r>
      <w:r>
        <w:rPr>
          <w:rFonts w:ascii="Arial" w:cs="Arial" w:eastAsia="Arial" w:hAnsi="Arial"/>
          <w:sz w:val="18"/>
          <w:szCs w:val="18"/>
          <w:color w:val="auto"/>
        </w:rPr>
        <w:t>shall mean, with respect to the Company for the Fiscal Year: (a) after tax earnings from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before interest income and interest expense and amortization charges (all tax affected using the effective corporate tax rate), divided by (b) an average of month end total assets</w:t>
      </w:r>
    </w:p>
    <w:p>
      <w:pPr>
        <w:sectPr>
          <w:pgSz w:w="11900" w:h="16838" w:orient="portrait"/>
          <w:cols w:equalWidth="0" w:num="1">
            <w:col w:w="11400"/>
          </w:cols>
          <w:pgMar w:left="240" w:top="270" w:right="259" w:bottom="1440" w:gutter="0" w:footer="0" w:header="0"/>
        </w:sectPr>
      </w:pPr>
    </w:p>
    <w:bookmarkStart w:id="104" w:name="page105"/>
    <w:bookmarkEnd w:id="10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 the sum of cash, marketable securities and non-interest bearing current liabilities, determined in accordance with generally accepted accounting principles. ROIC shall be expressed as a percentage and shall be determined without regard to: (i) the effect of changes in accounting principles, (ii) any on-going and/or one-time costs and/or expenses attributable to an acquisition, including but not limited to, those related to the negotiation, completion and/or integration of an acquisition, incurred during the Fiscal Year, (iii) any costs related to purchase accounting step up in the basis of tangible or intangible assets not classified as amortization, (iv) the impact of all assets and liabilities purchased or incurred as a result of an acquisition, (v) any on-going and/or one-time costs and/or expenses (exclusive of employee travel) related to the unsuccessfully attempted acquisition of a business during the Fiscal Year, (vi) any on-going and/or one-time costs and/or expenses associated with the successful or unsuccessful sale of a business (exclusive of employee travel), (vii) any significant or non-recurring items which are disclosed in management’s discussion and analysis of financial condition and results of operations in the Company’s Annual Report on Form 10-K for such period and which would have an adverse effect on the pay-out amount of a Participant’s Financial Performance Award, (viii) the reported results (as well as the results of operations and financial position) of an acquisition completed in the Fiscal Year, and</w:t>
      </w:r>
    </w:p>
    <w:p>
      <w:pPr>
        <w:spacing w:after="0" w:line="6" w:lineRule="exact"/>
        <w:rPr>
          <w:sz w:val="20"/>
          <w:szCs w:val="20"/>
          <w:color w:val="auto"/>
        </w:rPr>
      </w:pPr>
    </w:p>
    <w:p>
      <w:pPr>
        <w:ind w:right="280" w:firstLine="8"/>
        <w:spacing w:after="0" w:line="261" w:lineRule="auto"/>
        <w:tabs>
          <w:tab w:leader="none" w:pos="3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and any other impact of IOS Holdings, Inc. Notwithstanding the foregoing, in the event that a business is sold during the Fiscal Year, such business’ target and adjusted actual results shall be eliminated from all calculations.</w:t>
      </w:r>
    </w:p>
    <w:p>
      <w:pPr>
        <w:spacing w:after="0" w:line="180"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1.11. “Target Working Capital as a Percent of Sales (Corporate and Operating Unit), Target Adjusted EBITDA (Corporate and Operating Unit), and Target ROIC” </w:t>
      </w:r>
      <w:r>
        <w:rPr>
          <w:rFonts w:ascii="Arial" w:cs="Arial" w:eastAsia="Arial" w:hAnsi="Arial"/>
          <w:sz w:val="18"/>
          <w:szCs w:val="18"/>
          <w:color w:val="auto"/>
        </w:rPr>
        <w:t>shall mean the respective targets approved by the Committee as applicable to this Plan and set forth on an exhibit on file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which excludes, in each case, any impact of IOS Holdings, Inc.</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“Section 162(m) Officer Bonus Pool” </w:t>
      </w:r>
      <w:r>
        <w:rPr>
          <w:rFonts w:ascii="Arial" w:cs="Arial" w:eastAsia="Arial" w:hAnsi="Arial"/>
          <w:sz w:val="18"/>
          <w:szCs w:val="18"/>
          <w:color w:val="auto"/>
        </w:rPr>
        <w:t>shall mean 7% of the Adjusted EBITDA for the Fiscal Year, which shall be allocable to the</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Section 162(m) Officers in the percentages set forth on an exhibit on file with the Committee, subject to the Committee’s right to reduce any such allocations in its sole discretion. Adjusted EBITDA for the Section 162(m) Officer Bonus Pool shall be defined as set forth on an exhibit on file with the Committee.</w:t>
      </w:r>
    </w:p>
    <w:p>
      <w:pPr>
        <w:spacing w:after="0" w:line="13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1.13. “Section 162(m) Officer” </w:t>
      </w:r>
      <w:r>
        <w:rPr>
          <w:rFonts w:ascii="Arial" w:cs="Arial" w:eastAsia="Arial" w:hAnsi="Arial"/>
          <w:sz w:val="18"/>
          <w:szCs w:val="18"/>
          <w:color w:val="auto"/>
        </w:rPr>
        <w:t>shall mean the officers of the Company who are listed as Section 162(m) Officers on an exhibit on file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who the Company has determined may be subject to the limitations imposed on “covered employees” under Section 162(m) of the Internal Revenue Code of 1986, as amended.</w:t>
      </w:r>
    </w:p>
    <w:p>
      <w:pPr>
        <w:spacing w:after="0" w:line="32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1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2.1. Additional Conditions</w:t>
      </w:r>
      <w:r>
        <w:rPr>
          <w:rFonts w:ascii="Arial" w:cs="Arial" w:eastAsia="Arial" w:hAnsi="Arial"/>
          <w:sz w:val="18"/>
          <w:szCs w:val="18"/>
          <w:color w:val="auto"/>
        </w:rPr>
        <w:t>. Subject to the terms and conditions set forth herein and in the Plan and unless the Committee determines otherwise,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a Participant’s right, if any, to receive payment of their respective Financial Performance Awards shall also be contingent upon satisfaction of each of the following requirements:</w:t>
      </w:r>
    </w:p>
    <w:p>
      <w:pPr>
        <w:sectPr>
          <w:pgSz w:w="11900" w:h="16838" w:orient="portrait"/>
          <w:cols w:equalWidth="0" w:num="1">
            <w:col w:w="11320"/>
          </w:cols>
          <w:pgMar w:left="240" w:top="274" w:right="339" w:bottom="1440" w:gutter="0" w:footer="0" w:header="0"/>
        </w:sectPr>
      </w:pPr>
    </w:p>
    <w:bookmarkStart w:id="105" w:name="page106"/>
    <w:bookmarkEnd w:id="105"/>
    <w:p>
      <w:pPr>
        <w:ind w:left="460" w:right="40" w:firstLine="438"/>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w:t>
      </w:r>
      <w:r>
        <w:rPr>
          <w:rFonts w:ascii="Arial" w:cs="Arial" w:eastAsia="Arial" w:hAnsi="Arial"/>
          <w:sz w:val="18"/>
          <w:szCs w:val="18"/>
          <w:color w:val="auto"/>
        </w:rPr>
        <w:t>A Participant must execute a Confidentiality, Intellectual Property and Non-Compete Agreement in a form satisfactory to the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the executed agreement to the Company’s Vice President, Human Resources and Administration on or before October 1 of the applicable Fiscal Year. If a Participant previously has executed a Confidentiality, Intellectual Property and Non-Compete Agreement, the Participant need not execute and deliver another Confidentiality, Intellectual Property and Non-Compete Agreement.</w:t>
      </w:r>
    </w:p>
    <w:p>
      <w:pPr>
        <w:spacing w:after="0" w:line="72" w:lineRule="exact"/>
        <w:rPr>
          <w:sz w:val="20"/>
          <w:szCs w:val="20"/>
          <w:color w:val="auto"/>
        </w:rPr>
      </w:pPr>
    </w:p>
    <w:p>
      <w:pPr>
        <w:ind w:left="460" w:firstLine="438"/>
        <w:spacing w:after="0" w:line="295"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A Participant’s Target Percentage award shall be specifically established by the Committee as set forth in Section 3.1. In the event 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from one position to another position or is promoted into one of the positions approved by the Committee as described in Section 3.1 during the Fiscal Year performance period, the Target Percentage for such Participant shall be pro-rated between the Target Percentages of each position held during the Fiscal Year based on which position was held on the first day of each month in the Fiscal Year performance period and may be allocated among different Operating Units as determined by the Committee. Any newly hired Participant shall have a specific Target Percentage established by the Committee, provided their employment began in such position by October 1 of the Fiscal Year performance period.</w:t>
      </w:r>
    </w:p>
    <w:p>
      <w:pPr>
        <w:spacing w:after="0" w:line="48" w:lineRule="exact"/>
        <w:rPr>
          <w:sz w:val="20"/>
          <w:szCs w:val="20"/>
          <w:color w:val="auto"/>
        </w:rPr>
      </w:pPr>
    </w:p>
    <w:p>
      <w:pPr>
        <w:ind w:left="460" w:right="60" w:firstLine="438"/>
        <w:spacing w:after="0" w:line="26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Except as otherwise expressly set forth in Section 6 of the Plan or as otherwise determined by the Committee, if a Participant’s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with the Company prior to the Payment Date, the Participant shall forfeit any and all rights to payment or any Financial Performance Award granted hereunder.</w:t>
      </w:r>
    </w:p>
    <w:p>
      <w:pPr>
        <w:spacing w:after="0" w:line="6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For Participants who are Section 162(m) Officers, funding of the Section 162(m) Officer Bonus Pool.</w:t>
      </w:r>
    </w:p>
    <w:p>
      <w:pPr>
        <w:spacing w:after="0" w:line="37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Section 162(m) Officer Bonus Pool shall be funded and allocable to Participants who are Section 162(m) Officers in the percentages set forth on an exhibit on file with the Committee, subject to the Committee’s right to reduce any such allocations in its sole discretion. In this regard, the Target Percentage and Target Amount, as described in Sections 3.1 and 3.2 below, will be considered by the Committee in exercising its right of discretion.</w:t>
      </w:r>
    </w:p>
    <w:p>
      <w:pPr>
        <w:spacing w:after="0" w:line="162"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b w:val="1"/>
          <w:bCs w:val="1"/>
          <w:color w:val="auto"/>
        </w:rPr>
        <w:t>3.1. Target Percentages</w:t>
      </w:r>
      <w:r>
        <w:rPr>
          <w:rFonts w:ascii="Arial" w:cs="Arial" w:eastAsia="Arial" w:hAnsi="Arial"/>
          <w:sz w:val="18"/>
          <w:szCs w:val="18"/>
          <w:color w:val="auto"/>
        </w:rPr>
        <w:t>. Each Participant shall have a Target Percentage based upon the position held by such Participant as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on January 25, 2016 and set forth on an exhibit on file with the Committee.</w:t>
      </w:r>
    </w:p>
    <w:p>
      <w:pPr>
        <w:spacing w:after="0" w:line="166"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Other employees selected by the Committee may also be made Participants in the Plan on such terms as may be approved by the Committee and consistent with the terms of the Plan.</w:t>
      </w:r>
    </w:p>
    <w:p>
      <w:pPr>
        <w:sectPr>
          <w:pgSz w:w="11900" w:h="16838" w:orient="portrait"/>
          <w:cols w:equalWidth="0" w:num="1">
            <w:col w:w="11400"/>
          </w:cols>
          <w:pgMar w:left="240" w:top="270" w:right="259" w:bottom="1440" w:gutter="0" w:footer="0" w:header="0"/>
        </w:sectPr>
      </w:pPr>
    </w:p>
    <w:bookmarkStart w:id="106" w:name="page107"/>
    <w:bookmarkEnd w:id="106"/>
    <w:p>
      <w:pPr>
        <w:ind w:right="50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 Target Amount</w:t>
      </w:r>
      <w:r>
        <w:rPr>
          <w:rFonts w:ascii="Arial" w:cs="Arial" w:eastAsia="Arial" w:hAnsi="Arial"/>
          <w:sz w:val="18"/>
          <w:szCs w:val="18"/>
          <w:color w:val="auto"/>
        </w:rPr>
        <w:t>. The target amount of a Participant’s Financial Performance Award, if any, shall be determined and allocated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percentages specified in the table below:</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CEO, Sr VP &amp; CFO;</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VP-Business</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Development; VP-</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VP’s and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Human</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Resources &amp; Admin; VP</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SVP Responsible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30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rPr>
              <w:t>Metric</w:t>
            </w:r>
          </w:p>
        </w:tc>
        <w:tc>
          <w:tcPr>
            <w:tcW w:w="2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&amp; General Counsel; and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for Operating</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Controller and CAO</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Unit(s)</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Corporate ROIC</w:t>
            </w:r>
          </w:p>
        </w:tc>
        <w:tc>
          <w:tcPr>
            <w:tcW w:w="740" w:type="dxa"/>
            <w:vAlign w:val="bottom"/>
          </w:tcPr>
          <w:p>
            <w:pPr>
              <w:spacing w:after="0"/>
              <w:rPr>
                <w:sz w:val="16"/>
                <w:szCs w:val="16"/>
                <w:color w:val="auto"/>
              </w:rPr>
            </w:pPr>
          </w:p>
        </w:tc>
        <w:tc>
          <w:tcPr>
            <w:tcW w:w="1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15%</w:t>
            </w:r>
          </w:p>
        </w:tc>
        <w:tc>
          <w:tcPr>
            <w:tcW w:w="720" w:type="dxa"/>
            <w:vAlign w:val="bottom"/>
          </w:tcPr>
          <w:p>
            <w:pPr>
              <w:spacing w:after="0"/>
              <w:rPr>
                <w:sz w:val="16"/>
                <w:szCs w:val="16"/>
                <w:color w:val="auto"/>
              </w:rPr>
            </w:pPr>
          </w:p>
        </w:tc>
        <w:tc>
          <w:tcPr>
            <w:tcW w:w="104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color w:val="auto"/>
              </w:rPr>
              <w:t>Financial</w:t>
            </w:r>
          </w:p>
        </w:tc>
        <w:tc>
          <w:tcPr>
            <w:tcW w:w="230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Operating Unit</w:t>
            </w:r>
          </w:p>
        </w:tc>
        <w:tc>
          <w:tcPr>
            <w:tcW w:w="1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300" w:type="dxa"/>
            <w:vAlign w:val="bottom"/>
            <w:gridSpan w:val="2"/>
          </w:tcPr>
          <w:p>
            <w:pPr>
              <w:jc w:val="center"/>
              <w:ind w:right="740"/>
              <w:spacing w:after="0" w:line="202" w:lineRule="exact"/>
              <w:rPr>
                <w:sz w:val="20"/>
                <w:szCs w:val="20"/>
                <w:color w:val="auto"/>
              </w:rPr>
            </w:pPr>
            <w:r>
              <w:rPr>
                <w:rFonts w:ascii="Arial" w:cs="Arial" w:eastAsia="Arial" w:hAnsi="Arial"/>
                <w:sz w:val="18"/>
                <w:szCs w:val="18"/>
                <w:color w:val="auto"/>
                <w:w w:val="97"/>
              </w:rPr>
              <w:t>Adjusted EBITDA</w:t>
            </w:r>
          </w:p>
        </w:tc>
        <w:tc>
          <w:tcPr>
            <w:tcW w:w="22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Performance</w:t>
            </w:r>
          </w:p>
        </w:tc>
        <w:tc>
          <w:tcPr>
            <w:tcW w:w="2300" w:type="dxa"/>
            <w:vAlign w:val="bottom"/>
            <w:gridSpan w:val="2"/>
          </w:tcPr>
          <w:p>
            <w:pPr>
              <w:jc w:val="center"/>
              <w:ind w:right="760"/>
              <w:spacing w:after="0"/>
              <w:rPr>
                <w:sz w:val="20"/>
                <w:szCs w:val="20"/>
                <w:color w:val="auto"/>
              </w:rPr>
            </w:pPr>
            <w:r>
              <w:rPr>
                <w:rFonts w:ascii="Arial" w:cs="Arial" w:eastAsia="Arial" w:hAnsi="Arial"/>
                <w:sz w:val="18"/>
                <w:szCs w:val="18"/>
                <w:color w:val="auto"/>
                <w:w w:val="90"/>
              </w:rPr>
              <w:t>Working Capital as a</w:t>
            </w:r>
          </w:p>
        </w:tc>
        <w:tc>
          <w:tcPr>
            <w:tcW w:w="1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Awards</w:t>
            </w:r>
          </w:p>
        </w:tc>
        <w:tc>
          <w:tcPr>
            <w:tcW w:w="2300" w:type="dxa"/>
            <w:vAlign w:val="bottom"/>
            <w:gridSpan w:val="2"/>
          </w:tcPr>
          <w:p>
            <w:pPr>
              <w:jc w:val="center"/>
              <w:ind w:right="760"/>
              <w:spacing w:after="0"/>
              <w:rPr>
                <w:sz w:val="20"/>
                <w:szCs w:val="20"/>
                <w:color w:val="auto"/>
              </w:rPr>
            </w:pPr>
            <w:r>
              <w:rPr>
                <w:rFonts w:ascii="Arial" w:cs="Arial" w:eastAsia="Arial" w:hAnsi="Arial"/>
                <w:sz w:val="18"/>
                <w:szCs w:val="18"/>
                <w:color w:val="auto"/>
                <w:w w:val="90"/>
              </w:rPr>
              <w:t>% of Sales</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7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300" w:type="dxa"/>
            <w:vAlign w:val="bottom"/>
            <w:gridSpan w:val="2"/>
          </w:tcPr>
          <w:p>
            <w:pPr>
              <w:jc w:val="center"/>
              <w:ind w:right="740"/>
              <w:spacing w:after="0"/>
              <w:rPr>
                <w:sz w:val="20"/>
                <w:szCs w:val="20"/>
                <w:color w:val="auto"/>
              </w:rPr>
            </w:pPr>
            <w:r>
              <w:rPr>
                <w:rFonts w:ascii="Arial" w:cs="Arial" w:eastAsia="Arial" w:hAnsi="Arial"/>
                <w:sz w:val="18"/>
                <w:szCs w:val="18"/>
                <w:color w:val="auto"/>
                <w:w w:val="90"/>
              </w:rPr>
              <w:t>Corporate Adjusted</w:t>
            </w:r>
          </w:p>
        </w:tc>
        <w:tc>
          <w:tcPr>
            <w:tcW w:w="1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2300" w:type="dxa"/>
            <w:vAlign w:val="bottom"/>
            <w:gridSpan w:val="2"/>
          </w:tcPr>
          <w:p>
            <w:pPr>
              <w:jc w:val="center"/>
              <w:ind w:right="760"/>
              <w:spacing w:after="0"/>
              <w:rPr>
                <w:sz w:val="20"/>
                <w:szCs w:val="20"/>
                <w:color w:val="auto"/>
              </w:rPr>
            </w:pPr>
            <w:r>
              <w:rPr>
                <w:rFonts w:ascii="Arial" w:cs="Arial" w:eastAsia="Arial" w:hAnsi="Arial"/>
                <w:sz w:val="18"/>
                <w:szCs w:val="18"/>
                <w:color w:val="auto"/>
              </w:rPr>
              <w:t>EBITDA</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7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3.3. Financial Performance Award Multiplier</w:t>
      </w:r>
      <w:r>
        <w:rPr>
          <w:rFonts w:ascii="Arial" w:cs="Arial" w:eastAsia="Arial" w:hAnsi="Arial"/>
          <w:sz w:val="18"/>
          <w:szCs w:val="18"/>
          <w:color w:val="auto"/>
        </w:rPr>
        <w:t>. Subject to the terms and conditions set forth herein and in the Plan, the amount of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Award earned shall be calculated and adjusted upward or downward based on the actual level of attainment of Target W/C as a % of Sales (Corporate and Operating Unit), Target Adjusted EBITDA (Corporate and Operating Unit) and/or Target ROIC (as allocated under Section 3.2) utilizing the percentage multiplier as set forth in the following tables: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Adjusted EBITDA Multiplier (Corporate/Operating Unit)</w:t>
      </w:r>
    </w:p>
    <w:p>
      <w:pPr>
        <w:spacing w:after="0" w:line="235"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 of Target Adjusted</w:t>
            </w:r>
          </w:p>
        </w:tc>
        <w:tc>
          <w:tcPr>
            <w:tcW w:w="3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EBITDA</w:t>
            </w:r>
          </w:p>
        </w:tc>
        <w:tc>
          <w:tcPr>
            <w:tcW w:w="5580" w:type="dxa"/>
            <w:vAlign w:val="bottom"/>
            <w:gridSpan w:val="2"/>
          </w:tcPr>
          <w:p>
            <w:pPr>
              <w:ind w:left="3140"/>
              <w:spacing w:after="0" w:line="151" w:lineRule="exact"/>
              <w:rPr>
                <w:sz w:val="20"/>
                <w:szCs w:val="20"/>
                <w:color w:val="auto"/>
              </w:rPr>
            </w:pPr>
            <w:r>
              <w:rPr>
                <w:rFonts w:ascii="Arial" w:cs="Arial" w:eastAsia="Arial" w:hAnsi="Arial"/>
                <w:sz w:val="14"/>
                <w:szCs w:val="14"/>
                <w:b w:val="1"/>
                <w:bCs w:val="1"/>
                <w:color w:val="auto"/>
                <w:w w:val="96"/>
              </w:rPr>
              <w:t>Corporate or Operating Unit Multiplier</w:t>
            </w:r>
          </w:p>
        </w:tc>
        <w:tc>
          <w:tcPr>
            <w:tcW w:w="0" w:type="dxa"/>
            <w:vAlign w:val="bottom"/>
          </w:tcPr>
          <w:p>
            <w:pPr>
              <w:spacing w:after="0"/>
              <w:rPr>
                <w:sz w:val="1"/>
                <w:szCs w:val="1"/>
                <w:color w:val="auto"/>
              </w:rPr>
            </w:pPr>
          </w:p>
        </w:tc>
      </w:tr>
      <w:tr>
        <w:trPr>
          <w:trHeight w:val="2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170% and over</w:t>
            </w:r>
          </w:p>
        </w:tc>
        <w:tc>
          <w:tcPr>
            <w:tcW w:w="3140" w:type="dxa"/>
            <w:vAlign w:val="bottom"/>
            <w:vMerge w:val="restart"/>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340" w:type="dxa"/>
            <w:vAlign w:val="bottom"/>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2440" w:type="dxa"/>
            <w:vAlign w:val="bottom"/>
          </w:tcPr>
          <w:p>
            <w:pPr>
              <w:jc w:val="center"/>
              <w:spacing w:after="0" w:line="182" w:lineRule="exact"/>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160%</w:t>
            </w:r>
          </w:p>
        </w:tc>
        <w:tc>
          <w:tcPr>
            <w:tcW w:w="5580" w:type="dxa"/>
            <w:vAlign w:val="bottom"/>
            <w:gridSpan w:val="2"/>
          </w:tcPr>
          <w:p>
            <w:pPr>
              <w:jc w:val="center"/>
              <w:ind w:left="3071"/>
              <w:spacing w:after="0"/>
              <w:rPr>
                <w:sz w:val="20"/>
                <w:szCs w:val="20"/>
                <w:color w:val="auto"/>
              </w:rPr>
            </w:pPr>
            <w:r>
              <w:rPr>
                <w:rFonts w:ascii="Arial" w:cs="Arial" w:eastAsia="Arial" w:hAnsi="Arial"/>
                <w:sz w:val="18"/>
                <w:szCs w:val="18"/>
                <w:color w:val="auto"/>
                <w:w w:val="91"/>
              </w:rPr>
              <w:t>185%</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5580" w:type="dxa"/>
            <w:vAlign w:val="bottom"/>
            <w:gridSpan w:val="2"/>
          </w:tcPr>
          <w:p>
            <w:pPr>
              <w:jc w:val="center"/>
              <w:ind w:left="3071"/>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140%</w:t>
            </w:r>
          </w:p>
        </w:tc>
        <w:tc>
          <w:tcPr>
            <w:tcW w:w="5580" w:type="dxa"/>
            <w:vAlign w:val="bottom"/>
            <w:gridSpan w:val="2"/>
          </w:tcPr>
          <w:p>
            <w:pPr>
              <w:jc w:val="center"/>
              <w:ind w:left="3071"/>
              <w:spacing w:after="0"/>
              <w:rPr>
                <w:sz w:val="20"/>
                <w:szCs w:val="20"/>
                <w:color w:val="auto"/>
              </w:rPr>
            </w:pPr>
            <w:r>
              <w:rPr>
                <w:rFonts w:ascii="Arial" w:cs="Arial" w:eastAsia="Arial" w:hAnsi="Arial"/>
                <w:sz w:val="18"/>
                <w:szCs w:val="18"/>
                <w:color w:val="auto"/>
                <w:w w:val="91"/>
              </w:rPr>
              <w:t>160%</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130%</w:t>
            </w:r>
          </w:p>
        </w:tc>
        <w:tc>
          <w:tcPr>
            <w:tcW w:w="5580" w:type="dxa"/>
            <w:vAlign w:val="bottom"/>
            <w:gridSpan w:val="2"/>
          </w:tcPr>
          <w:p>
            <w:pPr>
              <w:jc w:val="center"/>
              <w:ind w:left="3071"/>
              <w:spacing w:after="0"/>
              <w:rPr>
                <w:sz w:val="20"/>
                <w:szCs w:val="20"/>
                <w:color w:val="auto"/>
              </w:rPr>
            </w:pPr>
            <w:r>
              <w:rPr>
                <w:rFonts w:ascii="Arial" w:cs="Arial" w:eastAsia="Arial" w:hAnsi="Arial"/>
                <w:sz w:val="18"/>
                <w:szCs w:val="18"/>
                <w:color w:val="auto"/>
                <w:w w:val="91"/>
              </w:rPr>
              <w:t>145%</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5580" w:type="dxa"/>
            <w:vAlign w:val="bottom"/>
            <w:gridSpan w:val="2"/>
          </w:tcPr>
          <w:p>
            <w:pPr>
              <w:jc w:val="center"/>
              <w:ind w:left="3071"/>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110%</w:t>
            </w:r>
          </w:p>
        </w:tc>
        <w:tc>
          <w:tcPr>
            <w:tcW w:w="5580" w:type="dxa"/>
            <w:vAlign w:val="bottom"/>
            <w:gridSpan w:val="2"/>
          </w:tcPr>
          <w:p>
            <w:pPr>
              <w:jc w:val="center"/>
              <w:ind w:left="3051"/>
              <w:spacing w:after="0"/>
              <w:rPr>
                <w:sz w:val="20"/>
                <w:szCs w:val="20"/>
                <w:color w:val="auto"/>
              </w:rPr>
            </w:pPr>
            <w:r>
              <w:rPr>
                <w:rFonts w:ascii="Arial" w:cs="Arial" w:eastAsia="Arial" w:hAnsi="Arial"/>
                <w:sz w:val="18"/>
                <w:szCs w:val="18"/>
                <w:color w:val="auto"/>
                <w:w w:val="86"/>
              </w:rPr>
              <w:t>115%</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580" w:type="dxa"/>
            <w:vAlign w:val="bottom"/>
            <w:gridSpan w:val="2"/>
          </w:tcPr>
          <w:p>
            <w:pPr>
              <w:jc w:val="center"/>
              <w:ind w:left="3071"/>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5580" w:type="dxa"/>
            <w:vAlign w:val="bottom"/>
            <w:gridSpan w:val="2"/>
          </w:tcPr>
          <w:p>
            <w:pPr>
              <w:jc w:val="center"/>
              <w:ind w:left="3051"/>
              <w:spacing w:after="0"/>
              <w:rPr>
                <w:sz w:val="20"/>
                <w:szCs w:val="20"/>
                <w:color w:val="auto"/>
              </w:rPr>
            </w:pPr>
            <w:r>
              <w:rPr>
                <w:rFonts w:ascii="Arial" w:cs="Arial" w:eastAsia="Arial" w:hAnsi="Arial"/>
                <w:sz w:val="18"/>
                <w:szCs w:val="18"/>
                <w:color w:val="auto"/>
                <w:w w:val="88"/>
              </w:rPr>
              <w:t>84%</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5580" w:type="dxa"/>
            <w:vAlign w:val="bottom"/>
            <w:gridSpan w:val="2"/>
          </w:tcPr>
          <w:p>
            <w:pPr>
              <w:jc w:val="center"/>
              <w:ind w:left="3051"/>
              <w:spacing w:after="0"/>
              <w:rPr>
                <w:sz w:val="20"/>
                <w:szCs w:val="20"/>
                <w:color w:val="auto"/>
              </w:rPr>
            </w:pPr>
            <w:r>
              <w:rPr>
                <w:rFonts w:ascii="Arial" w:cs="Arial" w:eastAsia="Arial" w:hAnsi="Arial"/>
                <w:sz w:val="18"/>
                <w:szCs w:val="18"/>
                <w:color w:val="auto"/>
                <w:w w:val="88"/>
              </w:rPr>
              <w:t>68%</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5580" w:type="dxa"/>
            <w:vAlign w:val="bottom"/>
            <w:gridSpan w:val="2"/>
          </w:tcPr>
          <w:p>
            <w:pPr>
              <w:jc w:val="center"/>
              <w:ind w:left="3051"/>
              <w:spacing w:after="0"/>
              <w:rPr>
                <w:sz w:val="20"/>
                <w:szCs w:val="20"/>
                <w:color w:val="auto"/>
              </w:rPr>
            </w:pPr>
            <w:r>
              <w:rPr>
                <w:rFonts w:ascii="Arial" w:cs="Arial" w:eastAsia="Arial" w:hAnsi="Arial"/>
                <w:sz w:val="18"/>
                <w:szCs w:val="18"/>
                <w:color w:val="auto"/>
                <w:w w:val="88"/>
              </w:rPr>
              <w:t>52%</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5580" w:type="dxa"/>
            <w:vAlign w:val="bottom"/>
            <w:gridSpan w:val="2"/>
          </w:tcPr>
          <w:p>
            <w:pPr>
              <w:jc w:val="center"/>
              <w:ind w:left="3051"/>
              <w:spacing w:after="0"/>
              <w:rPr>
                <w:sz w:val="20"/>
                <w:szCs w:val="20"/>
                <w:color w:val="auto"/>
              </w:rPr>
            </w:pPr>
            <w:r>
              <w:rPr>
                <w:rFonts w:ascii="Arial" w:cs="Arial" w:eastAsia="Arial" w:hAnsi="Arial"/>
                <w:sz w:val="18"/>
                <w:szCs w:val="18"/>
                <w:color w:val="auto"/>
                <w:w w:val="88"/>
              </w:rPr>
              <w:t>36%</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5580" w:type="dxa"/>
            <w:vAlign w:val="bottom"/>
            <w:gridSpan w:val="2"/>
          </w:tcPr>
          <w:p>
            <w:pPr>
              <w:jc w:val="center"/>
              <w:ind w:left="3051"/>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88"/>
              </w:rPr>
              <w:t>Less than 50%</w:t>
            </w:r>
          </w:p>
        </w:tc>
        <w:tc>
          <w:tcPr>
            <w:tcW w:w="5580" w:type="dxa"/>
            <w:vAlign w:val="bottom"/>
            <w:gridSpan w:val="2"/>
          </w:tcPr>
          <w:p>
            <w:pPr>
              <w:jc w:val="center"/>
              <w:ind w:left="3051"/>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ectPr>
          <w:pgSz w:w="11900" w:h="16838" w:orient="portrait"/>
          <w:cols w:equalWidth="0" w:num="1">
            <w:col w:w="11260"/>
          </w:cols>
          <w:pgMar w:left="240" w:top="270" w:right="399"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ROIC Multiplier</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 of Target ROIC</w:t>
            </w:r>
          </w:p>
        </w:tc>
        <w:tc>
          <w:tcPr>
            <w:tcW w:w="1460" w:type="dxa"/>
            <w:vAlign w:val="bottom"/>
          </w:tcPr>
          <w:p>
            <w:pPr>
              <w:spacing w:after="0"/>
              <w:rPr>
                <w:sz w:val="14"/>
                <w:szCs w:val="14"/>
                <w:color w:val="auto"/>
              </w:rPr>
            </w:pPr>
          </w:p>
        </w:tc>
        <w:tc>
          <w:tcPr>
            <w:tcW w:w="2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ROIC Multiplier</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3"/>
              </w:rPr>
              <w:t>127.5% and over</w:t>
            </w: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530"/>
              <w:spacing w:after="0"/>
              <w:rPr>
                <w:sz w:val="20"/>
                <w:szCs w:val="20"/>
                <w:color w:val="auto"/>
              </w:rPr>
            </w:pPr>
            <w:r>
              <w:rPr>
                <w:rFonts w:ascii="Arial" w:cs="Arial" w:eastAsia="Arial" w:hAnsi="Arial"/>
                <w:sz w:val="18"/>
                <w:szCs w:val="18"/>
                <w:color w:val="auto"/>
                <w:w w:val="91"/>
              </w:rPr>
              <w:t>123.0%</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2791"/>
              <w:spacing w:after="0"/>
              <w:rPr>
                <w:sz w:val="20"/>
                <w:szCs w:val="20"/>
                <w:color w:val="auto"/>
              </w:rPr>
            </w:pPr>
            <w:r>
              <w:rPr>
                <w:rFonts w:ascii="Arial" w:cs="Arial" w:eastAsia="Arial" w:hAnsi="Arial"/>
                <w:sz w:val="18"/>
                <w:szCs w:val="18"/>
                <w:color w:val="auto"/>
                <w:w w:val="91"/>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510"/>
              <w:spacing w:after="0"/>
              <w:rPr>
                <w:sz w:val="20"/>
                <w:szCs w:val="20"/>
                <w:color w:val="auto"/>
              </w:rPr>
            </w:pPr>
            <w:r>
              <w:rPr>
                <w:rFonts w:ascii="Arial" w:cs="Arial" w:eastAsia="Arial" w:hAnsi="Arial"/>
                <w:sz w:val="18"/>
                <w:szCs w:val="18"/>
                <w:color w:val="auto"/>
                <w:w w:val="88"/>
              </w:rPr>
              <w:t>112.8%</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2791"/>
              <w:spacing w:after="0"/>
              <w:rPr>
                <w:sz w:val="20"/>
                <w:szCs w:val="20"/>
                <w:color w:val="auto"/>
              </w:rPr>
            </w:pPr>
            <w:r>
              <w:rPr>
                <w:rFonts w:ascii="Arial" w:cs="Arial" w:eastAsia="Arial" w:hAnsi="Arial"/>
                <w:sz w:val="18"/>
                <w:szCs w:val="18"/>
                <w:color w:val="auto"/>
                <w:w w:val="91"/>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530"/>
              <w:spacing w:after="0"/>
              <w:rPr>
                <w:sz w:val="20"/>
                <w:szCs w:val="20"/>
                <w:color w:val="auto"/>
              </w:rPr>
            </w:pPr>
            <w:r>
              <w:rPr>
                <w:rFonts w:ascii="Arial" w:cs="Arial" w:eastAsia="Arial" w:hAnsi="Arial"/>
                <w:sz w:val="18"/>
                <w:szCs w:val="18"/>
                <w:color w:val="auto"/>
                <w:w w:val="91"/>
              </w:rPr>
              <w:t>100.0%</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2791"/>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510"/>
              <w:spacing w:after="0"/>
              <w:rPr>
                <w:sz w:val="20"/>
                <w:szCs w:val="20"/>
                <w:color w:val="auto"/>
              </w:rPr>
            </w:pPr>
            <w:r>
              <w:rPr>
                <w:rFonts w:ascii="Arial" w:cs="Arial" w:eastAsia="Arial" w:hAnsi="Arial"/>
                <w:sz w:val="18"/>
                <w:szCs w:val="18"/>
                <w:color w:val="auto"/>
                <w:w w:val="90"/>
              </w:rPr>
              <w:t>93.7%</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2771"/>
              <w:spacing w:after="0"/>
              <w:rPr>
                <w:sz w:val="20"/>
                <w:szCs w:val="20"/>
                <w:color w:val="auto"/>
              </w:rPr>
            </w:pPr>
            <w:r>
              <w:rPr>
                <w:rFonts w:ascii="Arial" w:cs="Arial" w:eastAsia="Arial" w:hAnsi="Arial"/>
                <w:sz w:val="18"/>
                <w:szCs w:val="18"/>
                <w:color w:val="auto"/>
                <w:w w:val="88"/>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510"/>
              <w:spacing w:after="0"/>
              <w:rPr>
                <w:sz w:val="20"/>
                <w:szCs w:val="20"/>
                <w:color w:val="auto"/>
              </w:rPr>
            </w:pPr>
            <w:r>
              <w:rPr>
                <w:rFonts w:ascii="Arial" w:cs="Arial" w:eastAsia="Arial" w:hAnsi="Arial"/>
                <w:sz w:val="18"/>
                <w:szCs w:val="18"/>
                <w:color w:val="auto"/>
                <w:w w:val="90"/>
              </w:rPr>
              <w:t>87.8%</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2771"/>
              <w:spacing w:after="0"/>
              <w:rPr>
                <w:sz w:val="20"/>
                <w:szCs w:val="20"/>
                <w:color w:val="auto"/>
              </w:rPr>
            </w:pPr>
            <w:r>
              <w:rPr>
                <w:rFonts w:ascii="Arial" w:cs="Arial" w:eastAsia="Arial" w:hAnsi="Arial"/>
                <w:sz w:val="18"/>
                <w:szCs w:val="18"/>
                <w:color w:val="auto"/>
                <w:w w:val="88"/>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510"/>
              <w:spacing w:after="0"/>
              <w:rPr>
                <w:sz w:val="20"/>
                <w:szCs w:val="20"/>
                <w:color w:val="auto"/>
              </w:rPr>
            </w:pPr>
            <w:r>
              <w:rPr>
                <w:rFonts w:ascii="Arial" w:cs="Arial" w:eastAsia="Arial" w:hAnsi="Arial"/>
                <w:sz w:val="18"/>
                <w:szCs w:val="18"/>
                <w:color w:val="auto"/>
                <w:w w:val="90"/>
              </w:rPr>
              <w:t>80.0%</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2771"/>
              <w:spacing w:after="0"/>
              <w:rPr>
                <w:sz w:val="20"/>
                <w:szCs w:val="20"/>
                <w:color w:val="auto"/>
              </w:rPr>
            </w:pPr>
            <w:r>
              <w:rPr>
                <w:rFonts w:ascii="Arial" w:cs="Arial" w:eastAsia="Arial" w:hAnsi="Arial"/>
                <w:sz w:val="18"/>
                <w:szCs w:val="18"/>
                <w:color w:val="auto"/>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3140" w:type="dxa"/>
            <w:vAlign w:val="bottom"/>
            <w:gridSpan w:val="4"/>
          </w:tcPr>
          <w:p>
            <w:pPr>
              <w:ind w:left="480"/>
              <w:spacing w:after="0"/>
              <w:rPr>
                <w:sz w:val="20"/>
                <w:szCs w:val="20"/>
                <w:color w:val="auto"/>
              </w:rPr>
            </w:pPr>
            <w:r>
              <w:rPr>
                <w:rFonts w:ascii="Arial" w:cs="Arial" w:eastAsia="Arial" w:hAnsi="Arial"/>
                <w:sz w:val="18"/>
                <w:szCs w:val="18"/>
                <w:color w:val="auto"/>
              </w:rPr>
              <w:t>Less than 80.0%</w:t>
            </w:r>
          </w:p>
        </w:tc>
        <w:tc>
          <w:tcPr>
            <w:tcW w:w="3900" w:type="dxa"/>
            <w:vAlign w:val="bottom"/>
            <w:gridSpan w:val="3"/>
          </w:tcPr>
          <w:p>
            <w:pPr>
              <w:jc w:val="center"/>
              <w:ind w:left="2791"/>
              <w:spacing w:after="0"/>
              <w:rPr>
                <w:sz w:val="20"/>
                <w:szCs w:val="20"/>
                <w:color w:val="auto"/>
              </w:rPr>
            </w:pPr>
            <w:r>
              <w:rPr>
                <w:rFonts w:ascii="Arial" w:cs="Arial" w:eastAsia="Arial" w:hAnsi="Arial"/>
                <w:sz w:val="18"/>
                <w:szCs w:val="18"/>
                <w:color w:val="auto"/>
                <w:w w:val="92"/>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gridSpan w:val="5"/>
          </w:tcPr>
          <w:p>
            <w:pPr>
              <w:spacing w:after="0"/>
              <w:rPr>
                <w:sz w:val="20"/>
                <w:szCs w:val="20"/>
                <w:color w:val="auto"/>
              </w:rPr>
            </w:pPr>
            <w:r>
              <w:rPr>
                <w:rFonts w:ascii="Arial" w:cs="Arial" w:eastAsia="Arial" w:hAnsi="Arial"/>
                <w:sz w:val="18"/>
                <w:szCs w:val="18"/>
                <w:b w:val="1"/>
                <w:bCs w:val="1"/>
                <w:color w:val="auto"/>
              </w:rPr>
              <w:t>c. W/C as a % of Sales Multiplier</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80" w:type="dxa"/>
            <w:vAlign w:val="bottom"/>
          </w:tcPr>
          <w:p>
            <w:pPr>
              <w:spacing w:after="0"/>
              <w:rPr>
                <w:sz w:val="24"/>
                <w:szCs w:val="24"/>
                <w:color w:val="auto"/>
              </w:rPr>
            </w:pPr>
          </w:p>
        </w:tc>
        <w:tc>
          <w:tcPr>
            <w:tcW w:w="3140" w:type="dxa"/>
            <w:vAlign w:val="bottom"/>
            <w:gridSpan w:val="4"/>
          </w:tcPr>
          <w:p>
            <w:pPr>
              <w:jc w:val="center"/>
              <w:ind w:right="1500"/>
              <w:spacing w:after="0"/>
              <w:rPr>
                <w:sz w:val="20"/>
                <w:szCs w:val="20"/>
                <w:color w:val="auto"/>
              </w:rPr>
            </w:pPr>
            <w:r>
              <w:rPr>
                <w:rFonts w:ascii="Arial" w:cs="Arial" w:eastAsia="Arial" w:hAnsi="Arial"/>
                <w:sz w:val="14"/>
                <w:szCs w:val="14"/>
                <w:b w:val="1"/>
                <w:bCs w:val="1"/>
                <w:color w:val="auto"/>
                <w:w w:val="96"/>
              </w:rPr>
              <w:t>% of Target Average W/C</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620" w:type="dxa"/>
            <w:vAlign w:val="bottom"/>
            <w:tcBorders>
              <w:bottom w:val="single" w:sz="8" w:color="auto"/>
            </w:tcBorders>
            <w:gridSpan w:val="2"/>
          </w:tcPr>
          <w:p>
            <w:pPr>
              <w:jc w:val="center"/>
              <w:spacing w:after="0" w:line="151" w:lineRule="exact"/>
              <w:rPr>
                <w:sz w:val="20"/>
                <w:szCs w:val="20"/>
                <w:color w:val="auto"/>
              </w:rPr>
            </w:pPr>
            <w:r>
              <w:rPr>
                <w:rFonts w:ascii="Arial" w:cs="Arial" w:eastAsia="Arial" w:hAnsi="Arial"/>
                <w:sz w:val="14"/>
                <w:szCs w:val="14"/>
                <w:b w:val="1"/>
                <w:bCs w:val="1"/>
                <w:color w:val="auto"/>
                <w:w w:val="90"/>
              </w:rPr>
              <w:t>as a % of Sales</w:t>
            </w:r>
          </w:p>
        </w:tc>
        <w:tc>
          <w:tcPr>
            <w:tcW w:w="1520" w:type="dxa"/>
            <w:vAlign w:val="bottom"/>
            <w:gridSpan w:val="2"/>
          </w:tcPr>
          <w:p>
            <w:pPr>
              <w:spacing w:after="0"/>
              <w:rPr>
                <w:sz w:val="14"/>
                <w:szCs w:val="14"/>
                <w:color w:val="auto"/>
              </w:rPr>
            </w:pPr>
          </w:p>
        </w:tc>
        <w:tc>
          <w:tcPr>
            <w:tcW w:w="3920" w:type="dxa"/>
            <w:vAlign w:val="bottom"/>
            <w:gridSpan w:val="4"/>
          </w:tcPr>
          <w:p>
            <w:pPr>
              <w:jc w:val="right"/>
              <w:ind w:right="20"/>
              <w:spacing w:after="0" w:line="151" w:lineRule="exact"/>
              <w:rPr>
                <w:sz w:val="20"/>
                <w:szCs w:val="20"/>
                <w:color w:val="auto"/>
              </w:rPr>
            </w:pPr>
            <w:r>
              <w:rPr>
                <w:rFonts w:ascii="Arial" w:cs="Arial" w:eastAsia="Arial" w:hAnsi="Arial"/>
                <w:sz w:val="14"/>
                <w:szCs w:val="14"/>
                <w:b w:val="1"/>
                <w:bCs w:val="1"/>
                <w:color w:val="auto"/>
              </w:rPr>
              <w:t>Corporate or Operating Unit Multiplier</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140" w:type="dxa"/>
            <w:vAlign w:val="bottom"/>
            <w:gridSpan w:val="4"/>
            <w:vMerge w:val="restart"/>
          </w:tcPr>
          <w:p>
            <w:pPr>
              <w:jc w:val="center"/>
              <w:ind w:right="1520"/>
              <w:spacing w:after="0"/>
              <w:rPr>
                <w:sz w:val="20"/>
                <w:szCs w:val="20"/>
                <w:color w:val="auto"/>
              </w:rPr>
            </w:pPr>
            <w:r>
              <w:rPr>
                <w:rFonts w:ascii="Arial" w:cs="Arial" w:eastAsia="Arial" w:hAnsi="Arial"/>
                <w:sz w:val="18"/>
                <w:szCs w:val="18"/>
                <w:color w:val="auto"/>
                <w:w w:val="88"/>
              </w:rPr>
              <w:t>86.0% and under</w:t>
            </w:r>
          </w:p>
        </w:tc>
        <w:tc>
          <w:tcPr>
            <w:tcW w:w="1460" w:type="dxa"/>
            <w:vAlign w:val="bottom"/>
            <w:vMerge w:val="restart"/>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80" w:type="dxa"/>
            <w:vAlign w:val="bottom"/>
          </w:tcPr>
          <w:p>
            <w:pPr>
              <w:spacing w:after="0"/>
              <w:rPr>
                <w:sz w:val="15"/>
                <w:szCs w:val="15"/>
                <w:color w:val="auto"/>
              </w:rPr>
            </w:pPr>
          </w:p>
        </w:tc>
        <w:tc>
          <w:tcPr>
            <w:tcW w:w="3140" w:type="dxa"/>
            <w:vAlign w:val="bottom"/>
            <w:gridSpan w:val="4"/>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24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1"/>
              </w:rPr>
              <w:t>200%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1990"/>
              <w:spacing w:after="0"/>
              <w:rPr>
                <w:sz w:val="20"/>
                <w:szCs w:val="20"/>
                <w:color w:val="auto"/>
              </w:rPr>
            </w:pPr>
            <w:r>
              <w:rPr>
                <w:rFonts w:ascii="Arial" w:cs="Arial" w:eastAsia="Arial" w:hAnsi="Arial"/>
                <w:sz w:val="18"/>
                <w:szCs w:val="18"/>
                <w:color w:val="auto"/>
                <w:w w:val="90"/>
              </w:rPr>
              <w:t>88.7%</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1391"/>
              <w:spacing w:after="0"/>
              <w:rPr>
                <w:sz w:val="20"/>
                <w:szCs w:val="20"/>
                <w:color w:val="auto"/>
              </w:rPr>
            </w:pPr>
            <w:r>
              <w:rPr>
                <w:rFonts w:ascii="Arial" w:cs="Arial" w:eastAsia="Arial" w:hAnsi="Arial"/>
                <w:sz w:val="18"/>
                <w:szCs w:val="18"/>
                <w:color w:val="auto"/>
                <w:w w:val="91"/>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1990"/>
              <w:spacing w:after="0"/>
              <w:rPr>
                <w:sz w:val="20"/>
                <w:szCs w:val="20"/>
                <w:color w:val="auto"/>
              </w:rPr>
            </w:pPr>
            <w:r>
              <w:rPr>
                <w:rFonts w:ascii="Arial" w:cs="Arial" w:eastAsia="Arial" w:hAnsi="Arial"/>
                <w:sz w:val="18"/>
                <w:szCs w:val="18"/>
                <w:color w:val="auto"/>
                <w:w w:val="90"/>
              </w:rPr>
              <w:t>91.3%</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1391"/>
              <w:spacing w:after="0"/>
              <w:rPr>
                <w:sz w:val="20"/>
                <w:szCs w:val="20"/>
                <w:color w:val="auto"/>
              </w:rPr>
            </w:pPr>
            <w:r>
              <w:rPr>
                <w:rFonts w:ascii="Arial" w:cs="Arial" w:eastAsia="Arial" w:hAnsi="Arial"/>
                <w:sz w:val="18"/>
                <w:szCs w:val="18"/>
                <w:color w:val="auto"/>
                <w:w w:val="91"/>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1990"/>
              <w:spacing w:after="0"/>
              <w:rPr>
                <w:sz w:val="20"/>
                <w:szCs w:val="20"/>
                <w:color w:val="auto"/>
              </w:rPr>
            </w:pPr>
            <w:r>
              <w:rPr>
                <w:rFonts w:ascii="Arial" w:cs="Arial" w:eastAsia="Arial" w:hAnsi="Arial"/>
                <w:sz w:val="18"/>
                <w:szCs w:val="18"/>
                <w:color w:val="auto"/>
                <w:w w:val="90"/>
              </w:rPr>
              <w:t>94.3%</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1391"/>
              <w:spacing w:after="0"/>
              <w:rPr>
                <w:sz w:val="20"/>
                <w:szCs w:val="20"/>
                <w:color w:val="auto"/>
              </w:rPr>
            </w:pPr>
            <w:r>
              <w:rPr>
                <w:rFonts w:ascii="Arial" w:cs="Arial" w:eastAsia="Arial" w:hAnsi="Arial"/>
                <w:sz w:val="18"/>
                <w:szCs w:val="18"/>
                <w:color w:val="auto"/>
                <w:w w:val="91"/>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1990"/>
              <w:spacing w:after="0"/>
              <w:rPr>
                <w:sz w:val="20"/>
                <w:szCs w:val="20"/>
                <w:color w:val="auto"/>
              </w:rPr>
            </w:pPr>
            <w:r>
              <w:rPr>
                <w:rFonts w:ascii="Arial" w:cs="Arial" w:eastAsia="Arial" w:hAnsi="Arial"/>
                <w:sz w:val="18"/>
                <w:szCs w:val="18"/>
                <w:color w:val="auto"/>
                <w:w w:val="90"/>
              </w:rPr>
              <w:t>97.4%</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1371"/>
              <w:spacing w:after="0"/>
              <w:rPr>
                <w:sz w:val="20"/>
                <w:szCs w:val="20"/>
                <w:color w:val="auto"/>
              </w:rPr>
            </w:pPr>
            <w:r>
              <w:rPr>
                <w:rFonts w:ascii="Arial" w:cs="Arial" w:eastAsia="Arial" w:hAnsi="Arial"/>
                <w:sz w:val="18"/>
                <w:szCs w:val="18"/>
                <w:color w:val="auto"/>
                <w:w w:val="86"/>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010"/>
              <w:spacing w:after="0"/>
              <w:rPr>
                <w:sz w:val="20"/>
                <w:szCs w:val="20"/>
                <w:color w:val="auto"/>
              </w:rPr>
            </w:pPr>
            <w:r>
              <w:rPr>
                <w:rFonts w:ascii="Arial" w:cs="Arial" w:eastAsia="Arial" w:hAnsi="Arial"/>
                <w:sz w:val="18"/>
                <w:szCs w:val="18"/>
                <w:color w:val="auto"/>
                <w:w w:val="91"/>
              </w:rPr>
              <w:t>100.0%</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gridSpan w:val="3"/>
          </w:tcPr>
          <w:p>
            <w:pPr>
              <w:jc w:val="center"/>
              <w:ind w:left="1391"/>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010"/>
              <w:spacing w:after="0"/>
              <w:rPr>
                <w:sz w:val="20"/>
                <w:szCs w:val="20"/>
                <w:color w:val="auto"/>
              </w:rPr>
            </w:pPr>
            <w:r>
              <w:rPr>
                <w:rFonts w:ascii="Arial" w:cs="Arial" w:eastAsia="Arial" w:hAnsi="Arial"/>
                <w:sz w:val="18"/>
                <w:szCs w:val="18"/>
                <w:color w:val="auto"/>
                <w:w w:val="91"/>
              </w:rPr>
              <w:t>102.9%</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gridSpan w:val="2"/>
          </w:tcPr>
          <w:p>
            <w:pPr>
              <w:jc w:val="center"/>
              <w:ind w:left="2411"/>
              <w:spacing w:after="0"/>
              <w:rPr>
                <w:sz w:val="20"/>
                <w:szCs w:val="20"/>
                <w:color w:val="auto"/>
              </w:rPr>
            </w:pPr>
            <w:r>
              <w:rPr>
                <w:rFonts w:ascii="Arial" w:cs="Arial" w:eastAsia="Arial" w:hAnsi="Arial"/>
                <w:sz w:val="18"/>
                <w:szCs w:val="18"/>
                <w:color w:val="auto"/>
                <w:w w:val="88"/>
              </w:rPr>
              <w:t>80%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010"/>
              <w:spacing w:after="0"/>
              <w:rPr>
                <w:sz w:val="20"/>
                <w:szCs w:val="20"/>
                <w:color w:val="auto"/>
              </w:rPr>
            </w:pPr>
            <w:r>
              <w:rPr>
                <w:rFonts w:ascii="Arial" w:cs="Arial" w:eastAsia="Arial" w:hAnsi="Arial"/>
                <w:sz w:val="18"/>
                <w:szCs w:val="18"/>
                <w:color w:val="auto"/>
                <w:w w:val="91"/>
              </w:rPr>
              <w:t>106.5%</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gridSpan w:val="2"/>
          </w:tcPr>
          <w:p>
            <w:pPr>
              <w:jc w:val="center"/>
              <w:ind w:left="2411"/>
              <w:spacing w:after="0"/>
              <w:rPr>
                <w:sz w:val="20"/>
                <w:szCs w:val="20"/>
                <w:color w:val="auto"/>
              </w:rPr>
            </w:pPr>
            <w:r>
              <w:rPr>
                <w:rFonts w:ascii="Arial" w:cs="Arial" w:eastAsia="Arial" w:hAnsi="Arial"/>
                <w:sz w:val="18"/>
                <w:szCs w:val="18"/>
                <w:color w:val="auto"/>
                <w:w w:val="88"/>
              </w:rPr>
              <w:t>60%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010"/>
              <w:spacing w:after="0"/>
              <w:rPr>
                <w:sz w:val="20"/>
                <w:szCs w:val="20"/>
                <w:color w:val="auto"/>
              </w:rPr>
            </w:pPr>
            <w:r>
              <w:rPr>
                <w:rFonts w:ascii="Arial" w:cs="Arial" w:eastAsia="Arial" w:hAnsi="Arial"/>
                <w:sz w:val="18"/>
                <w:szCs w:val="18"/>
                <w:color w:val="auto"/>
                <w:w w:val="91"/>
              </w:rPr>
              <w:t>110.0%</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gridSpan w:val="2"/>
          </w:tcPr>
          <w:p>
            <w:pPr>
              <w:jc w:val="center"/>
              <w:ind w:left="2411"/>
              <w:spacing w:after="0"/>
              <w:rPr>
                <w:sz w:val="20"/>
                <w:szCs w:val="20"/>
                <w:color w:val="auto"/>
              </w:rPr>
            </w:pPr>
            <w:r>
              <w:rPr>
                <w:rFonts w:ascii="Arial" w:cs="Arial" w:eastAsia="Arial" w:hAnsi="Arial"/>
                <w:sz w:val="18"/>
                <w:szCs w:val="18"/>
                <w:color w:val="auto"/>
                <w:w w:val="88"/>
              </w:rPr>
              <w:t>40%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010"/>
              <w:spacing w:after="0"/>
              <w:rPr>
                <w:sz w:val="20"/>
                <w:szCs w:val="20"/>
                <w:color w:val="auto"/>
              </w:rPr>
            </w:pPr>
            <w:r>
              <w:rPr>
                <w:rFonts w:ascii="Arial" w:cs="Arial" w:eastAsia="Arial" w:hAnsi="Arial"/>
                <w:sz w:val="18"/>
                <w:szCs w:val="18"/>
                <w:color w:val="auto"/>
                <w:w w:val="91"/>
              </w:rPr>
              <w:t>113.9%</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gridSpan w:val="2"/>
          </w:tcPr>
          <w:p>
            <w:pPr>
              <w:jc w:val="center"/>
              <w:ind w:left="2411"/>
              <w:spacing w:after="0"/>
              <w:rPr>
                <w:sz w:val="20"/>
                <w:szCs w:val="20"/>
                <w:color w:val="auto"/>
              </w:rPr>
            </w:pPr>
            <w:r>
              <w:rPr>
                <w:rFonts w:ascii="Arial" w:cs="Arial" w:eastAsia="Arial" w:hAnsi="Arial"/>
                <w:sz w:val="18"/>
                <w:szCs w:val="18"/>
                <w:color w:val="auto"/>
                <w:w w:val="88"/>
              </w:rPr>
              <w:t>30%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010"/>
              <w:spacing w:after="0"/>
              <w:rPr>
                <w:sz w:val="20"/>
                <w:szCs w:val="20"/>
                <w:color w:val="auto"/>
              </w:rPr>
            </w:pPr>
            <w:r>
              <w:rPr>
                <w:rFonts w:ascii="Arial" w:cs="Arial" w:eastAsia="Arial" w:hAnsi="Arial"/>
                <w:sz w:val="18"/>
                <w:szCs w:val="18"/>
                <w:color w:val="auto"/>
                <w:w w:val="91"/>
              </w:rPr>
              <w:t>118.0%</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gridSpan w:val="2"/>
          </w:tcPr>
          <w:p>
            <w:pPr>
              <w:jc w:val="center"/>
              <w:ind w:left="2411"/>
              <w:spacing w:after="0"/>
              <w:rPr>
                <w:sz w:val="20"/>
                <w:szCs w:val="20"/>
                <w:color w:val="auto"/>
              </w:rPr>
            </w:pPr>
            <w:r>
              <w:rPr>
                <w:rFonts w:ascii="Arial" w:cs="Arial" w:eastAsia="Arial" w:hAnsi="Arial"/>
                <w:sz w:val="18"/>
                <w:szCs w:val="18"/>
                <w:color w:val="auto"/>
                <w:w w:val="88"/>
              </w:rPr>
              <w:t>20%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ind w:left="2010"/>
              <w:spacing w:after="0"/>
              <w:rPr>
                <w:sz w:val="20"/>
                <w:szCs w:val="20"/>
                <w:color w:val="auto"/>
              </w:rPr>
            </w:pPr>
            <w:r>
              <w:rPr>
                <w:rFonts w:ascii="Arial" w:cs="Arial" w:eastAsia="Arial" w:hAnsi="Arial"/>
                <w:sz w:val="18"/>
                <w:szCs w:val="18"/>
                <w:color w:val="auto"/>
                <w:w w:val="91"/>
              </w:rPr>
              <w:t>121.5%</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gridSpan w:val="2"/>
          </w:tcPr>
          <w:p>
            <w:pPr>
              <w:jc w:val="center"/>
              <w:ind w:left="2411"/>
              <w:spacing w:after="0"/>
              <w:rPr>
                <w:sz w:val="20"/>
                <w:szCs w:val="20"/>
                <w:color w:val="auto"/>
              </w:rPr>
            </w:pPr>
            <w:r>
              <w:rPr>
                <w:rFonts w:ascii="Arial" w:cs="Arial" w:eastAsia="Arial" w:hAnsi="Arial"/>
                <w:sz w:val="18"/>
                <w:szCs w:val="18"/>
                <w:color w:val="auto"/>
                <w:w w:val="88"/>
              </w:rPr>
              <w:t>10%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3140" w:type="dxa"/>
            <w:vAlign w:val="bottom"/>
            <w:gridSpan w:val="4"/>
          </w:tcPr>
          <w:p>
            <w:pPr>
              <w:jc w:val="center"/>
              <w:ind w:right="1500"/>
              <w:spacing w:after="0"/>
              <w:rPr>
                <w:sz w:val="20"/>
                <w:szCs w:val="20"/>
                <w:color w:val="auto"/>
              </w:rPr>
            </w:pPr>
            <w:r>
              <w:rPr>
                <w:rFonts w:ascii="Arial" w:cs="Arial" w:eastAsia="Arial" w:hAnsi="Arial"/>
                <w:sz w:val="18"/>
                <w:szCs w:val="18"/>
                <w:color w:val="auto"/>
                <w:w w:val="88"/>
              </w:rPr>
              <w:t>Greater than 121.5%</w:t>
            </w:r>
          </w:p>
        </w:tc>
        <w:tc>
          <w:tcPr>
            <w:tcW w:w="2860" w:type="dxa"/>
            <w:vAlign w:val="bottom"/>
            <w:gridSpan w:val="2"/>
          </w:tcPr>
          <w:p>
            <w:pPr>
              <w:jc w:val="center"/>
              <w:ind w:left="2411"/>
              <w:spacing w:after="0"/>
              <w:rPr>
                <w:sz w:val="20"/>
                <w:szCs w:val="20"/>
                <w:color w:val="auto"/>
              </w:rPr>
            </w:pPr>
            <w:r>
              <w:rPr>
                <w:rFonts w:ascii="Arial" w:cs="Arial" w:eastAsia="Arial" w:hAnsi="Arial"/>
                <w:sz w:val="18"/>
                <w:szCs w:val="18"/>
                <w:color w:val="auto"/>
                <w:w w:val="92"/>
              </w:rPr>
              <w:t>0%</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calculation of the percent of target achieved in the above tables shall be adjusted proportionately to reflect whole percentages achieved between the levels in the table. For example, if Corporate achieved 73% of Target Adjusted EBITDA, the percent of target achieved would be 57%; if Corporate achieved 137% of Target Adjusted EBITDA, the percent of target achieved would be 156%.</w:t>
      </w:r>
    </w:p>
    <w:p>
      <w:pPr>
        <w:spacing w:after="0" w:line="17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3.4. Limitation on Financial Performance Award</w:t>
      </w:r>
      <w:r>
        <w:rPr>
          <w:rFonts w:ascii="Arial" w:cs="Arial" w:eastAsia="Arial" w:hAnsi="Arial"/>
          <w:sz w:val="17"/>
          <w:szCs w:val="17"/>
          <w:color w:val="auto"/>
        </w:rPr>
        <w:t>. Notwithstanding any provision to the contrary, a Participant’s Financial Performance Award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exceed (i) $1,500,000 for any Participant for the Fiscal Year performance period under the Plan (and after including any other awards granted under the Plan for the Fiscal Year) or (ii) if lower, for any Participant who is a Section 162(m) Officer, such Participant’s designated performance pool percentage of the Section 162(m) Officer Bonus Pool as set forth on an exhibit on file with the Committee. In the event that the amount of any award(s) for the Fiscal Year earned exceed $1,500,000, in the aggregate, for a Participant, or the designated performance pool percentage for any Section 162(m) Officer, such award(s) shall be reduced to $1,500,000 or, if lower, the applicable designated performance pool percentage. The decision as to how and, if applicable, which award(s) shall be reduced shall be made in a manner determined in the sole discretion of the Committee.</w:t>
      </w:r>
    </w:p>
    <w:p>
      <w:pPr>
        <w:sectPr>
          <w:pgSz w:w="11900" w:h="16838" w:orient="portrait"/>
          <w:cols w:equalWidth="0" w:num="1">
            <w:col w:w="11400"/>
          </w:cols>
          <w:pgMar w:left="240" w:top="270" w:right="259" w:bottom="1440" w:gutter="0" w:footer="0" w:header="0"/>
        </w:sectPr>
      </w:pPr>
    </w:p>
    <w:bookmarkStart w:id="108" w:name="page109"/>
    <w:bookmarkEnd w:id="108"/>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w:t>
        <w:tab/>
        <w:t>RECOUPMENT</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the Company is required to prepare an accounting restatement applicable to any financial reporting period covering a period within the Fiscal Year due to the material noncompliance of the Company with any financial reporting requirement under the securities laws or other applicable law and if the Committee, in its discretion, so determines, each “Specified Participant” (as defined below) shall pay to the Company, in cash, all cash paid to or on behalf of such Participant under the Plan for the Fiscal Year in excess of the amount of such compensation that would have been paid to the Participant for the Fiscal Year based on the restated financial results. Any such payment shall be made within the time periods prescribed by the Committee. The term “Specified Participant” means any Participant that the Committee has determined, in its sole discretion, has committed fraud, negligence, or intentional misconduct that was a significant contributing factor to the Company having to prepare an accounting restatement. A Specified Participant’s failure to make any such timely payment to the Company constitutes an independent and material breach of the terms and conditions of the Plan, for which the Company may seek recovery of the unpaid amount as liquidated damages, in addition to all other rights and remedies the Company may have against the Participant. By participating in the Plan, each Participant agrees that timely payment to the Company as set forth in this Section IV is (i) reasonable and necessary, (ii) is not a penalty, and (iii) does not preclude the Company from seeking all other remedies that may be available to the Company.</w:t>
      </w:r>
    </w:p>
    <w:p>
      <w:pPr>
        <w:spacing w:after="0" w:line="173"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Committee, in its discretion, shall determine whether the Company shall effect any such recovery (i) by seeking repayment from the Specified Participant, (ii) by reducing (subject to applicable law and the terms and conditions of the applicable plan, program or arrangement) the amount that would otherwise be payable to the Specified Participant under any compensatory plan, program or arrangement maintained by the Company or any of its affiliates,</w:t>
      </w:r>
    </w:p>
    <w:p>
      <w:pPr>
        <w:ind w:right="140" w:firstLine="8"/>
        <w:spacing w:after="0" w:line="255"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withholding payment of future increases in compensation (including the payment of any discretionary bonus amount) or grants of compensatory awards that would otherwise have been made in accordance with the Company’s otherwise applicable compensation practices, or (iv) by any combination of the foregoing.</w:t>
      </w:r>
    </w:p>
    <w:p>
      <w:pPr>
        <w:spacing w:after="0" w:line="19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Notwithstanding any other provisions of this document, any awards made hereunder shall be subject to recovery under any law, governmental regulation, stock exchange listing requirement or Company policy applicable to them, including any related deductions, recoupment and/or claw-back as may be required to be made pursuant to such law, government regulation, stock exchange listing requirement, or Company policy, as may be in effect from time to time, and which may operate to create additional rights for the Company with respect to the awards and recovery of amounts relating thereto (the “Clawback Requirement”). By accepting Financial Performance Awards granted hereunder and under the Plan, Participants agree and acknowledge that they are obligated to cooperate with, and provide any and all assistance necessary</w:t>
      </w:r>
    </w:p>
    <w:p>
      <w:pPr>
        <w:sectPr>
          <w:pgSz w:w="11900" w:h="16838" w:orient="portrait"/>
          <w:cols w:equalWidth="0" w:num="1">
            <w:col w:w="11420"/>
          </w:cols>
          <w:pgMar w:left="240" w:top="270" w:right="239" w:bottom="1440" w:gutter="0" w:footer="0" w:header="0"/>
        </w:sectPr>
      </w:pPr>
    </w:p>
    <w:bookmarkStart w:id="109" w:name="page110"/>
    <w:bookmarkEnd w:id="109"/>
    <w:p>
      <w:pPr>
        <w:ind w:right="1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Company to recover or recoup any award or amounts paid under the Plan subject to claw-back pursuant to such law, government regulation, stock exchange listing requirement or Company policy. Such cooperation and assistance shall include, but is not limited to, executing, completing and submitting any documentation necessary to recover or recoup any award or amounts paid under the Plan from a Participant’s accounts, or pending or future compensation or awards. In the event the awards granted pursuant to this document and the Plan become subject to such Clawback Requirement, then the awards shall be subject to such Clawback Requirement, and the foregoing provision of this Section IV shall no longer apply to such awards.</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Notwithstanding the foregoing, the Company shall not be required to make any additional payment in the event that the restated financial results would have resulted in a greater payment to any Participant.</w:t>
      </w:r>
    </w:p>
    <w:p>
      <w:pPr>
        <w:spacing w:after="0" w:line="31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determinations with respect to any Financial Performance Award shall be made by the Committee and shall be final, conclusive and binding on the Company, the Participant and any and all interested parties. No payment of a Financial Performance Award shall be made prior to the Committee certifying in writing that the performance goals and other material terms applicable to such awards for the Fiscal Year as set forth herein (including the Schedule attached hereto and/or the applicable exhibits on file with the Committee) have been attained.</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undersigned Chairman of the Committee hereby certifies, on behalf of the Committee, that the performance goals and other material terms applicable to the awards for the Fiscal Year as set forth herein (including the Schedule attached hereto) have been determined and approved at the Committee meeting on January 25, 2016.</w:t>
      </w:r>
    </w:p>
    <w:p>
      <w:pPr>
        <w:spacing w:after="0" w:line="20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H. Rackoff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William H. Rackoff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Compensation Committee</w:t>
      </w:r>
    </w:p>
    <w:p>
      <w:pPr>
        <w:sectPr>
          <w:pgSz w:w="11900" w:h="16838" w:orient="portrait"/>
          <w:cols w:equalWidth="0" w:num="1">
            <w:col w:w="11380"/>
          </w:cols>
          <w:pgMar w:left="240" w:top="274" w:right="27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gridSpan w:val="2"/>
          </w:tcPr>
          <w:p>
            <w:pPr>
              <w:ind w:left="600"/>
              <w:spacing w:after="0"/>
              <w:rPr>
                <w:sz w:val="20"/>
                <w:szCs w:val="20"/>
                <w:color w:val="auto"/>
              </w:rPr>
            </w:pPr>
            <w:r>
              <w:rPr>
                <w:rFonts w:ascii="Arial" w:cs="Arial" w:eastAsia="Arial" w:hAnsi="Arial"/>
                <w:sz w:val="18"/>
                <w:szCs w:val="18"/>
                <w:b w:val="1"/>
                <w:bCs w:val="1"/>
                <w:color w:val="auto"/>
                <w:w w:val="84"/>
              </w:rPr>
              <w:t>Schedule 1.10</w:t>
            </w:r>
          </w:p>
        </w:tc>
        <w:tc>
          <w:tcPr>
            <w:tcW w:w="0" w:type="dxa"/>
            <w:vAlign w:val="bottom"/>
          </w:tcPr>
          <w:p>
            <w:pPr>
              <w:spacing w:after="0"/>
              <w:rPr>
                <w:sz w:val="1"/>
                <w:szCs w:val="1"/>
                <w:color w:val="auto"/>
              </w:rPr>
            </w:pPr>
          </w:p>
        </w:tc>
      </w:tr>
      <w:tr>
        <w:trPr>
          <w:trHeight w:val="392"/>
        </w:trPr>
        <w:tc>
          <w:tcPr>
            <w:tcW w:w="15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Participants</w:t>
            </w:r>
          </w:p>
        </w:tc>
        <w:tc>
          <w:tcPr>
            <w:tcW w:w="4980" w:type="dxa"/>
            <w:vAlign w:val="bottom"/>
            <w:gridSpan w:val="3"/>
          </w:tcPr>
          <w:p>
            <w:pPr>
              <w:ind w:left="2980"/>
              <w:spacing w:after="0"/>
              <w:rPr>
                <w:sz w:val="20"/>
                <w:szCs w:val="20"/>
                <w:color w:val="auto"/>
              </w:rPr>
            </w:pPr>
            <w:r>
              <w:rPr>
                <w:rFonts w:ascii="Arial" w:cs="Arial" w:eastAsia="Arial" w:hAnsi="Arial"/>
                <w:sz w:val="14"/>
                <w:szCs w:val="14"/>
                <w:color w:val="auto"/>
              </w:rPr>
              <w:t>Title*</w:t>
            </w:r>
          </w:p>
        </w:tc>
        <w:tc>
          <w:tcPr>
            <w:tcW w:w="2820" w:type="dxa"/>
            <w:vAlign w:val="bottom"/>
            <w:gridSpan w:val="3"/>
          </w:tcPr>
          <w:p>
            <w:pPr>
              <w:ind w:left="1160"/>
              <w:spacing w:after="0"/>
              <w:rPr>
                <w:sz w:val="20"/>
                <w:szCs w:val="20"/>
                <w:color w:val="auto"/>
              </w:rPr>
            </w:pPr>
            <w:r>
              <w:rPr>
                <w:rFonts w:ascii="Arial" w:cs="Arial" w:eastAsia="Arial" w:hAnsi="Arial"/>
                <w:sz w:val="14"/>
                <w:szCs w:val="14"/>
                <w:color w:val="auto"/>
              </w:rPr>
              <w:t>Operating Unit(s)</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8"/>
                <w:szCs w:val="18"/>
                <w:color w:val="auto"/>
              </w:rPr>
              <w:t>Robert P. Bauer</w:t>
            </w:r>
          </w:p>
        </w:tc>
        <w:tc>
          <w:tcPr>
            <w:tcW w:w="680" w:type="dxa"/>
            <w:vAlign w:val="bottom"/>
            <w:shd w:val="clear" w:color="auto" w:fill="000000"/>
          </w:tcPr>
          <w:p>
            <w:pPr>
              <w:spacing w:after="0" w:line="20" w:lineRule="exact"/>
              <w:rPr>
                <w:sz w:val="1"/>
                <w:szCs w:val="1"/>
                <w:color w:val="auto"/>
              </w:rPr>
            </w:pPr>
          </w:p>
        </w:tc>
        <w:tc>
          <w:tcPr>
            <w:tcW w:w="1400" w:type="dxa"/>
            <w:vAlign w:val="bottom"/>
            <w:vMerge w:val="restart"/>
          </w:tcPr>
          <w:p>
            <w:pPr>
              <w:spacing w:after="0" w:line="20" w:lineRule="exact"/>
              <w:rPr>
                <w:sz w:val="1"/>
                <w:szCs w:val="1"/>
                <w:color w:val="auto"/>
              </w:rPr>
            </w:pPr>
          </w:p>
        </w:tc>
        <w:tc>
          <w:tcPr>
            <w:tcW w:w="2980" w:type="dxa"/>
            <w:vAlign w:val="bottom"/>
            <w:vMerge w:val="restart"/>
          </w:tcPr>
          <w:p>
            <w:pPr>
              <w:ind w:left="1420"/>
              <w:spacing w:after="0"/>
              <w:rPr>
                <w:sz w:val="20"/>
                <w:szCs w:val="20"/>
                <w:color w:val="auto"/>
              </w:rPr>
            </w:pPr>
            <w:r>
              <w:rPr>
                <w:rFonts w:ascii="Arial" w:cs="Arial" w:eastAsia="Arial" w:hAnsi="Arial"/>
                <w:sz w:val="18"/>
                <w:szCs w:val="18"/>
                <w:color w:val="auto"/>
                <w:w w:val="99"/>
              </w:rPr>
              <w:t>President and CEO</w:t>
            </w:r>
          </w:p>
        </w:tc>
        <w:tc>
          <w:tcPr>
            <w:tcW w:w="340" w:type="dxa"/>
            <w:vAlign w:val="bottom"/>
            <w:shd w:val="clear" w:color="auto" w:fill="000000"/>
          </w:tcPr>
          <w:p>
            <w:pPr>
              <w:spacing w:after="0" w:line="20" w:lineRule="exact"/>
              <w:rPr>
                <w:sz w:val="1"/>
                <w:szCs w:val="1"/>
                <w:color w:val="auto"/>
              </w:rPr>
            </w:pPr>
          </w:p>
        </w:tc>
        <w:tc>
          <w:tcPr>
            <w:tcW w:w="166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5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2180" w:type="dxa"/>
            <w:vAlign w:val="bottom"/>
            <w:gridSpan w:val="2"/>
          </w:tcPr>
          <w:p>
            <w:pPr>
              <w:ind w:left="540"/>
              <w:spacing w:after="0" w:line="195" w:lineRule="exact"/>
              <w:rPr>
                <w:sz w:val="20"/>
                <w:szCs w:val="20"/>
                <w:color w:val="auto"/>
              </w:rPr>
            </w:pPr>
            <w:r>
              <w:rPr>
                <w:rFonts w:ascii="Arial" w:cs="Arial" w:eastAsia="Arial" w:hAnsi="Arial"/>
                <w:sz w:val="18"/>
                <w:szCs w:val="18"/>
                <w:color w:val="auto"/>
                <w:w w:val="89"/>
              </w:rPr>
              <w:t>Consolidate Corporate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Merry L. Brumbaugh</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VP—Tubular Products</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Tubular</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Steven R. Burgess</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VP—Concrete Products</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Rail (inc. Buildings)</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President—CXT</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Samuel K. Fisher</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VP—Rail Distribution</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Rail (inc. Buildings)</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Patrick J. Guinee</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VP and General Counsel</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Consolidated Corporate</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John F. Kasel</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Sr VP—Rail Business</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Rail (inc. Buildings)</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Brian H. Kelly</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VP—Human Resources &amp; Administration</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Consolidated Corporate</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Gregory W. Lippard</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VP—Rail Product Sales</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Rail (inc. Buildings)</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Konstantinos Papazoglou</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VP—Rail Technology</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Rail (inc. Buildings)</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Christopher T. Scanlon</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Controller</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Consolidated Corporate</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David J. Russo</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Sr VP and CFO</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Consolidated Corporate</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David R. Sauder</w:t>
            </w:r>
          </w:p>
        </w:tc>
        <w:tc>
          <w:tcPr>
            <w:tcW w:w="4980" w:type="dxa"/>
            <w:vAlign w:val="bottom"/>
            <w:gridSpan w:val="3"/>
          </w:tcPr>
          <w:p>
            <w:pPr>
              <w:ind w:left="1420"/>
              <w:spacing w:after="0"/>
              <w:rPr>
                <w:sz w:val="20"/>
                <w:szCs w:val="20"/>
                <w:color w:val="auto"/>
              </w:rPr>
            </w:pPr>
            <w:r>
              <w:rPr>
                <w:rFonts w:ascii="Arial" w:cs="Arial" w:eastAsia="Arial" w:hAnsi="Arial"/>
                <w:sz w:val="18"/>
                <w:szCs w:val="18"/>
                <w:color w:val="auto"/>
              </w:rPr>
              <w:t>VP—Global Business Development</w:t>
            </w: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w w:val="92"/>
              </w:rPr>
              <w:t>Construction (excluding Bridge</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20" w:type="dxa"/>
            <w:vAlign w:val="bottom"/>
            <w:gridSpan w:val="3"/>
          </w:tcPr>
          <w:p>
            <w:pPr>
              <w:ind w:left="54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Subject to change pursuant to Section 3.1.</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Approved by Committee this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25th day of January, 2016.</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H. Rackoff</w:t>
      </w:r>
    </w:p>
    <w:p>
      <w:pPr>
        <w:spacing w:after="0" w:line="2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10.27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L. B. FOSTER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2016 FREE CASH FLOW PROGRAM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EXECUTIVE ANNUAL INCENTIVE COMPENSATION PLAN</w:t>
      </w:r>
    </w:p>
    <w:p>
      <w:pPr>
        <w:spacing w:after="0" w:line="20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The purpose of this document is to establish in writing the performance goal and other terms applicable to the 2016 free cash flow program (the “</w:t>
      </w:r>
      <w:r>
        <w:rPr>
          <w:rFonts w:ascii="Arial" w:cs="Arial" w:eastAsia="Arial" w:hAnsi="Arial"/>
          <w:sz w:val="18"/>
          <w:szCs w:val="18"/>
          <w:b w:val="1"/>
          <w:bCs w:val="1"/>
          <w:color w:val="auto"/>
        </w:rPr>
        <w:t>FCF</w:t>
      </w:r>
      <w:r>
        <w:rPr>
          <w:rFonts w:ascii="Arial" w:cs="Arial" w:eastAsia="Arial" w:hAnsi="Arial"/>
          <w:sz w:val="18"/>
          <w:szCs w:val="18"/>
          <w:color w:val="auto"/>
        </w:rPr>
        <w:t xml:space="preserve"> </w:t>
      </w:r>
      <w:r>
        <w:rPr>
          <w:rFonts w:ascii="Arial" w:cs="Arial" w:eastAsia="Arial" w:hAnsi="Arial"/>
          <w:sz w:val="18"/>
          <w:szCs w:val="18"/>
          <w:b w:val="1"/>
          <w:bCs w:val="1"/>
          <w:color w:val="auto"/>
        </w:rPr>
        <w:t>Program</w:t>
      </w:r>
      <w:r>
        <w:rPr>
          <w:rFonts w:ascii="Arial" w:cs="Arial" w:eastAsia="Arial" w:hAnsi="Arial"/>
          <w:sz w:val="18"/>
          <w:szCs w:val="18"/>
          <w:color w:val="auto"/>
        </w:rPr>
        <w:t>”) authorized under the L. B. Foster Company Executive Annual Incentive Compensation Plan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31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Capitalized terms not otherwise defined herein shall have the meaning ascribed thereto in the Plan. The following terms shall be defined as follows: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 “Company” </w:t>
      </w:r>
      <w:r>
        <w:rPr>
          <w:rFonts w:ascii="Arial" w:cs="Arial" w:eastAsia="Arial" w:hAnsi="Arial"/>
          <w:sz w:val="16"/>
          <w:szCs w:val="16"/>
          <w:color w:val="auto"/>
        </w:rPr>
        <w:t>means L. B. Foster Company and those subsidiaries thereof in which L. B. Foster Company owns 100% of the outstanding common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“Fiscal Year” </w:t>
      </w:r>
      <w:r>
        <w:rPr>
          <w:rFonts w:ascii="Arial" w:cs="Arial" w:eastAsia="Arial" w:hAnsi="Arial"/>
          <w:sz w:val="18"/>
          <w:szCs w:val="18"/>
          <w:color w:val="auto"/>
        </w:rPr>
        <w:t>means the 2016 calendar year (January 1, 2016 through December 31, 2016).</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1.3. “Free Cash Flow” </w:t>
      </w:r>
      <w:r>
        <w:rPr>
          <w:rFonts w:ascii="Arial" w:cs="Arial" w:eastAsia="Arial" w:hAnsi="Arial"/>
          <w:sz w:val="16"/>
          <w:szCs w:val="16"/>
          <w:color w:val="auto"/>
        </w:rPr>
        <w:t>means with respect to the Company’s consolidated results for the Fiscal Year, determined in accordance with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accepted accounting principles, Net Cash Provided by Operating Activities reduced by Net Capital Expenditures. Free Cash Flow shall be calculated without regard to: (i) the effect of changes in accounting principles, (ii) any on-going and/or one-time costs and/or expenses attributable to an acquisition, including but not limited to, those related to the negotiation, completion and/or integration of an acquisition, incurred during the Fiscal Year, (iii) any costs related to the purchase accounting step up in the basis of tangible or intangible assets not classified as depreciation or amortization, (iv) any on-going and/or one-time costs and/or expenses related to the unsuccessfully attempted acquisition of a business during the Fiscal Year (exclusive of employee travel), (v) any on-going and/or one-time costs and/or expenses (exclusive of employee travel) associated with the sale or attempted sale of a business in the Fiscal Year, (vi) any significant or non-recurring items which are disclosed in management’s discussion and analysis of financial condition and results of operations in the Company’s Annual Report on Form 10-K for such period and which would have an adverse effect on the pay-out amount of a Participant’s Free Cash Flow Performance Award, and (vii) the reported results of an acquisition completed in the Fiscal Year. Notwithstanding the foregoing, in the event that a business is sold during the Fiscal Year, such business’ target and adjusted results shall be eliminated from all calculations.</w:t>
      </w:r>
    </w:p>
    <w:p>
      <w:pPr>
        <w:spacing w:after="0" w:line="164"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1.4. “Free Cash Flow Performance Award” </w:t>
      </w:r>
      <w:r>
        <w:rPr>
          <w:rFonts w:ascii="Arial" w:cs="Arial" w:eastAsia="Arial" w:hAnsi="Arial"/>
          <w:sz w:val="18"/>
          <w:szCs w:val="18"/>
          <w:color w:val="auto"/>
        </w:rPr>
        <w:t>means an award made under the FCF Program to each Participant, each of which provides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right to receive a cash payment, calculated for each Participant pursuant to Section 3.1 and subject to Section 2.1, upon the attainment of the objective financial performance goal relating to Free Cash Flow performance for the Fiscal Year, as established and approved by the Committee and set forth on an exhibit on file with the Committee.</w:t>
      </w:r>
    </w:p>
    <w:p>
      <w:pPr>
        <w:spacing w:after="0" w:line="180"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b w:val="1"/>
          <w:bCs w:val="1"/>
          <w:color w:val="auto"/>
        </w:rPr>
        <w:t xml:space="preserve">1.5. “Net Capital Expenditures” </w:t>
      </w:r>
      <w:r>
        <w:rPr>
          <w:rFonts w:ascii="Arial" w:cs="Arial" w:eastAsia="Arial" w:hAnsi="Arial"/>
          <w:sz w:val="16"/>
          <w:szCs w:val="16"/>
          <w:color w:val="auto"/>
        </w:rPr>
        <w:t>means the net amount of “Capital expenditures on property, plant and equipment,” offset by “proceeds from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property plant and equipment,” as such amounts are shown on the Company’s audited Consolidated Statements of Cash Flows for the Fiscal Year.</w:t>
      </w:r>
    </w:p>
    <w:p>
      <w:pPr>
        <w:sectPr>
          <w:pgSz w:w="11900" w:h="16838" w:orient="portrait"/>
          <w:cols w:equalWidth="0" w:num="1">
            <w:col w:w="11420"/>
          </w:cols>
          <w:pgMar w:left="240" w:top="121" w:right="239" w:bottom="1440" w:gutter="0" w:footer="0" w:header="0"/>
        </w:sectPr>
      </w:pPr>
    </w:p>
    <w:bookmarkStart w:id="112" w:name="page113"/>
    <w:bookmarkEnd w:id="112"/>
    <w:p>
      <w:pPr>
        <w:ind w:right="10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 “Net Cash Provided by Operating Activities” </w:t>
      </w:r>
      <w:r>
        <w:rPr>
          <w:rFonts w:ascii="Arial" w:cs="Arial" w:eastAsia="Arial" w:hAnsi="Arial"/>
          <w:sz w:val="18"/>
          <w:szCs w:val="18"/>
          <w:color w:val="auto"/>
        </w:rPr>
        <w:t>means the amount set forth in the Company’s audited Consolidated Statements of Cash Flows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determined in accordance with generally accepted accounting principles.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“Participant” </w:t>
      </w:r>
      <w:r>
        <w:rPr>
          <w:rFonts w:ascii="Arial" w:cs="Arial" w:eastAsia="Arial" w:hAnsi="Arial"/>
          <w:sz w:val="18"/>
          <w:szCs w:val="18"/>
          <w:color w:val="auto"/>
        </w:rPr>
        <w:t>means each of the executive officers of the Company set forth on an exhibit on file with the Committee.</w:t>
      </w:r>
    </w:p>
    <w:p>
      <w:pPr>
        <w:spacing w:after="0" w:line="37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117"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b w:val="1"/>
          <w:bCs w:val="1"/>
          <w:color w:val="auto"/>
        </w:rPr>
        <w:t>2.1. Termination of Employment</w:t>
      </w:r>
      <w:r>
        <w:rPr>
          <w:rFonts w:ascii="Arial" w:cs="Arial" w:eastAsia="Arial" w:hAnsi="Arial"/>
          <w:sz w:val="18"/>
          <w:szCs w:val="18"/>
          <w:color w:val="auto"/>
        </w:rPr>
        <w:t>. Except as otherwise expressly set forth in Section 6 of the Plan or as otherwise determined by the Committee, if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terminates with the Company prior to the date of payment of the Free Cash Flow Performance Award, the Participant shall forfeit any and all rights to payment of the Free Cash Flow Performance Award.</w:t>
      </w:r>
    </w:p>
    <w:p>
      <w:pPr>
        <w:spacing w:after="0" w:line="32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PAY-OUT OF FREE CASH FLOW PERFORMANCE AWARDS</w:t>
      </w:r>
    </w:p>
    <w:p>
      <w:pPr>
        <w:spacing w:after="0" w:line="117"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3.1. Payment Terms</w:t>
      </w:r>
      <w:r>
        <w:rPr>
          <w:rFonts w:ascii="Arial" w:cs="Arial" w:eastAsia="Arial" w:hAnsi="Arial"/>
          <w:sz w:val="17"/>
          <w:szCs w:val="17"/>
          <w:color w:val="auto"/>
        </w:rPr>
        <w:t>. Subject to the terms and conditions set forth herein and in the Plan, if the Committee determines that the Free Cash Flow</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goal has been met for the Fiscal Year, each Participant shall receive a cash payment in settlement of their Free Cash Flow Performance Award in an amount equal to the product of (a) a “target payout” amount (equal to the designated target percentage of such Participant’s “base compensation”) multiplied by (b) the “payout factor” corresponding to the Free Cash Flow result for the Fiscal Year, in each case, as established by the Committee and set forth on an exhibit on file with the Committee. Such payment shall be made as soon as practicable following the Committee’s certification of Free Cash Flow and the amount of the payments owed to each Participant under the Free Cash Flow Performance Awards.</w:t>
      </w:r>
    </w:p>
    <w:p>
      <w:pPr>
        <w:spacing w:after="0" w:line="17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3.2. Limitation on Free Cash Flow Performance Award</w:t>
      </w:r>
      <w:r>
        <w:rPr>
          <w:rFonts w:ascii="Arial" w:cs="Arial" w:eastAsia="Arial" w:hAnsi="Arial"/>
          <w:sz w:val="18"/>
          <w:szCs w:val="18"/>
          <w:color w:val="auto"/>
        </w:rPr>
        <w:t>. Notwithstanding any provision to the contrary, the pay-out of a Free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Award (and any other awards granted under the Plan for the Fiscal Year) to a Participant shall not exceed $1,500,000, in the aggregate, as to that Participant. In the event that the aggregate amount of such pay-out to a Participant for the Fiscal Year exceeds $1,500,000, the aggregate amount of such pay-out shall be reduced to $1,500,000, with the decision as to which award(s) shall be reduced to be made in a manner determined in the sole discretion of the Committee.</w:t>
      </w:r>
    </w:p>
    <w:p>
      <w:pPr>
        <w:spacing w:after="0" w:line="3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RECOUPMENT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the Company is required to prepare an accounting restatement applicable to any financial reporting period covering a period within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Year due to the material noncompliance of the Company with any financial reporting requirement under the securities laws or other applicable law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the Committee, in its discretion, so determines, each “</w:t>
      </w:r>
      <w:r>
        <w:rPr>
          <w:rFonts w:ascii="Arial" w:cs="Arial" w:eastAsia="Arial" w:hAnsi="Arial"/>
          <w:sz w:val="16"/>
          <w:szCs w:val="16"/>
          <w:b w:val="1"/>
          <w:bCs w:val="1"/>
          <w:color w:val="auto"/>
        </w:rPr>
        <w:t>Specified Participant</w:t>
      </w:r>
      <w:r>
        <w:rPr>
          <w:rFonts w:ascii="Arial" w:cs="Arial" w:eastAsia="Arial" w:hAnsi="Arial"/>
          <w:sz w:val="16"/>
          <w:szCs w:val="16"/>
          <w:color w:val="auto"/>
        </w:rPr>
        <w:t>” (as defined below) shall pay to the Company, in cash, all cash paid to or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behalf of such Participant under the Plan for the Fiscal Year in excess of the amount of such compensation that would have been paid to the Participant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Fiscal Year based on the restated financial results. Any such payment shall be made within the time periods prescribed by the Committee. The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Participant</w:t>
      </w:r>
      <w:r>
        <w:rPr>
          <w:rFonts w:ascii="Arial" w:cs="Arial" w:eastAsia="Arial" w:hAnsi="Arial"/>
          <w:sz w:val="16"/>
          <w:szCs w:val="16"/>
          <w:color w:val="auto"/>
        </w:rPr>
        <w:t>” means any Participant that the Committee has determined, in its sole discretion, has committed fraud, negligence, or intentional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misconduct that was a significant contributing factor to the Company having to prepare an accounting restatement. A Specified Participant’s failure to make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such timely payment to the Company constitutes an independent and material breach of the terms and</w:t>
      </w:r>
    </w:p>
    <w:p>
      <w:pPr>
        <w:sectPr>
          <w:pgSz w:w="11900" w:h="16838" w:orient="portrait"/>
          <w:cols w:equalWidth="0" w:num="1">
            <w:col w:w="11400"/>
          </w:cols>
          <w:pgMar w:left="240" w:top="270" w:right="259" w:bottom="1440" w:gutter="0" w:footer="0" w:header="0"/>
        </w:sectPr>
      </w:pPr>
    </w:p>
    <w:bookmarkStart w:id="113" w:name="page114"/>
    <w:bookmarkEnd w:id="11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the Plan, for which the Company may seek recovery of the unpaid amount as liquidated damages, in addition to all other rights and remedies the Company may have against the Participant. By participating in the Plan, each Participant agrees that timely payment to the Company as set forth in this Section IV is (i) reasonable and necessary, (ii) is not a penalty, and (iii) does not preclude the Company from seeking all other remedies that may be available to the Company.</w:t>
      </w:r>
    </w:p>
    <w:p>
      <w:pPr>
        <w:spacing w:after="0" w:line="187"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Committee, in its discretion, shall determine whether the Company shall effect any such recovery (i) by seeking repayment from the Specified Participant, (ii) by reducing (subject to applicable law and the terms and conditions of the applicable plan, program or arrangement) the amount that would otherwise be payable to the Specified Participant under any compensatory plan, program or arrangement maintained by the Company or any of its affiliates,</w:t>
      </w:r>
    </w:p>
    <w:p>
      <w:pPr>
        <w:ind w:right="140" w:firstLine="8"/>
        <w:spacing w:after="0" w:line="255" w:lineRule="auto"/>
        <w:tabs>
          <w:tab w:leader="none" w:pos="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withholding payment of future increases in compensation (including the payment of any discretionary bonus amount) or grants of compensatory awards that would otherwise have been made in accordance with the Company’s otherwise applicable compensation practices, or (iv) by any combination of the foregoing.</w:t>
      </w:r>
    </w:p>
    <w:p>
      <w:pPr>
        <w:spacing w:after="0" w:line="19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Notwithstanding any other provisions of this document, any awards made hereunder shall be subject to recovery under any law, governmental regulation, stock exchange listing requirement or Company policy applicable to them, including any related deductions, recoupment and/or claw-back as may be required to be made pursuant to such law, government regulation, stock exchange listing requirement, or Company policy, as may be in effect from time to time, and which may operate to create additional rights for the Company with respect to the awards and recovery of amounts relating thereto (the “</w:t>
      </w:r>
      <w:r>
        <w:rPr>
          <w:rFonts w:ascii="Arial" w:cs="Arial" w:eastAsia="Arial" w:hAnsi="Arial"/>
          <w:sz w:val="17"/>
          <w:szCs w:val="17"/>
          <w:b w:val="1"/>
          <w:bCs w:val="1"/>
          <w:color w:val="auto"/>
        </w:rPr>
        <w:t>Clawback</w:t>
      </w:r>
      <w:r>
        <w:rPr>
          <w:rFonts w:ascii="Arial" w:cs="Arial" w:eastAsia="Arial" w:hAnsi="Arial"/>
          <w:sz w:val="17"/>
          <w:szCs w:val="17"/>
          <w:color w:val="auto"/>
        </w:rPr>
        <w:t xml:space="preserve"> </w:t>
      </w:r>
      <w:r>
        <w:rPr>
          <w:rFonts w:ascii="Arial" w:cs="Arial" w:eastAsia="Arial" w:hAnsi="Arial"/>
          <w:sz w:val="17"/>
          <w:szCs w:val="17"/>
          <w:b w:val="1"/>
          <w:bCs w:val="1"/>
          <w:color w:val="auto"/>
        </w:rPr>
        <w:t>Requirement</w:t>
      </w:r>
      <w:r>
        <w:rPr>
          <w:rFonts w:ascii="Arial" w:cs="Arial" w:eastAsia="Arial" w:hAnsi="Arial"/>
          <w:sz w:val="17"/>
          <w:szCs w:val="17"/>
          <w:color w:val="auto"/>
        </w:rPr>
        <w:t>”). By accepting Free Cash Flow Performance Awards granted hereunder and under the Plan, Participants agree and acknowledge that they are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obligated to cooperate with, and provide any and all assistance necessary to, the Company to recover or recoup any award or amounts paid under the Plan subject to claw-back pursuant to such law, government regulation, stock exchange listing requirement or Company policy. Such cooperation and assistance shall include, but is not limited to, executing, completing and submitting any documentation necessary to recover or recoup any award or amounts paid under the Plan from a Participant’s accounts, or pending or future compensation or awards. In the event the awards granted pursuant to this document and the Plan become subject to such Clawback Requirement, then the awards shall be subject to such Clawback Requirement, and the foregoing provision of this Section IV shall no longer apply to such awards.</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Notwithstanding the foregoing, the Company shall not be required to make any additional payment in the event that the restated financial results would have resulted in a greater payment to any Participant.</w:t>
      </w:r>
    </w:p>
    <w:p>
      <w:pPr>
        <w:spacing w:after="0" w:line="31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determinations with respect to any Free Cash Flow Performance Award shall be made by the Committee and shall be final, conclusive and binding on the Company, the Participant and any and all interested parties. No payment of a Free Cash Flow Performance Award shall be made prior to the Committee certifying in writing that the performance goal and other material terms applicable to such awards for the Fiscal Year as set forth herein (including the exhibits on file with the Committee) have been attained.</w:t>
      </w:r>
    </w:p>
    <w:p>
      <w:pPr>
        <w:sectPr>
          <w:pgSz w:w="11900" w:h="16838" w:orient="portrait"/>
          <w:cols w:equalWidth="0" w:num="1">
            <w:col w:w="11420"/>
          </w:cols>
          <w:pgMar w:left="240" w:top="274" w:right="239" w:bottom="1440" w:gutter="0" w:footer="0" w:header="0"/>
        </w:sectPr>
      </w:pPr>
    </w:p>
    <w:bookmarkStart w:id="114" w:name="page115"/>
    <w:bookmarkEnd w:id="114"/>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Chairman of the Committee hereby certifies, on behalf of the Committee, that the performance goal and other material terms applicable to the awards for the Fiscal Year as set forth herein have been determined and approved at the Committee meeting on January 25, 2016.</w:t>
      </w:r>
    </w:p>
    <w:p>
      <w:pPr>
        <w:spacing w:after="0" w:line="15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William H. Rackoff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William H. Rackoff</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Chairman, Compensation Committee</w:t>
      </w:r>
    </w:p>
    <w:p>
      <w:pPr>
        <w:sectPr>
          <w:pgSz w:w="11900" w:h="16838" w:orient="portrait"/>
          <w:cols w:equalWidth="0" w:num="1">
            <w:col w:w="10700"/>
          </w:cols>
          <w:pgMar w:left="240" w:top="274" w:right="9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L.B. FOSTER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gridSpan w:val="2"/>
          </w:tcPr>
          <w:p>
            <w:pPr>
              <w:spacing w:after="0"/>
              <w:rPr>
                <w:sz w:val="20"/>
                <w:szCs w:val="20"/>
                <w:color w:val="auto"/>
              </w:rPr>
            </w:pPr>
            <w:r>
              <w:rPr>
                <w:rFonts w:ascii="Arial" w:cs="Arial" w:eastAsia="Arial" w:hAnsi="Arial"/>
                <w:sz w:val="14"/>
                <w:szCs w:val="14"/>
                <w:color w:val="auto"/>
              </w:rPr>
              <w:t>Name of Corporation</w:t>
            </w:r>
          </w:p>
        </w:tc>
        <w:tc>
          <w:tcPr>
            <w:tcW w:w="1880" w:type="dxa"/>
            <w:vAlign w:val="bottom"/>
            <w:gridSpan w:val="2"/>
          </w:tcPr>
          <w:p>
            <w:pPr>
              <w:spacing w:after="0"/>
              <w:rPr>
                <w:sz w:val="20"/>
                <w:szCs w:val="20"/>
                <w:color w:val="auto"/>
              </w:rPr>
            </w:pPr>
            <w:r>
              <w:rPr>
                <w:rFonts w:ascii="Arial" w:cs="Arial" w:eastAsia="Arial" w:hAnsi="Arial"/>
                <w:sz w:val="14"/>
                <w:szCs w:val="14"/>
                <w:color w:val="auto"/>
              </w:rPr>
              <w:t>Jurisdiction of Incorporation</w:t>
            </w:r>
          </w:p>
        </w:tc>
      </w:tr>
      <w:tr>
        <w:trPr>
          <w:trHeight w:val="195"/>
        </w:trPr>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Castronics, LLC</w:t>
            </w:r>
          </w:p>
        </w:tc>
        <w:tc>
          <w:tcPr>
            <w:tcW w:w="6200" w:type="dxa"/>
            <w:vAlign w:val="bottom"/>
          </w:tcPr>
          <w:p>
            <w:pPr>
              <w:spacing w:after="0"/>
              <w:rPr>
                <w:sz w:val="16"/>
                <w:szCs w:val="16"/>
                <w:color w:val="auto"/>
              </w:rPr>
            </w:pPr>
          </w:p>
        </w:tc>
        <w:tc>
          <w:tcPr>
            <w:tcW w:w="1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40" w:type="dxa"/>
            <w:vAlign w:val="bottom"/>
          </w:tcPr>
          <w:p>
            <w:pPr>
              <w:spacing w:after="0"/>
              <w:rPr>
                <w:sz w:val="16"/>
                <w:szCs w:val="16"/>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Chemtec Energy Services, L.L.C.</w:t>
            </w:r>
          </w:p>
        </w:tc>
        <w:tc>
          <w:tcPr>
            <w:tcW w:w="18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CXT Incorporated</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IOS Acquisitions,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IOS Holdings,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IOS/PCI, LLC</w:t>
            </w:r>
          </w:p>
        </w:tc>
        <w:tc>
          <w:tcPr>
            <w:tcW w:w="188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James Clark Inspections,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GmbH</w:t>
            </w:r>
          </w:p>
        </w:tc>
        <w:tc>
          <w:tcPr>
            <w:tcW w:w="18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Ball Winch,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India Holdings Company</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International Holdings Company</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Latin America Holdings Company</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Produtos Ferrovi’arois do Brasil Ltda</w:t>
            </w:r>
          </w:p>
        </w:tc>
        <w:tc>
          <w:tcPr>
            <w:tcW w:w="18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Rail Technologies Canada Ltd.</w:t>
            </w:r>
          </w:p>
        </w:tc>
        <w:tc>
          <w:tcPr>
            <w:tcW w:w="1880" w:type="dxa"/>
            <w:vAlign w:val="bottom"/>
            <w:gridSpan w:val="2"/>
          </w:tcPr>
          <w:p>
            <w:pPr>
              <w:spacing w:after="0"/>
              <w:rPr>
                <w:sz w:val="20"/>
                <w:szCs w:val="20"/>
                <w:color w:val="auto"/>
              </w:rPr>
            </w:pPr>
            <w:r>
              <w:rPr>
                <w:rFonts w:ascii="Arial" w:cs="Arial" w:eastAsia="Arial" w:hAnsi="Arial"/>
                <w:sz w:val="18"/>
                <w:szCs w:val="18"/>
                <w:color w:val="auto"/>
              </w:rPr>
              <w:t>Quebec, Canada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Rail Technologies, Corp.</w:t>
            </w:r>
          </w:p>
        </w:tc>
        <w:tc>
          <w:tcPr>
            <w:tcW w:w="1880" w:type="dxa"/>
            <w:vAlign w:val="bottom"/>
            <w:gridSpan w:val="2"/>
          </w:tcPr>
          <w:p>
            <w:pPr>
              <w:spacing w:after="0"/>
              <w:rPr>
                <w:sz w:val="20"/>
                <w:szCs w:val="20"/>
                <w:color w:val="auto"/>
              </w:rPr>
            </w:pPr>
            <w:r>
              <w:rPr>
                <w:rFonts w:ascii="Arial" w:cs="Arial" w:eastAsia="Arial" w:hAnsi="Arial"/>
                <w:sz w:val="18"/>
                <w:szCs w:val="18"/>
                <w:color w:val="auto"/>
                <w:w w:val="91"/>
              </w:rPr>
              <w:t>British Columbia, Canada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Rail Technologies,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West Virginia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L.B. Foster Rail Technologies (UK) Limited</w:t>
            </w:r>
          </w:p>
        </w:tc>
        <w:tc>
          <w:tcPr>
            <w:tcW w:w="18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Mike’s Pipe Inspection,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Kansas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Netpractise Limited</w:t>
            </w:r>
          </w:p>
        </w:tc>
        <w:tc>
          <w:tcPr>
            <w:tcW w:w="18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OTI Operating,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Oklahoma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Portec Rail Nova Scotia Company</w:t>
            </w:r>
          </w:p>
        </w:tc>
        <w:tc>
          <w:tcPr>
            <w:tcW w:w="1880" w:type="dxa"/>
            <w:vAlign w:val="bottom"/>
            <w:gridSpan w:val="2"/>
          </w:tcPr>
          <w:p>
            <w:pPr>
              <w:spacing w:after="0"/>
              <w:rPr>
                <w:sz w:val="20"/>
                <w:szCs w:val="20"/>
                <w:color w:val="auto"/>
              </w:rPr>
            </w:pPr>
            <w:r>
              <w:rPr>
                <w:rFonts w:ascii="Arial" w:cs="Arial" w:eastAsia="Arial" w:hAnsi="Arial"/>
                <w:sz w:val="18"/>
                <w:szCs w:val="18"/>
                <w:color w:val="auto"/>
              </w:rPr>
              <w:t>Nova Scotia, Canada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Salient Systems,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TEW Holding (2012) Limited</w:t>
            </w:r>
          </w:p>
        </w:tc>
        <w:tc>
          <w:tcPr>
            <w:tcW w:w="18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TEW Holdings 2008 Limited</w:t>
            </w:r>
          </w:p>
        </w:tc>
        <w:tc>
          <w:tcPr>
            <w:tcW w:w="18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TEW Engineering Limited</w:t>
            </w:r>
          </w:p>
        </w:tc>
        <w:tc>
          <w:tcPr>
            <w:tcW w:w="18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TEW Plus Limited</w:t>
            </w:r>
          </w:p>
        </w:tc>
        <w:tc>
          <w:tcPr>
            <w:tcW w:w="188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(Forms S-8 No. 333-65885, 333-81535, 333-60488, 333-135002, 333-159470, 333-180118, and 333-208812) of our reports dated March 1, 2016, with respect to the consolidated financial statements and schedule of L.B. Foster Company and Subsidiaries and the effectiveness of internal control over financial reporting of L.B. Foster Company and Subsidiaries, included in this Annual Report (Form 10-K) for the year ended December 31, 2015.</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302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Robert P. Bauer, certify that:</w:t>
      </w:r>
    </w:p>
    <w:p>
      <w:pPr>
        <w:spacing w:after="0" w:line="90"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 B. Foster Company;</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40" w:firstLine="464"/>
        <w:spacing w:after="0" w:line="259"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20" w:val="left"/>
          <w:tab w:leader="none" w:pos="6160" w:val="left"/>
        </w:tabs>
        <w:rPr>
          <w:sz w:val="20"/>
          <w:szCs w:val="20"/>
          <w:color w:val="auto"/>
        </w:rPr>
      </w:pPr>
      <w:r>
        <w:rPr>
          <w:rFonts w:ascii="Arial" w:cs="Arial" w:eastAsia="Arial" w:hAnsi="Arial"/>
          <w:sz w:val="18"/>
          <w:szCs w:val="18"/>
          <w:color w:val="auto"/>
        </w:rPr>
        <w:t>Date: March 1,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P. Bauer</w:t>
      </w:r>
    </w:p>
    <w:p>
      <w:pPr>
        <w:spacing w:after="0" w:line="15" w:lineRule="exact"/>
        <w:rPr>
          <w:sz w:val="20"/>
          <w:szCs w:val="20"/>
          <w:color w:val="auto"/>
        </w:rPr>
      </w:pPr>
    </w:p>
    <w:tbl>
      <w:tblPr>
        <w:tblLayout w:type="fixed"/>
        <w:tblInd w:w="584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Robert P. Bauer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302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David J. Russo, certify that:</w:t>
      </w:r>
    </w:p>
    <w:p>
      <w:pPr>
        <w:spacing w:after="0" w:line="90"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 B. Foster Company;</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40" w:firstLine="464"/>
        <w:spacing w:after="0" w:line="259"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tabs>
          <w:tab w:leader="none" w:pos="5820" w:val="left"/>
          <w:tab w:leader="none" w:pos="6160" w:val="left"/>
        </w:tabs>
        <w:rPr>
          <w:sz w:val="20"/>
          <w:szCs w:val="20"/>
          <w:color w:val="auto"/>
        </w:rPr>
      </w:pPr>
      <w:r>
        <w:rPr>
          <w:rFonts w:ascii="Arial" w:cs="Arial" w:eastAsia="Arial" w:hAnsi="Arial"/>
          <w:sz w:val="18"/>
          <w:szCs w:val="18"/>
          <w:color w:val="auto"/>
        </w:rPr>
        <w:t>Date: March 1,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David J. Russo</w:t>
      </w:r>
    </w:p>
    <w:p>
      <w:pPr>
        <w:spacing w:after="0" w:line="15" w:lineRule="exact"/>
        <w:rPr>
          <w:sz w:val="20"/>
          <w:szCs w:val="20"/>
          <w:color w:val="auto"/>
        </w:rPr>
      </w:pPr>
    </w:p>
    <w:tbl>
      <w:tblPr>
        <w:tblLayout w:type="fixed"/>
        <w:tblInd w:w="584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David J. Russo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22"/>
        </w:trPr>
        <w:tc>
          <w:tcPr>
            <w:tcW w:w="58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Annual Report of L. B. Foster Company (the “Company”) on Form 10-K for the period ended December 31, 2015, as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on the date hereof (the “Report”), the undersigned certify pursuant to Section 906 of the Sarbanes-Oxley Act of 2002 that:</w:t>
      </w:r>
    </w:p>
    <w:p>
      <w:pPr>
        <w:spacing w:after="0" w:line="107" w:lineRule="exact"/>
        <w:rPr>
          <w:sz w:val="20"/>
          <w:szCs w:val="20"/>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March 1, 2016</w:t>
      </w:r>
      <w:r>
        <w:rPr>
          <w:sz w:val="20"/>
          <w:szCs w:val="20"/>
          <w:color w:val="auto"/>
        </w:rPr>
        <w:tab/>
      </w:r>
      <w:r>
        <w:rPr>
          <w:rFonts w:ascii="Arial" w:cs="Arial" w:eastAsia="Arial" w:hAnsi="Arial"/>
          <w:sz w:val="15"/>
          <w:szCs w:val="15"/>
          <w:color w:val="auto"/>
        </w:rPr>
        <w:t>/s/ Robert P. Bauer</w:t>
      </w:r>
    </w:p>
    <w:p>
      <w:pPr>
        <w:spacing w:after="0" w:line="15" w:lineRule="exact"/>
        <w:rPr>
          <w:sz w:val="20"/>
          <w:szCs w:val="20"/>
          <w:color w:val="auto"/>
        </w:rPr>
      </w:pPr>
    </w:p>
    <w:tbl>
      <w:tblPr>
        <w:tblLayout w:type="fixed"/>
        <w:tblInd w:w="584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Robert P. Bauer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18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March 1, 2016</w:t>
      </w:r>
      <w:r>
        <w:rPr>
          <w:sz w:val="20"/>
          <w:szCs w:val="20"/>
          <w:color w:val="auto"/>
        </w:rPr>
        <w:tab/>
      </w:r>
      <w:r>
        <w:rPr>
          <w:rFonts w:ascii="Arial" w:cs="Arial" w:eastAsia="Arial" w:hAnsi="Arial"/>
          <w:sz w:val="15"/>
          <w:szCs w:val="15"/>
          <w:color w:val="auto"/>
        </w:rPr>
        <w:t>/s/ David J. Russo</w:t>
      </w:r>
    </w:p>
    <w:p>
      <w:pPr>
        <w:spacing w:after="0" w:line="15" w:lineRule="exact"/>
        <w:rPr>
          <w:sz w:val="20"/>
          <w:szCs w:val="20"/>
          <w:color w:val="auto"/>
        </w:rPr>
      </w:pPr>
    </w:p>
    <w:tbl>
      <w:tblPr>
        <w:tblLayout w:type="fixed"/>
        <w:tblInd w:w="584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David J. Russo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22"/>
        </w:trPr>
        <w:tc>
          <w:tcPr>
            <w:tcW w:w="58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upperLetter"/>
      <w:start w:val="6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lvl w:ilvl="1">
      <w:lvlJc w:val="left"/>
      <w:lvlText w:val="(%2)"/>
      <w:numFmt w:val="lowerLetter"/>
      <w:start w:val="1"/>
    </w:lvl>
  </w:abstractNum>
  <w:abstractNum w:abstractNumId="20">
    <w:nsid w:val="5577F8E1"/>
    <w:multiLevelType w:val="hybridMultilevel"/>
    <w:lvl w:ilvl="0">
      <w:lvlJc w:val="left"/>
      <w:lvlText w:val="%1."/>
      <w:numFmt w:val="decimal"/>
      <w:start w:val="5"/>
    </w:lvl>
    <w:lvl w:ilvl="1">
      <w:lvlJc w:val="left"/>
      <w:lvlText w:val="(%2)"/>
      <w:numFmt w:val="lowerLetter"/>
      <w:start w:val="1"/>
    </w:lvl>
  </w:abstractNum>
  <w:abstractNum w:abstractNumId="21">
    <w:nsid w:val="440BADFC"/>
    <w:multiLevelType w:val="hybridMultilevel"/>
    <w:lvl w:ilvl="0">
      <w:lvlJc w:val="left"/>
      <w:lvlText w:val="%1."/>
      <w:numFmt w:val="decimal"/>
      <w:start w:val="9"/>
    </w:lvl>
    <w:lvl w:ilvl="1">
      <w:lvlJc w:val="left"/>
      <w:lvlText w:val="(%2)"/>
      <w:numFmt w:val="lowerLetter"/>
      <w:start w:val="1"/>
    </w:lvl>
  </w:abstractNum>
  <w:abstractNum w:abstractNumId="22">
    <w:nsid w:val="507236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
    <w:nsid w:val="3804823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4">
    <w:nsid w:val="77465F01"/>
    <w:multiLevelType w:val="hybridMultilevel"/>
    <w:lvl w:ilvl="0">
      <w:lvlJc w:val="left"/>
      <w:lvlText w:val="%1."/>
      <w:numFmt w:val="decimal"/>
      <w:start w:val="12"/>
    </w:lvl>
    <w:lvl w:ilvl="1">
      <w:lvlJc w:val="left"/>
      <w:lvlText w:val="(%2)"/>
      <w:numFmt w:val="lowerLetter"/>
      <w:start w:val="1"/>
    </w:lvl>
  </w:abstractNum>
  <w:abstractNum w:abstractNumId="25">
    <w:nsid w:val="7724C67E"/>
    <w:multiLevelType w:val="hybridMultilevel"/>
    <w:lvl w:ilvl="0">
      <w:lvlJc w:val="left"/>
      <w:lvlText w:val="(%1)"/>
      <w:numFmt w:val="lowerLetter"/>
      <w:start w:val="3"/>
    </w:lvl>
  </w:abstractNum>
  <w:abstractNum w:abstractNumId="26">
    <w:nsid w:val="5C482A97"/>
    <w:multiLevelType w:val="hybridMultilevel"/>
    <w:lvl w:ilvl="0">
      <w:lvlJc w:val="left"/>
      <w:lvlText w:val="%1."/>
      <w:numFmt w:val="decimal"/>
      <w:start w:val="14"/>
    </w:lvl>
    <w:lvl w:ilvl="1">
      <w:lvlJc w:val="left"/>
      <w:lvlText w:val="(%2)"/>
      <w:numFmt w:val="lowerLetter"/>
      <w:start w:val="1"/>
    </w:lvl>
  </w:abstractNum>
  <w:abstractNum w:abstractNumId="27">
    <w:nsid w:val="2463B9EA"/>
    <w:multiLevelType w:val="hybridMultilevel"/>
    <w:lvl w:ilvl="0">
      <w:lvlJc w:val="left"/>
      <w:lvlText w:val="%1"/>
      <w:numFmt w:val="decimal"/>
      <w:start w:val="1"/>
    </w:lvl>
    <w:lvl w:ilvl="1">
      <w:lvlJc w:val="left"/>
      <w:lvlText w:val="(%2)"/>
      <w:numFmt w:val="lowerLetter"/>
      <w:start w:val="4"/>
    </w:lvl>
  </w:abstractNum>
  <w:abstractNum w:abstractNumId="28">
    <w:nsid w:val="5E884ADC"/>
    <w:multiLevelType w:val="hybridMultilevel"/>
    <w:lvl w:ilvl="0">
      <w:lvlJc w:val="left"/>
      <w:lvlText w:val="%1."/>
      <w:numFmt w:val="decimal"/>
      <w:start w:val="18"/>
    </w:lvl>
    <w:lvl w:ilvl="1">
      <w:lvlJc w:val="left"/>
      <w:lvlText w:val="%2"/>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3"/>
    </w:lvl>
    <w:lvl w:ilvl="1">
      <w:lvlJc w:val="left"/>
      <w:lvlText w:val="(%2)"/>
      <w:numFmt w:val="lowerRoman"/>
      <w:start w:val="1"/>
    </w:lvl>
  </w:abstractNum>
  <w:abstractNum w:abstractNumId="31">
    <w:nsid w:val="580BD78F"/>
    <w:multiLevelType w:val="hybridMultilevel"/>
    <w:lvl w:ilvl="0">
      <w:lvlJc w:val="left"/>
      <w:lvlText w:val="(%1)"/>
      <w:numFmt w:val="lowerRoman"/>
      <w:start w:val="4"/>
    </w:lvl>
  </w:abstractNum>
  <w:abstractNum w:abstractNumId="32">
    <w:nsid w:val="153EA438"/>
    <w:multiLevelType w:val="hybridMultilevel"/>
    <w:lvl w:ilvl="0">
      <w:lvlJc w:val="left"/>
      <w:lvlText w:val="(%1)"/>
      <w:numFmt w:val="upperLetter"/>
      <w:start w:val="3"/>
    </w:lvl>
    <w:lvl w:ilvl="1">
      <w:lvlJc w:val="left"/>
      <w:lvlText w:val="(%2)"/>
      <w:numFmt w:val="lowerLetter"/>
      <w:start w:val="5"/>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upperLetter"/>
      <w:start w:val="9"/>
    </w:lvl>
  </w:abstractNum>
  <w:abstractNum w:abstractNumId="35">
    <w:nsid w:val="6A2342EC"/>
    <w:multiLevelType w:val="hybridMultilevel"/>
    <w:lvl w:ilvl="0">
      <w:lvlJc w:val="left"/>
      <w:lvlText w:val="(%1)"/>
      <w:numFmt w:val="lowerRoman"/>
      <w:start w:val="4"/>
    </w:lvl>
  </w:abstractNum>
  <w:abstractNum w:abstractNumId="36">
    <w:nsid w:val="2A487CB0"/>
    <w:multiLevelType w:val="hybridMultilevel"/>
    <w:lvl w:ilvl="0">
      <w:lvlJc w:val="left"/>
      <w:lvlText w:val="(%1)"/>
      <w:numFmt w:val="lowerRoman"/>
      <w:start w:val="9"/>
    </w:lvl>
  </w:abstractNum>
  <w:abstractNum w:abstractNumId="37">
    <w:nsid w:val="1D4ED43B"/>
    <w:multiLevelType w:val="hybridMultilevel"/>
    <w:lvl w:ilvl="0">
      <w:lvlJc w:val="left"/>
      <w:lvlText w:val="%1."/>
      <w:numFmt w:val="upperLetter"/>
      <w:start w:val="35"/>
    </w:lvl>
  </w:abstractNum>
  <w:abstractNum w:abstractNumId="38">
    <w:nsid w:val="725A06FB"/>
    <w:multiLevelType w:val="hybridMultilevel"/>
    <w:lvl w:ilvl="0">
      <w:lvlJc w:val="left"/>
      <w:lvlText w:val="%1."/>
      <w:numFmt w:val="upperLetter"/>
      <w:start w:val="61"/>
    </w:lvl>
  </w:abstractNum>
  <w:abstractNum w:abstractNumId="39">
    <w:nsid w:val="2CD89A32"/>
    <w:multiLevelType w:val="hybridMultilevel"/>
    <w:lvl w:ilvl="0">
      <w:lvlJc w:val="left"/>
      <w:lvlText w:val="(%1)"/>
      <w:numFmt w:val="lowerRoman"/>
      <w:start w:val="3"/>
    </w:lvl>
  </w:abstractNum>
  <w:abstractNum w:abstractNumId="40">
    <w:nsid w:val="57E4CCAF"/>
    <w:multiLevelType w:val="hybridMultilevel"/>
    <w:lvl w:ilvl="0">
      <w:lvlJc w:val="left"/>
      <w:lvlText w:val="%1."/>
      <w:numFmt w:val="upperLetter"/>
      <w:start w:val="22"/>
    </w:lvl>
  </w:abstractNum>
  <w:abstractNum w:abstractNumId="41">
    <w:nsid w:val="7A6D8D3C"/>
    <w:multiLevelType w:val="hybridMultilevel"/>
    <w:lvl w:ilvl="0">
      <w:lvlJc w:val="left"/>
      <w:lvlText w:val="%1."/>
      <w:numFmt w:val="upperLetter"/>
      <w:start w:val="9"/>
    </w:lvl>
  </w:abstractNum>
  <w:abstractNum w:abstractNumId="42">
    <w:nsid w:val="4B588F54"/>
    <w:multiLevelType w:val="hybridMultilevel"/>
    <w:lvl w:ilvl="0">
      <w:lvlJc w:val="left"/>
      <w:lvlText w:val="%1."/>
      <w:numFmt w:val="upperLetter"/>
      <w:start w:val="35"/>
    </w:lvl>
  </w:abstractNum>
  <w:abstractNum w:abstractNumId="43">
    <w:nsid w:val="542289EC"/>
    <w:multiLevelType w:val="hybridMultilevel"/>
    <w:lvl w:ilvl="0">
      <w:lvlJc w:val="left"/>
      <w:lvlText w:val="%1."/>
      <w:numFmt w:val="upperLetter"/>
      <w:start w:val="61"/>
    </w:lvl>
  </w:abstractNum>
  <w:abstractNum w:abstractNumId="44">
    <w:nsid w:val="6DE91B18"/>
    <w:multiLevelType w:val="hybridMultilevel"/>
    <w:lvl w:ilvl="0">
      <w:lvlJc w:val="left"/>
      <w:lvlText w:val="(%1)"/>
      <w:numFmt w:val="lowerRoman"/>
      <w:start w:val="3"/>
    </w:lvl>
  </w:abstractNum>
  <w:abstractNum w:abstractNumId="45">
    <w:nsid w:val="38437FDB"/>
    <w:multiLevelType w:val="hybridMultilevel"/>
    <w:lvl w:ilvl="0">
      <w:lvlJc w:val="left"/>
      <w:lvlText w:val="%1."/>
      <w:numFmt w:val="upperLetter"/>
      <w:start w:val="22"/>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2019-12-29T14:44:14Z</dcterms:created>
  <dcterms:modified xsi:type="dcterms:W3CDTF">2019-12-29T14:44:14Z</dcterms:modified>
</cp:coreProperties>
</file>