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90"/>
          <w:szCs w:val="90"/>
          <w:color w:val="FFFFFF"/>
        </w:rPr>
        <w:t>ANNUAL REPORT</w:t>
      </w:r>
    </w:p>
    <w:p>
      <w:pPr>
        <w:spacing w:after="0" w:line="146" w:lineRule="exact"/>
        <w:rPr>
          <w:sz w:val="24"/>
          <w:szCs w:val="24"/>
          <w:color w:val="auto"/>
        </w:rPr>
      </w:pPr>
    </w:p>
    <w:p>
      <w:pPr>
        <w:spacing w:after="0"/>
        <w:rPr>
          <w:sz w:val="20"/>
          <w:szCs w:val="20"/>
          <w:color w:val="auto"/>
        </w:rPr>
      </w:pPr>
      <w:r>
        <w:rPr>
          <w:rFonts w:ascii="Arial" w:cs="Arial" w:eastAsia="Arial" w:hAnsi="Arial"/>
          <w:sz w:val="70"/>
          <w:szCs w:val="70"/>
          <w:b w:val="1"/>
          <w:bCs w:val="1"/>
          <w:color w:val="FFFFFF"/>
        </w:rPr>
        <w:t>2 0 2 5</w:t>
      </w:r>
    </w:p>
    <w:p>
      <w:pPr>
        <w:sectPr>
          <w:pgSz w:w="11880" w:h="15480" w:orient="portrait"/>
          <w:cols w:equalWidth="0" w:num="1">
            <w:col w:w="9800"/>
          </w:cols>
          <w:pgMar w:left="1040" w:top="1440" w:right="1040" w:bottom="47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7780"/>
        <w:spacing w:after="0"/>
        <w:rPr>
          <w:sz w:val="20"/>
          <w:szCs w:val="20"/>
          <w:color w:val="auto"/>
        </w:rPr>
      </w:pPr>
      <w:r>
        <w:rPr>
          <w:rFonts w:ascii="Arial" w:cs="Arial" w:eastAsia="Arial" w:hAnsi="Arial"/>
          <w:sz w:val="36"/>
          <w:szCs w:val="36"/>
          <w:color w:val="FFFFFF"/>
        </w:rPr>
        <w:t>lbfoster.com</w:t>
      </w:r>
    </w:p>
    <w:p>
      <w:pPr>
        <w:sectPr>
          <w:pgSz w:w="11880" w:h="15480" w:orient="portrait"/>
          <w:cols w:equalWidth="0" w:num="1">
            <w:col w:w="9800"/>
          </w:cols>
          <w:pgMar w:left="1040" w:top="1440" w:right="1040" w:bottom="478"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61"/>
          <w:szCs w:val="6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3152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0" cy="9829165"/>
                    </a:xfrm>
                    <a:prstGeom prst="rect">
                      <a:avLst/>
                    </a:prstGeom>
                    <a:noFill/>
                  </pic:spPr>
                </pic:pic>
              </a:graphicData>
            </a:graphic>
          </wp:anchor>
        </w:drawing>
        <w:t xml:space="preserve">PRESIDENT’S </w:t>
      </w:r>
      <w:r>
        <w:rPr>
          <w:rFonts w:ascii="Arial" w:cs="Arial" w:eastAsia="Arial" w:hAnsi="Arial"/>
          <w:sz w:val="61"/>
          <w:szCs w:val="61"/>
          <w:color w:val="FFFFFF"/>
        </w:rPr>
        <w:t>LETTER</w:t>
      </w:r>
    </w:p>
    <w:p>
      <w:pPr>
        <w:sectPr>
          <w:pgSz w:w="11520" w:h="15480" w:orient="portrait"/>
          <w:cols w:equalWidth="0" w:num="1">
            <w:col w:w="10540"/>
          </w:cols>
          <w:pgMar w:left="420" w:top="53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line="317" w:lineRule="auto"/>
        <w:rPr>
          <w:sz w:val="20"/>
          <w:szCs w:val="20"/>
          <w:color w:val="auto"/>
        </w:rPr>
      </w:pPr>
      <w:r>
        <w:rPr>
          <w:rFonts w:ascii="Arial" w:cs="Arial" w:eastAsia="Arial" w:hAnsi="Arial"/>
          <w:sz w:val="23"/>
          <w:szCs w:val="23"/>
          <w:color w:val="auto"/>
        </w:rPr>
        <w:t>Following the completion of our strategic transformation, L.B. Foster Company spent 2025 advancing our innovative, technology-based offerings to address our customers’ most challenging operating and safety requirements. As we have progressed in this strategy,</w:t>
      </w:r>
    </w:p>
    <w:p>
      <w:pPr>
        <w:ind w:left="120" w:right="120"/>
        <w:spacing w:after="0" w:line="322" w:lineRule="auto"/>
        <w:rPr>
          <w:sz w:val="20"/>
          <w:szCs w:val="20"/>
          <w:color w:val="auto"/>
        </w:rPr>
      </w:pPr>
      <w:r>
        <w:rPr>
          <w:rFonts w:ascii="Arial" w:cs="Arial" w:eastAsia="Arial" w:hAnsi="Arial"/>
          <w:sz w:val="23"/>
          <w:szCs w:val="23"/>
          <w:color w:val="auto"/>
        </w:rPr>
        <w:t>our long-standing commitment to forward-thinking solutions and customer service has energized momentum across our business and strengthened our ability to deliver long-term shareholder value. This momentum was evident in the way we applied our expertise toward solving global infrastructure challenges throughout the year.</w:t>
      </w:r>
    </w:p>
    <w:p>
      <w:pPr>
        <w:spacing w:after="0" w:line="291" w:lineRule="exact"/>
        <w:rPr>
          <w:sz w:val="20"/>
          <w:szCs w:val="20"/>
          <w:color w:val="auto"/>
        </w:rPr>
      </w:pPr>
    </w:p>
    <w:p>
      <w:pPr>
        <w:ind w:left="120" w:right="100"/>
        <w:spacing w:after="0" w:line="421" w:lineRule="auto"/>
        <w:rPr>
          <w:sz w:val="20"/>
          <w:szCs w:val="20"/>
          <w:color w:val="auto"/>
        </w:rPr>
      </w:pPr>
      <w:r>
        <w:rPr>
          <w:rFonts w:ascii="Arial" w:cs="Arial" w:eastAsia="Arial" w:hAnsi="Arial"/>
          <w:sz w:val="14"/>
          <w:szCs w:val="14"/>
          <w:color w:val="auto"/>
        </w:rPr>
        <w:t>In 2025, our disciplined, customer-centric operating model drove sustainable profitability through our solutions, culture, and people. Growth was reflected across both of our operating segments, Rail and Infrastructure. In Rail, our technologies and service offerings support the safety, reliability, and efficiency of global rail markets. Our Infrastructure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361" w:lineRule="auto"/>
        <w:rPr>
          <w:sz w:val="20"/>
          <w:szCs w:val="20"/>
          <w:color w:val="auto"/>
        </w:rPr>
      </w:pPr>
      <w:r>
        <w:rPr>
          <w:rFonts w:ascii="Arial" w:cs="Arial" w:eastAsia="Arial" w:hAnsi="Arial"/>
          <w:sz w:val="16"/>
          <w:szCs w:val="16"/>
          <w:color w:val="auto"/>
        </w:rPr>
        <w:t>segment deploys technologies and solutions that positively impact the built environment and strengthen the resilience of critical assets. The impact we deliver to these markets reflects our strong cultural foundation, built on five areas of influence that inspire our people and resonate with our customers.</w:t>
      </w:r>
    </w:p>
    <w:p>
      <w:pPr>
        <w:spacing w:after="0" w:line="169" w:lineRule="exact"/>
        <w:rPr>
          <w:sz w:val="20"/>
          <w:szCs w:val="20"/>
          <w:color w:val="auto"/>
        </w:rPr>
      </w:pPr>
    </w:p>
    <w:p>
      <w:pPr>
        <w:jc w:val="both"/>
        <w:ind w:right="180"/>
        <w:spacing w:after="0" w:line="405" w:lineRule="auto"/>
        <w:rPr>
          <w:sz w:val="20"/>
          <w:szCs w:val="20"/>
          <w:color w:val="auto"/>
        </w:rPr>
      </w:pPr>
      <w:r>
        <w:rPr>
          <w:rFonts w:ascii="Arial" w:cs="Arial" w:eastAsia="Arial" w:hAnsi="Arial"/>
          <w:sz w:val="14"/>
          <w:szCs w:val="14"/>
          <w:color w:val="auto"/>
        </w:rPr>
        <w:t>The areas of influence that guide our business drive the development of products and technologies that enable safety, improve information flow, keep things moving, monitor conditions, and enhance environments.</w:t>
      </w:r>
    </w:p>
    <w:p>
      <w:pPr>
        <w:ind w:right="520"/>
        <w:spacing w:after="0" w:line="383" w:lineRule="auto"/>
        <w:rPr>
          <w:sz w:val="20"/>
          <w:szCs w:val="20"/>
          <w:color w:val="auto"/>
        </w:rPr>
      </w:pPr>
      <w:r>
        <w:rPr>
          <w:rFonts w:ascii="Arial" w:cs="Arial" w:eastAsia="Arial" w:hAnsi="Arial"/>
          <w:sz w:val="16"/>
          <w:szCs w:val="16"/>
          <w:color w:val="auto"/>
        </w:rPr>
        <w:t>They play a central role in how we deliver value across our Rail and Infrastructure segments.</w:t>
      </w:r>
    </w:p>
    <w:p>
      <w:pPr>
        <w:spacing w:after="0" w:line="150" w:lineRule="exact"/>
        <w:rPr>
          <w:sz w:val="20"/>
          <w:szCs w:val="20"/>
          <w:color w:val="auto"/>
        </w:rPr>
      </w:pPr>
    </w:p>
    <w:p>
      <w:pPr>
        <w:ind w:right="160"/>
        <w:spacing w:after="0" w:line="405" w:lineRule="auto"/>
        <w:rPr>
          <w:sz w:val="20"/>
          <w:szCs w:val="20"/>
          <w:color w:val="auto"/>
        </w:rPr>
      </w:pPr>
      <w:r>
        <w:rPr>
          <w:rFonts w:ascii="Arial" w:cs="Arial" w:eastAsia="Arial" w:hAnsi="Arial"/>
          <w:sz w:val="14"/>
          <w:szCs w:val="14"/>
          <w:color w:val="auto"/>
        </w:rPr>
        <w:t>Our Rail segment continues to show consistent growth supported by mobile solutions, new geographies, and our increased focus on technology. L.B. Foster’s rail experts bring a deep commitment to safety, quality, and performance, and our customers share these values.</w:t>
      </w:r>
    </w:p>
    <w:p>
      <w:pPr>
        <w:ind w:right="240"/>
        <w:spacing w:after="0" w:line="368" w:lineRule="auto"/>
        <w:rPr>
          <w:sz w:val="20"/>
          <w:szCs w:val="20"/>
          <w:color w:val="auto"/>
        </w:rPr>
      </w:pPr>
      <w:r>
        <w:rPr>
          <w:rFonts w:ascii="Arial" w:cs="Arial" w:eastAsia="Arial" w:hAnsi="Arial"/>
          <w:sz w:val="16"/>
          <w:szCs w:val="16"/>
          <w:color w:val="auto"/>
        </w:rPr>
        <w:t>As the industry increases its focus on rail safety and U.S. infrastructure investment, our teams are working closely with railroad partners to support long-term sustainable growth.</w:t>
      </w:r>
    </w:p>
    <w:p>
      <w:pPr>
        <w:spacing w:after="0" w:line="163" w:lineRule="exact"/>
        <w:rPr>
          <w:sz w:val="20"/>
          <w:szCs w:val="20"/>
          <w:color w:val="auto"/>
        </w:rPr>
      </w:pPr>
    </w:p>
    <w:p>
      <w:pPr>
        <w:ind w:right="40"/>
        <w:spacing w:after="0" w:line="358" w:lineRule="auto"/>
        <w:rPr>
          <w:sz w:val="20"/>
          <w:szCs w:val="20"/>
          <w:color w:val="auto"/>
        </w:rPr>
      </w:pPr>
      <w:r>
        <w:rPr>
          <w:rFonts w:ascii="Arial" w:cs="Arial" w:eastAsia="Arial" w:hAnsi="Arial"/>
          <w:sz w:val="16"/>
          <w:szCs w:val="16"/>
          <w:color w:val="auto"/>
        </w:rPr>
        <w:t>Our Total Track Monitoring (TTM) suite, Total Friction Management (TFM) solutions, and Rail Products lines are advancing because our employees understand our customers’ challenges and are designing solutions that elevate safety and operational performance. Federal funding for critical maintenance is helping our teams deliver more for customers, and the 2025 CRISI grant program, the most robust in its history, is strengthening investment pipelines and opportunities ahead for our people and technologies.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w:t>
      </w:r>
      <w:r>
        <w:rPr>
          <w:rFonts w:ascii="Arial" w:cs="Arial" w:eastAsia="Arial" w:hAnsi="Arial"/>
          <w:sz w:val="14"/>
          <w:szCs w:val="14"/>
          <w:color w:val="auto"/>
        </w:rPr>
        <w:t>hnology is driving our momentum in the rail market, but it’s our people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who bring that technology to life. As customer needs evolve, our teams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w:t>
      </w:r>
      <w:r>
        <w:rPr>
          <w:rFonts w:ascii="Arial" w:cs="Arial" w:eastAsia="Arial" w:hAnsi="Arial"/>
          <w:sz w:val="16"/>
          <w:szCs w:val="16"/>
          <w:color w:val="auto"/>
        </w:rPr>
        <w:t>tinue to expand the capabilities of our TTM and TFM businesses,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stre</w:t>
      </w:r>
      <w:r>
        <w:rPr>
          <w:rFonts w:ascii="Arial" w:cs="Arial" w:eastAsia="Arial" w:hAnsi="Arial"/>
          <w:sz w:val="16"/>
          <w:szCs w:val="16"/>
          <w:color w:val="auto"/>
        </w:rPr>
        <w:t>ngthening our competitive advantages. By working directly with</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railr</w:t>
      </w:r>
      <w:r>
        <w:rPr>
          <w:rFonts w:ascii="Arial" w:cs="Arial" w:eastAsia="Arial" w:hAnsi="Arial"/>
          <w:sz w:val="16"/>
          <w:szCs w:val="16"/>
          <w:color w:val="auto"/>
        </w:rPr>
        <w:t>oad partners, our teams help customers realize the value of these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solu</w:t>
      </w:r>
      <w:r>
        <w:rPr>
          <w:rFonts w:ascii="Arial" w:cs="Arial" w:eastAsia="Arial" w:hAnsi="Arial"/>
          <w:sz w:val="16"/>
          <w:szCs w:val="16"/>
          <w:color w:val="auto"/>
        </w:rPr>
        <w:t>tions and accelerate adoption. Thoughtful execution of our growth</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initi</w:t>
      </w:r>
      <w:r>
        <w:rPr>
          <w:rFonts w:ascii="Arial" w:cs="Arial" w:eastAsia="Arial" w:hAnsi="Arial"/>
          <w:sz w:val="14"/>
          <w:szCs w:val="14"/>
          <w:color w:val="auto"/>
        </w:rPr>
        <w:t>atives, powered by cross-functional collaboration, is key to maintaining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w:t>
      </w:r>
      <w:r>
        <w:rPr>
          <w:rFonts w:ascii="Arial" w:cs="Arial" w:eastAsia="Arial" w:hAnsi="Arial"/>
          <w:sz w:val="16"/>
          <w:szCs w:val="16"/>
          <w:color w:val="auto"/>
        </w:rPr>
        <w:t>mentum. We also intend to continue building on the strong value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w:t>
      </w:r>
      <w:r>
        <w:rPr>
          <w:rFonts w:ascii="Arial" w:cs="Arial" w:eastAsia="Arial" w:hAnsi="Arial"/>
          <w:sz w:val="14"/>
          <w:szCs w:val="14"/>
          <w:color w:val="auto"/>
        </w:rPr>
        <w:t>positions within our Rail Products portfolio to help customers operate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more safely and efficiently.</w:t>
      </w:r>
    </w:p>
    <w:p>
      <w:pPr>
        <w:spacing w:after="0" w:line="200" w:lineRule="exact"/>
        <w:rPr>
          <w:sz w:val="20"/>
          <w:szCs w:val="20"/>
          <w:color w:val="auto"/>
        </w:rPr>
      </w:pPr>
    </w:p>
    <w:p>
      <w:pPr>
        <w:sectPr>
          <w:pgSz w:w="11520" w:h="15480" w:orient="portrait"/>
          <w:cols w:equalWidth="0" w:num="2">
            <w:col w:w="5120" w:space="400"/>
            <w:col w:w="5020"/>
          </w:cols>
          <w:pgMar w:left="420" w:top="537" w:right="5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780"/>
        <w:spacing w:after="0"/>
        <w:rPr>
          <w:sz w:val="20"/>
          <w:szCs w:val="20"/>
          <w:color w:val="auto"/>
        </w:rPr>
      </w:pPr>
      <w:r>
        <w:rPr>
          <w:rFonts w:ascii="Arial" w:cs="Arial" w:eastAsia="Arial" w:hAnsi="Arial"/>
          <w:sz w:val="23"/>
          <w:szCs w:val="23"/>
          <w:b w:val="1"/>
          <w:bCs w:val="1"/>
          <w:color w:val="FFFFFF"/>
        </w:rPr>
        <w:t>John Kasel</w:t>
      </w:r>
    </w:p>
    <w:p>
      <w:pPr>
        <w:spacing w:after="0" w:line="43" w:lineRule="exact"/>
        <w:rPr>
          <w:sz w:val="20"/>
          <w:szCs w:val="20"/>
          <w:color w:val="auto"/>
        </w:rPr>
      </w:pPr>
    </w:p>
    <w:p>
      <w:pPr>
        <w:ind w:left="5780"/>
        <w:spacing w:after="0"/>
        <w:rPr>
          <w:sz w:val="20"/>
          <w:szCs w:val="20"/>
          <w:color w:val="auto"/>
        </w:rPr>
      </w:pPr>
      <w:r>
        <w:rPr>
          <w:rFonts w:ascii="Arial" w:cs="Arial" w:eastAsia="Arial" w:hAnsi="Arial"/>
          <w:sz w:val="22"/>
          <w:szCs w:val="22"/>
          <w:color w:val="FFFFFF"/>
        </w:rPr>
        <w:t>President &amp; CEO</w:t>
      </w:r>
    </w:p>
    <w:p>
      <w:pPr>
        <w:sectPr>
          <w:pgSz w:w="11520" w:h="15480" w:orient="portrait"/>
          <w:cols w:equalWidth="0" w:num="1">
            <w:col w:w="10540"/>
          </w:cols>
          <w:pgMar w:left="420" w:top="537" w:right="560"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FFFFFF"/>
        </w:rPr>
        <w:t>2</w:t>
      </w:r>
    </w:p>
    <w:p>
      <w:pPr>
        <w:sectPr>
          <w:pgSz w:w="11520" w:h="15480" w:orient="portrait"/>
          <w:cols w:equalWidth="0" w:num="1">
            <w:col w:w="10540"/>
          </w:cols>
          <w:pgMar w:left="420" w:top="537" w:right="560" w:bottom="0" w:gutter="0" w:footer="0" w:header="0"/>
          <w:type w:val="continuous"/>
        </w:sectPr>
      </w:pPr>
    </w:p>
    <w:bookmarkStart w:id="2" w:name="page3"/>
    <w:bookmarkEnd w:id="2"/>
    <w:p>
      <w:pPr>
        <w:ind w:left="3880"/>
        <w:spacing w:after="0"/>
        <w:rPr>
          <w:sz w:val="20"/>
          <w:szCs w:val="20"/>
          <w:color w:val="auto"/>
        </w:rPr>
      </w:pPr>
      <w:r>
        <w:rPr>
          <w:rFonts w:ascii="Arial" w:cs="Arial" w:eastAsia="Arial" w:hAnsi="Arial"/>
          <w:sz w:val="60"/>
          <w:szCs w:val="6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315200" cy="982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5200" cy="9829165"/>
                    </a:xfrm>
                    <a:prstGeom prst="rect">
                      <a:avLst/>
                    </a:prstGeom>
                    <a:noFill/>
                  </pic:spPr>
                </pic:pic>
              </a:graphicData>
            </a:graphic>
          </wp:anchor>
        </w:drawing>
        <w:t xml:space="preserve">PRESIDENT’S </w:t>
      </w:r>
      <w:r>
        <w:rPr>
          <w:rFonts w:ascii="Arial" w:cs="Arial" w:eastAsia="Arial" w:hAnsi="Arial"/>
          <w:sz w:val="60"/>
          <w:szCs w:val="60"/>
          <w:color w:val="FFFFFF"/>
        </w:rPr>
        <w:t>LETTER</w:t>
      </w:r>
    </w:p>
    <w:p>
      <w:pPr>
        <w:sectPr>
          <w:pgSz w:w="11520" w:h="15480" w:orient="portrait"/>
          <w:cols w:equalWidth="0" w:num="1">
            <w:col w:w="10560"/>
          </w:cols>
          <w:pgMar w:left="540" w:top="537"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In our Infrastructure segment, our progress reflects the dedication of our people and the culture of innovation they bring to our precast and steel offerings. We’re expanding our precast presence into new markets, applications, and geographies, seeking efficient ways to serve more communities. CXT</w:t>
      </w:r>
      <w:r>
        <w:rPr>
          <w:rFonts w:ascii="Arial" w:cs="Arial" w:eastAsia="Arial" w:hAnsi="Arial"/>
          <w:sz w:val="9"/>
          <w:szCs w:val="9"/>
          <w:color w:val="auto"/>
        </w:rPr>
        <w:t>®</w:t>
      </w:r>
      <w:r>
        <w:rPr>
          <w:rFonts w:ascii="Arial" w:cs="Arial" w:eastAsia="Arial" w:hAnsi="Arial"/>
          <w:sz w:val="16"/>
          <w:szCs w:val="16"/>
          <w:color w:val="auto"/>
        </w:rPr>
        <w:t xml:space="preserve"> Inc. achieved its most successful year in concrete buildings, demonstrating the strength of the business and the expertise of our teams.</w:t>
      </w:r>
    </w:p>
    <w:p>
      <w:pPr>
        <w:spacing w:after="0" w:line="170" w:lineRule="exact"/>
        <w:rPr>
          <w:sz w:val="20"/>
          <w:szCs w:val="20"/>
          <w:color w:val="auto"/>
        </w:rPr>
      </w:pPr>
    </w:p>
    <w:p>
      <w:pPr>
        <w:spacing w:after="0" w:line="361" w:lineRule="auto"/>
        <w:rPr>
          <w:sz w:val="20"/>
          <w:szCs w:val="20"/>
          <w:color w:val="auto"/>
        </w:rPr>
      </w:pPr>
      <w:r>
        <w:rPr>
          <w:rFonts w:ascii="Arial" w:cs="Arial" w:eastAsia="Arial" w:hAnsi="Arial"/>
          <w:sz w:val="16"/>
          <w:szCs w:val="16"/>
          <w:color w:val="auto"/>
        </w:rPr>
        <w:t>With civil construction accelerating in the Southeastern U.S., our precast operations are well positioned to support this growth. Renewed interest in domestic energy production is also driving demand for our protective coatings business, and our people are prepared to deliver the reliability and quality customers expect.</w:t>
      </w:r>
    </w:p>
    <w:p>
      <w:pPr>
        <w:spacing w:after="0" w:line="169" w:lineRule="exact"/>
        <w:rPr>
          <w:sz w:val="20"/>
          <w:szCs w:val="20"/>
          <w:color w:val="auto"/>
        </w:rPr>
      </w:pPr>
    </w:p>
    <w:p>
      <w:pPr>
        <w:ind w:right="120"/>
        <w:spacing w:after="0" w:line="360" w:lineRule="auto"/>
        <w:rPr>
          <w:sz w:val="20"/>
          <w:szCs w:val="20"/>
          <w:color w:val="auto"/>
        </w:rPr>
      </w:pPr>
      <w:r>
        <w:rPr>
          <w:rFonts w:ascii="Arial" w:cs="Arial" w:eastAsia="Arial" w:hAnsi="Arial"/>
          <w:sz w:val="16"/>
          <w:szCs w:val="16"/>
          <w:color w:val="auto"/>
        </w:rPr>
        <w:t>Infrastructure continues to offer strong organic growth opportunities supported by market shifts toward lower-labor solutions. Our teams are leading a disciplined precast strategy, focusing on strengthening operations in the Southern United States. In steel products, the discipline, delivery, and dedication of our people will fuel sustained growth and deepen customer partnerships.</w:t>
      </w:r>
    </w:p>
    <w:p>
      <w:pPr>
        <w:spacing w:after="0" w:line="169" w:lineRule="exact"/>
        <w:rPr>
          <w:sz w:val="20"/>
          <w:szCs w:val="20"/>
          <w:color w:val="auto"/>
        </w:rPr>
      </w:pPr>
    </w:p>
    <w:p>
      <w:pPr>
        <w:ind w:right="140"/>
        <w:spacing w:after="0" w:line="421" w:lineRule="auto"/>
        <w:rPr>
          <w:sz w:val="20"/>
          <w:szCs w:val="20"/>
          <w:color w:val="auto"/>
        </w:rPr>
      </w:pPr>
      <w:r>
        <w:rPr>
          <w:rFonts w:ascii="Arial" w:cs="Arial" w:eastAsia="Arial" w:hAnsi="Arial"/>
          <w:sz w:val="14"/>
          <w:szCs w:val="14"/>
          <w:color w:val="auto"/>
        </w:rPr>
        <w:t>Across both our Rail and Infrastructure segments, we innovate to solve global infrastructure challenges. We demonstrate our innovation through our areas of influence that guide our work and our operating strategy. Our employees are inspired by our mission and contribute across every function, facility, and field location to make our achievements possible.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418" w:lineRule="auto"/>
        <w:rPr>
          <w:sz w:val="20"/>
          <w:szCs w:val="20"/>
          <w:color w:val="auto"/>
        </w:rPr>
      </w:pPr>
      <w:r>
        <w:rPr>
          <w:rFonts w:ascii="Arial" w:cs="Arial" w:eastAsia="Arial" w:hAnsi="Arial"/>
          <w:sz w:val="14"/>
          <w:szCs w:val="14"/>
          <w:color w:val="auto"/>
        </w:rPr>
        <w:t>While focused on margin expansion in recent years, we acknowledge that our revenue base has been static. With increased investment in developing technology to support our customers, we strengthened our commitment to revenue improvement and organic growth. Our portfolio has been purposefully constructed to fund and drive growth. In 2026, we look forward to continuing to innovate and improve revenue performance.</w:t>
      </w:r>
    </w:p>
    <w:p>
      <w:pPr>
        <w:spacing w:after="0" w:line="142" w:lineRule="exact"/>
        <w:rPr>
          <w:sz w:val="20"/>
          <w:szCs w:val="20"/>
          <w:color w:val="auto"/>
        </w:rPr>
      </w:pPr>
    </w:p>
    <w:p>
      <w:pPr>
        <w:ind w:right="240"/>
        <w:spacing w:after="0" w:line="364" w:lineRule="auto"/>
        <w:rPr>
          <w:sz w:val="20"/>
          <w:szCs w:val="20"/>
          <w:color w:val="auto"/>
        </w:rPr>
      </w:pPr>
      <w:r>
        <w:rPr>
          <w:rFonts w:ascii="Arial" w:cs="Arial" w:eastAsia="Arial" w:hAnsi="Arial"/>
          <w:sz w:val="16"/>
          <w:szCs w:val="16"/>
          <w:color w:val="auto"/>
        </w:rPr>
        <w:t>I would like to recognize Alexander B. Jones, who stepped away from our Board of Directors in 2025, for the meaningful contributions he made to our business. I also want to express my gratitude to the entire Board for their unwavering support and steady guidance.</w:t>
      </w:r>
    </w:p>
    <w:p>
      <w:pPr>
        <w:spacing w:after="0" w:line="165" w:lineRule="exact"/>
        <w:rPr>
          <w:sz w:val="20"/>
          <w:szCs w:val="20"/>
          <w:color w:val="auto"/>
        </w:rPr>
      </w:pPr>
    </w:p>
    <w:p>
      <w:pPr>
        <w:ind w:right="180"/>
        <w:spacing w:after="0" w:line="421" w:lineRule="auto"/>
        <w:rPr>
          <w:sz w:val="20"/>
          <w:szCs w:val="20"/>
          <w:color w:val="auto"/>
        </w:rPr>
      </w:pPr>
      <w:r>
        <w:rPr>
          <w:rFonts w:ascii="Arial" w:cs="Arial" w:eastAsia="Arial" w:hAnsi="Arial"/>
          <w:sz w:val="14"/>
          <w:szCs w:val="14"/>
          <w:color w:val="auto"/>
        </w:rPr>
        <w:t>I extend my sincere appreciation to our employees, who are truly the backbone of our organization. Their innovation and passion fuel the success of the Company, and the culture they embody each day is central to who we are and who we aspire to be. I’m grateful for their commitment to serving our customers with the excellence that sets L.B. Foster apart.</w:t>
      </w:r>
    </w:p>
    <w:p>
      <w:pPr>
        <w:spacing w:after="0" w:line="141" w:lineRule="exact"/>
        <w:rPr>
          <w:sz w:val="20"/>
          <w:szCs w:val="20"/>
          <w:color w:val="auto"/>
        </w:rPr>
      </w:pPr>
    </w:p>
    <w:p>
      <w:pPr>
        <w:ind w:right="200"/>
        <w:spacing w:after="0" w:line="361" w:lineRule="auto"/>
        <w:rPr>
          <w:sz w:val="20"/>
          <w:szCs w:val="20"/>
          <w:color w:val="auto"/>
        </w:rPr>
      </w:pPr>
      <w:r>
        <w:rPr>
          <w:rFonts w:ascii="Arial" w:cs="Arial" w:eastAsia="Arial" w:hAnsi="Arial"/>
          <w:sz w:val="16"/>
          <w:szCs w:val="16"/>
          <w:color w:val="auto"/>
        </w:rPr>
        <w:t>As I close, I thank you, our shareholders. Your confidence in our team and strategy strengthens our commitment to delivering sustainable growth and value. We look forward to continuing our momentum and creating meaningful value for you. We are poised for success, and it’s our time to deliver.</w:t>
      </w:r>
    </w:p>
    <w:p>
      <w:pPr>
        <w:spacing w:after="0" w:line="1043" w:lineRule="exact"/>
        <w:rPr>
          <w:sz w:val="20"/>
          <w:szCs w:val="20"/>
          <w:color w:val="auto"/>
        </w:rPr>
      </w:pPr>
    </w:p>
    <w:p>
      <w:pPr>
        <w:sectPr>
          <w:pgSz w:w="11520" w:h="15480" w:orient="portrait"/>
          <w:cols w:equalWidth="0" w:num="2">
            <w:col w:w="5060" w:space="340"/>
            <w:col w:w="5160"/>
          </w:cols>
          <w:pgMar w:left="540" w:top="537" w:right="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1"/>
          <w:szCs w:val="31"/>
          <w:b w:val="1"/>
          <w:bCs w:val="1"/>
          <w:color w:val="C00015"/>
        </w:rPr>
        <w:t>Our Areas of Influence</w:t>
      </w:r>
    </w:p>
    <w:p>
      <w:pPr>
        <w:spacing w:after="0" w:line="200" w:lineRule="exact"/>
        <w:rPr>
          <w:sz w:val="20"/>
          <w:szCs w:val="20"/>
          <w:color w:val="auto"/>
        </w:rPr>
      </w:pPr>
    </w:p>
    <w:p>
      <w:pPr>
        <w:spacing w:after="0" w:line="314" w:lineRule="exact"/>
        <w:rPr>
          <w:sz w:val="20"/>
          <w:szCs w:val="20"/>
          <w:color w:val="auto"/>
        </w:rPr>
      </w:pPr>
    </w:p>
    <w:tbl>
      <w:tblPr>
        <w:tblLayout w:type="fixed"/>
        <w:tblInd w:w="200" w:type="dxa"/>
        <w:tblCellMar>
          <w:top w:w="0" w:type="dxa"/>
          <w:left w:w="0" w:type="dxa"/>
          <w:bottom w:w="0" w:type="dxa"/>
          <w:right w:w="0" w:type="dxa"/>
        </w:tblCellMar>
      </w:tblPr>
      <w:tr>
        <w:trPr>
          <w:trHeight w:val="446"/>
        </w:trPr>
        <w:tc>
          <w:tcPr>
            <w:tcW w:w="1520" w:type="dxa"/>
            <w:vAlign w:val="bottom"/>
            <w:tcBorders>
              <w:right w:val="single" w:sz="8" w:color="97A198"/>
            </w:tcBorders>
          </w:tcPr>
          <w:p>
            <w:pPr>
              <w:jc w:val="center"/>
              <w:ind w:right="324"/>
              <w:spacing w:after="0"/>
              <w:rPr>
                <w:sz w:val="20"/>
                <w:szCs w:val="20"/>
                <w:color w:val="auto"/>
              </w:rPr>
            </w:pPr>
            <w:r>
              <w:rPr>
                <w:rFonts w:ascii="Arial" w:cs="Arial" w:eastAsia="Arial" w:hAnsi="Arial"/>
                <w:sz w:val="23"/>
                <w:szCs w:val="23"/>
                <w:b w:val="1"/>
                <w:bCs w:val="1"/>
                <w:color w:val="auto"/>
                <w:w w:val="94"/>
              </w:rPr>
              <w:t>We enable</w:t>
            </w:r>
          </w:p>
        </w:tc>
        <w:tc>
          <w:tcPr>
            <w:tcW w:w="2460" w:type="dxa"/>
            <w:vAlign w:val="bottom"/>
            <w:tcBorders>
              <w:right w:val="single" w:sz="8" w:color="97A198"/>
            </w:tcBorders>
          </w:tcPr>
          <w:p>
            <w:pPr>
              <w:jc w:val="center"/>
              <w:spacing w:after="0"/>
              <w:rPr>
                <w:sz w:val="20"/>
                <w:szCs w:val="20"/>
                <w:color w:val="auto"/>
              </w:rPr>
            </w:pPr>
            <w:r>
              <w:rPr>
                <w:rFonts w:ascii="Arial" w:cs="Arial" w:eastAsia="Arial" w:hAnsi="Arial"/>
                <w:sz w:val="23"/>
                <w:szCs w:val="23"/>
                <w:b w:val="1"/>
                <w:bCs w:val="1"/>
                <w:color w:val="auto"/>
                <w:w w:val="95"/>
              </w:rPr>
              <w:t>We improve</w:t>
            </w:r>
          </w:p>
        </w:tc>
        <w:tc>
          <w:tcPr>
            <w:tcW w:w="2260" w:type="dxa"/>
            <w:vAlign w:val="bottom"/>
            <w:tcBorders>
              <w:right w:val="single" w:sz="8" w:color="97A198"/>
            </w:tcBorders>
          </w:tcPr>
          <w:p>
            <w:pPr>
              <w:jc w:val="center"/>
              <w:ind w:right="64"/>
              <w:spacing w:after="0"/>
              <w:rPr>
                <w:sz w:val="20"/>
                <w:szCs w:val="20"/>
                <w:color w:val="auto"/>
              </w:rPr>
            </w:pPr>
            <w:r>
              <w:rPr>
                <w:rFonts w:ascii="Arial" w:cs="Arial" w:eastAsia="Arial" w:hAnsi="Arial"/>
                <w:sz w:val="23"/>
                <w:szCs w:val="23"/>
                <w:b w:val="1"/>
                <w:bCs w:val="1"/>
                <w:color w:val="auto"/>
                <w:w w:val="94"/>
              </w:rPr>
              <w:t>We keep</w:t>
            </w:r>
          </w:p>
        </w:tc>
        <w:tc>
          <w:tcPr>
            <w:tcW w:w="2120" w:type="dxa"/>
            <w:vAlign w:val="bottom"/>
            <w:tcBorders>
              <w:right w:val="single" w:sz="8" w:color="97A198"/>
            </w:tcBorders>
          </w:tcPr>
          <w:p>
            <w:pPr>
              <w:jc w:val="center"/>
              <w:spacing w:after="0"/>
              <w:rPr>
                <w:sz w:val="20"/>
                <w:szCs w:val="20"/>
                <w:color w:val="auto"/>
              </w:rPr>
            </w:pPr>
            <w:r>
              <w:rPr>
                <w:rFonts w:ascii="Arial" w:cs="Arial" w:eastAsia="Arial" w:hAnsi="Arial"/>
                <w:sz w:val="23"/>
                <w:szCs w:val="23"/>
                <w:b w:val="1"/>
                <w:bCs w:val="1"/>
                <w:color w:val="auto"/>
                <w:w w:val="94"/>
              </w:rPr>
              <w:t>We monitor</w:t>
            </w:r>
          </w:p>
        </w:tc>
        <w:tc>
          <w:tcPr>
            <w:tcW w:w="1860" w:type="dxa"/>
            <w:vAlign w:val="bottom"/>
          </w:tcPr>
          <w:p>
            <w:pPr>
              <w:jc w:val="center"/>
              <w:ind w:left="304"/>
              <w:spacing w:after="0"/>
              <w:rPr>
                <w:sz w:val="20"/>
                <w:szCs w:val="20"/>
                <w:color w:val="auto"/>
              </w:rPr>
            </w:pPr>
            <w:r>
              <w:rPr>
                <w:rFonts w:ascii="Arial" w:cs="Arial" w:eastAsia="Arial" w:hAnsi="Arial"/>
                <w:sz w:val="23"/>
                <w:szCs w:val="23"/>
                <w:b w:val="1"/>
                <w:bCs w:val="1"/>
                <w:color w:val="auto"/>
                <w:w w:val="95"/>
              </w:rPr>
              <w:t>We enhance</w:t>
            </w:r>
          </w:p>
        </w:tc>
      </w:tr>
      <w:tr>
        <w:trPr>
          <w:trHeight w:val="310"/>
        </w:trPr>
        <w:tc>
          <w:tcPr>
            <w:tcW w:w="1520" w:type="dxa"/>
            <w:vAlign w:val="bottom"/>
            <w:tcBorders>
              <w:right w:val="single" w:sz="8" w:color="97A198"/>
            </w:tcBorders>
          </w:tcPr>
          <w:p>
            <w:pPr>
              <w:jc w:val="center"/>
              <w:ind w:right="324"/>
              <w:spacing w:after="0"/>
              <w:rPr>
                <w:sz w:val="20"/>
                <w:szCs w:val="20"/>
                <w:color w:val="auto"/>
              </w:rPr>
            </w:pPr>
            <w:r>
              <w:rPr>
                <w:rFonts w:ascii="Arial" w:cs="Arial" w:eastAsia="Arial" w:hAnsi="Arial"/>
                <w:sz w:val="23"/>
                <w:szCs w:val="23"/>
                <w:b w:val="1"/>
                <w:bCs w:val="1"/>
                <w:color w:val="auto"/>
                <w:w w:val="96"/>
              </w:rPr>
              <w:t>safety</w:t>
            </w:r>
          </w:p>
        </w:tc>
        <w:tc>
          <w:tcPr>
            <w:tcW w:w="2460" w:type="dxa"/>
            <w:vAlign w:val="bottom"/>
            <w:tcBorders>
              <w:right w:val="single" w:sz="8" w:color="97A198"/>
            </w:tcBorders>
          </w:tcPr>
          <w:p>
            <w:pPr>
              <w:jc w:val="center"/>
              <w:spacing w:after="0"/>
              <w:rPr>
                <w:sz w:val="20"/>
                <w:szCs w:val="20"/>
                <w:color w:val="auto"/>
              </w:rPr>
            </w:pPr>
            <w:r>
              <w:rPr>
                <w:rFonts w:ascii="Arial" w:cs="Arial" w:eastAsia="Arial" w:hAnsi="Arial"/>
                <w:sz w:val="23"/>
                <w:szCs w:val="23"/>
                <w:b w:val="1"/>
                <w:bCs w:val="1"/>
                <w:color w:val="auto"/>
                <w:w w:val="96"/>
              </w:rPr>
              <w:t>information flow</w:t>
            </w:r>
          </w:p>
        </w:tc>
        <w:tc>
          <w:tcPr>
            <w:tcW w:w="2260" w:type="dxa"/>
            <w:vAlign w:val="bottom"/>
            <w:tcBorders>
              <w:right w:val="single" w:sz="8" w:color="97A198"/>
            </w:tcBorders>
          </w:tcPr>
          <w:p>
            <w:pPr>
              <w:jc w:val="center"/>
              <w:ind w:right="64"/>
              <w:spacing w:after="0"/>
              <w:rPr>
                <w:sz w:val="20"/>
                <w:szCs w:val="20"/>
                <w:color w:val="auto"/>
              </w:rPr>
            </w:pPr>
            <w:r>
              <w:rPr>
                <w:rFonts w:ascii="Arial" w:cs="Arial" w:eastAsia="Arial" w:hAnsi="Arial"/>
                <w:sz w:val="23"/>
                <w:szCs w:val="23"/>
                <w:b w:val="1"/>
                <w:bCs w:val="1"/>
                <w:color w:val="auto"/>
                <w:w w:val="94"/>
              </w:rPr>
              <w:t>things moving</w:t>
            </w:r>
          </w:p>
        </w:tc>
        <w:tc>
          <w:tcPr>
            <w:tcW w:w="2120" w:type="dxa"/>
            <w:vAlign w:val="bottom"/>
            <w:tcBorders>
              <w:right w:val="single" w:sz="8" w:color="97A198"/>
            </w:tcBorders>
          </w:tcPr>
          <w:p>
            <w:pPr>
              <w:jc w:val="center"/>
              <w:spacing w:after="0"/>
              <w:rPr>
                <w:sz w:val="20"/>
                <w:szCs w:val="20"/>
                <w:color w:val="auto"/>
              </w:rPr>
            </w:pPr>
            <w:r>
              <w:rPr>
                <w:rFonts w:ascii="Arial" w:cs="Arial" w:eastAsia="Arial" w:hAnsi="Arial"/>
                <w:sz w:val="23"/>
                <w:szCs w:val="23"/>
                <w:b w:val="1"/>
                <w:bCs w:val="1"/>
                <w:color w:val="auto"/>
                <w:w w:val="94"/>
              </w:rPr>
              <w:t>conditions</w:t>
            </w:r>
          </w:p>
        </w:tc>
        <w:tc>
          <w:tcPr>
            <w:tcW w:w="1860" w:type="dxa"/>
            <w:vAlign w:val="bottom"/>
          </w:tcPr>
          <w:p>
            <w:pPr>
              <w:jc w:val="center"/>
              <w:ind w:left="304"/>
              <w:spacing w:after="0"/>
              <w:rPr>
                <w:sz w:val="20"/>
                <w:szCs w:val="20"/>
                <w:color w:val="auto"/>
              </w:rPr>
            </w:pPr>
            <w:r>
              <w:rPr>
                <w:rFonts w:ascii="Arial" w:cs="Arial" w:eastAsia="Arial" w:hAnsi="Arial"/>
                <w:sz w:val="23"/>
                <w:szCs w:val="23"/>
                <w:b w:val="1"/>
                <w:bCs w:val="1"/>
                <w:color w:val="auto"/>
                <w:w w:val="95"/>
              </w:rPr>
              <w:t>environments</w:t>
            </w:r>
          </w:p>
        </w:tc>
      </w:tr>
      <w:tr>
        <w:trPr>
          <w:trHeight w:val="202"/>
        </w:trPr>
        <w:tc>
          <w:tcPr>
            <w:tcW w:w="1520" w:type="dxa"/>
            <w:vAlign w:val="bottom"/>
            <w:tcBorders>
              <w:right w:val="single" w:sz="8" w:color="97A198"/>
            </w:tcBorders>
          </w:tcPr>
          <w:p>
            <w:pPr>
              <w:spacing w:after="0"/>
              <w:rPr>
                <w:sz w:val="17"/>
                <w:szCs w:val="17"/>
                <w:color w:val="auto"/>
              </w:rPr>
            </w:pPr>
          </w:p>
        </w:tc>
        <w:tc>
          <w:tcPr>
            <w:tcW w:w="2460" w:type="dxa"/>
            <w:vAlign w:val="bottom"/>
            <w:tcBorders>
              <w:right w:val="single" w:sz="8" w:color="97A198"/>
            </w:tcBorders>
          </w:tcPr>
          <w:p>
            <w:pPr>
              <w:spacing w:after="0"/>
              <w:rPr>
                <w:sz w:val="17"/>
                <w:szCs w:val="17"/>
                <w:color w:val="auto"/>
              </w:rPr>
            </w:pPr>
          </w:p>
        </w:tc>
        <w:tc>
          <w:tcPr>
            <w:tcW w:w="2260" w:type="dxa"/>
            <w:vAlign w:val="bottom"/>
            <w:tcBorders>
              <w:right w:val="single" w:sz="8" w:color="97A198"/>
            </w:tcBorders>
          </w:tcPr>
          <w:p>
            <w:pPr>
              <w:spacing w:after="0"/>
              <w:rPr>
                <w:sz w:val="17"/>
                <w:szCs w:val="17"/>
                <w:color w:val="auto"/>
              </w:rPr>
            </w:pPr>
          </w:p>
        </w:tc>
        <w:tc>
          <w:tcPr>
            <w:tcW w:w="2120" w:type="dxa"/>
            <w:vAlign w:val="bottom"/>
            <w:tcBorders>
              <w:right w:val="single" w:sz="8" w:color="97A198"/>
            </w:tcBorders>
          </w:tcPr>
          <w:p>
            <w:pPr>
              <w:spacing w:after="0"/>
              <w:rPr>
                <w:sz w:val="17"/>
                <w:szCs w:val="17"/>
                <w:color w:val="auto"/>
              </w:rPr>
            </w:pPr>
          </w:p>
        </w:tc>
        <w:tc>
          <w:tcPr>
            <w:tcW w:w="1860" w:type="dxa"/>
            <w:vAlign w:val="bottom"/>
          </w:tcPr>
          <w:p>
            <w:pPr>
              <w:spacing w:after="0"/>
              <w:rPr>
                <w:sz w:val="17"/>
                <w:szCs w:val="17"/>
                <w:color w:val="auto"/>
              </w:rPr>
            </w:pPr>
          </w:p>
        </w:tc>
      </w:tr>
    </w:tbl>
    <w:p>
      <w:pPr>
        <w:spacing w:after="0" w:line="200" w:lineRule="exact"/>
        <w:rPr>
          <w:sz w:val="20"/>
          <w:szCs w:val="20"/>
          <w:color w:val="auto"/>
        </w:rPr>
      </w:pPr>
    </w:p>
    <w:p>
      <w:pPr>
        <w:sectPr>
          <w:pgSz w:w="11520" w:h="15480" w:orient="portrait"/>
          <w:cols w:equalWidth="0" w:num="1">
            <w:col w:w="10560"/>
          </w:cols>
          <w:pgMar w:left="540" w:top="537" w:right="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60"/>
        <w:spacing w:after="0"/>
        <w:rPr>
          <w:sz w:val="20"/>
          <w:szCs w:val="20"/>
          <w:color w:val="auto"/>
        </w:rPr>
      </w:pPr>
      <w:r>
        <w:rPr>
          <w:rFonts w:ascii="Arial" w:cs="Arial" w:eastAsia="Arial" w:hAnsi="Arial"/>
          <w:sz w:val="17"/>
          <w:szCs w:val="17"/>
          <w:color w:val="auto"/>
        </w:rPr>
        <w:t>3</w:t>
      </w:r>
    </w:p>
    <w:p>
      <w:pPr>
        <w:sectPr>
          <w:pgSz w:w="11520" w:h="15480" w:orient="portrait"/>
          <w:cols w:equalWidth="0" w:num="1">
            <w:col w:w="10560"/>
          </w:cols>
          <w:pgMar w:left="540" w:top="537" w:right="420" w:bottom="0" w:gutter="0" w:footer="0" w:header="0"/>
          <w:type w:val="continuous"/>
        </w:sectPr>
      </w:pPr>
    </w:p>
    <w:bookmarkStart w:id="3" w:name="page4"/>
    <w:bookmarkEnd w:id="3"/>
    <w:p>
      <w:pPr>
        <w:ind w:left="300"/>
        <w:spacing w:after="0"/>
        <w:rPr>
          <w:sz w:val="20"/>
          <w:szCs w:val="20"/>
          <w:color w:val="auto"/>
        </w:rPr>
      </w:pPr>
      <w:r>
        <w:rPr>
          <w:rFonts w:ascii="Arial" w:cs="Arial" w:eastAsia="Arial" w:hAnsi="Arial"/>
          <w:sz w:val="62"/>
          <w:szCs w:val="6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FINANCIAL </w:t>
      </w:r>
      <w:r>
        <w:rPr>
          <w:rFonts w:ascii="Arial" w:cs="Arial" w:eastAsia="Arial" w:hAnsi="Arial"/>
          <w:sz w:val="62"/>
          <w:szCs w:val="62"/>
          <w:color w:val="FFFFFF"/>
        </w:rPr>
        <w:t>HIGHLIGHTS</w:t>
      </w:r>
    </w:p>
    <w:p>
      <w:pPr>
        <w:sectPr>
          <w:pgSz w:w="11880" w:h="15480" w:orient="portrait"/>
          <w:cols w:equalWidth="0" w:num="1">
            <w:col w:w="10740"/>
          </w:cols>
          <w:pgMar w:left="420" w:top="53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right="260"/>
        <w:spacing w:after="0" w:line="336" w:lineRule="auto"/>
        <w:rPr>
          <w:sz w:val="20"/>
          <w:szCs w:val="20"/>
          <w:color w:val="auto"/>
        </w:rPr>
      </w:pPr>
      <w:r>
        <w:rPr>
          <w:rFonts w:ascii="Arial" w:cs="Arial" w:eastAsia="Arial" w:hAnsi="Arial"/>
          <w:sz w:val="23"/>
          <w:szCs w:val="23"/>
          <w:color w:val="auto"/>
        </w:rPr>
        <w:t>We are an innovative global business with visionary strategies, specializing in high-growth solutions for the Rail and Infrastructure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7"/>
          <w:szCs w:val="37"/>
          <w:color w:val="C00015"/>
        </w:rPr>
        <w:t>2025 OVERVIEW</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68"/>
          <w:szCs w:val="68"/>
          <w:color w:val="auto"/>
        </w:rPr>
        <w:t>$540.0m</w:t>
      </w:r>
    </w:p>
    <w:p>
      <w:pPr>
        <w:spacing w:after="0" w:line="13" w:lineRule="exact"/>
        <w:rPr>
          <w:sz w:val="20"/>
          <w:szCs w:val="20"/>
          <w:color w:val="auto"/>
        </w:rPr>
      </w:pPr>
    </w:p>
    <w:p>
      <w:pPr>
        <w:sectPr>
          <w:pgSz w:w="11880" w:h="15480" w:orient="portrait"/>
          <w:cols w:equalWidth="0" w:num="2">
            <w:col w:w="7040" w:space="720"/>
            <w:col w:w="2980"/>
          </w:cols>
          <w:pgMar w:left="420" w:top="537" w:right="720" w:bottom="0" w:gutter="0" w:footer="0" w:header="0"/>
          <w:type w:val="continuous"/>
        </w:sectPr>
      </w:pPr>
    </w:p>
    <w:tbl>
      <w:tblPr>
        <w:tblLayout w:type="fixed"/>
        <w:tblInd w:w="300" w:type="dxa"/>
        <w:tblCellMar>
          <w:top w:w="0" w:type="dxa"/>
          <w:left w:w="0" w:type="dxa"/>
          <w:bottom w:w="0" w:type="dxa"/>
          <w:right w:w="0" w:type="dxa"/>
        </w:tblCellMar>
      </w:tblPr>
      <w:tr>
        <w:trPr>
          <w:trHeight w:val="287"/>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6"/>
          </w:tcPr>
          <w:p>
            <w:pPr>
              <w:jc w:val="center"/>
              <w:ind w:right="140"/>
              <w:spacing w:after="0"/>
              <w:rPr>
                <w:sz w:val="20"/>
                <w:szCs w:val="20"/>
                <w:color w:val="auto"/>
              </w:rPr>
            </w:pPr>
            <w:r>
              <w:rPr>
                <w:rFonts w:ascii="Arial" w:cs="Arial" w:eastAsia="Arial" w:hAnsi="Arial"/>
                <w:sz w:val="25"/>
                <w:szCs w:val="25"/>
                <w:color w:val="auto"/>
                <w:w w:val="93"/>
              </w:rPr>
              <w:t xml:space="preserve">Adjusted Sales </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8"/>
          </w:tcPr>
          <w:p>
            <w:pPr>
              <w:jc w:val="center"/>
              <w:ind w:right="100"/>
              <w:spacing w:after="0"/>
              <w:rPr>
                <w:sz w:val="20"/>
                <w:szCs w:val="20"/>
                <w:color w:val="auto"/>
              </w:rPr>
            </w:pPr>
            <w:r>
              <w:rPr>
                <w:rFonts w:ascii="Arial" w:cs="Arial" w:eastAsia="Arial" w:hAnsi="Arial"/>
                <w:sz w:val="12"/>
                <w:szCs w:val="12"/>
                <w:color w:val="auto"/>
                <w:w w:val="96"/>
              </w:rPr>
              <w:t>($ 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tcPr>
          <w:p>
            <w:pPr>
              <w:jc w:val="right"/>
              <w:ind w:right="38"/>
              <w:spacing w:after="0"/>
              <w:rPr>
                <w:sz w:val="20"/>
                <w:szCs w:val="20"/>
                <w:color w:val="auto"/>
              </w:rPr>
            </w:pPr>
            <w:r>
              <w:rPr>
                <w:rFonts w:ascii="Arial" w:cs="Arial" w:eastAsia="Arial" w:hAnsi="Arial"/>
                <w:sz w:val="12"/>
                <w:szCs w:val="12"/>
                <w:color w:val="auto"/>
                <w:w w:val="89"/>
              </w:rPr>
              <w:t>$550</w:t>
            </w:r>
          </w:p>
        </w:tc>
        <w:tc>
          <w:tcPr>
            <w:tcW w:w="100" w:type="dxa"/>
            <w:vAlign w:val="bottom"/>
            <w:tcBorders>
              <w:bottom w:val="single" w:sz="8" w:color="8B8683"/>
            </w:tcBorders>
          </w:tcPr>
          <w:p>
            <w:pPr>
              <w:spacing w:after="0"/>
              <w:rPr>
                <w:sz w:val="13"/>
                <w:szCs w:val="13"/>
                <w:color w:val="auto"/>
              </w:rPr>
            </w:pPr>
          </w:p>
        </w:tc>
        <w:tc>
          <w:tcPr>
            <w:tcW w:w="480" w:type="dxa"/>
            <w:vAlign w:val="bottom"/>
            <w:gridSpan w:val="4"/>
            <w:vMerge w:val="restart"/>
          </w:tcPr>
          <w:p>
            <w:pPr>
              <w:jc w:val="right"/>
              <w:ind w:right="100"/>
              <w:spacing w:after="0"/>
              <w:rPr>
                <w:sz w:val="20"/>
                <w:szCs w:val="20"/>
                <w:color w:val="auto"/>
              </w:rPr>
            </w:pPr>
            <w:r>
              <w:rPr>
                <w:rFonts w:ascii="Arial" w:cs="Arial" w:eastAsia="Arial" w:hAnsi="Arial"/>
                <w:sz w:val="13"/>
                <w:szCs w:val="13"/>
                <w:color w:val="auto"/>
              </w:rPr>
              <w:t>$501</w:t>
            </w:r>
          </w:p>
        </w:tc>
        <w:tc>
          <w:tcPr>
            <w:tcW w:w="480" w:type="dxa"/>
            <w:vAlign w:val="bottom"/>
            <w:gridSpan w:val="4"/>
          </w:tcPr>
          <w:p>
            <w:pPr>
              <w:jc w:val="right"/>
              <w:ind w:right="100"/>
              <w:spacing w:after="0"/>
              <w:rPr>
                <w:sz w:val="20"/>
                <w:szCs w:val="20"/>
                <w:color w:val="auto"/>
              </w:rPr>
            </w:pPr>
            <w:r>
              <w:rPr>
                <w:rFonts w:ascii="Arial" w:cs="Arial" w:eastAsia="Arial" w:hAnsi="Arial"/>
                <w:sz w:val="13"/>
                <w:szCs w:val="13"/>
                <w:color w:val="auto"/>
              </w:rPr>
              <w:t>$546</w:t>
            </w:r>
          </w:p>
        </w:tc>
        <w:tc>
          <w:tcPr>
            <w:tcW w:w="500" w:type="dxa"/>
            <w:vAlign w:val="bottom"/>
            <w:gridSpan w:val="4"/>
            <w:vMerge w:val="restart"/>
          </w:tcPr>
          <w:p>
            <w:pPr>
              <w:jc w:val="right"/>
              <w:ind w:right="100"/>
              <w:spacing w:after="0"/>
              <w:rPr>
                <w:sz w:val="20"/>
                <w:szCs w:val="20"/>
                <w:color w:val="auto"/>
              </w:rPr>
            </w:pPr>
            <w:r>
              <w:rPr>
                <w:rFonts w:ascii="Arial" w:cs="Arial" w:eastAsia="Arial" w:hAnsi="Arial"/>
                <w:sz w:val="13"/>
                <w:szCs w:val="13"/>
                <w:color w:val="auto"/>
              </w:rPr>
              <w:t>$531</w:t>
            </w:r>
          </w:p>
        </w:tc>
        <w:tc>
          <w:tcPr>
            <w:tcW w:w="560" w:type="dxa"/>
            <w:vAlign w:val="bottom"/>
            <w:gridSpan w:val="4"/>
            <w:vMerge w:val="restart"/>
          </w:tcPr>
          <w:p>
            <w:pPr>
              <w:ind w:left="120"/>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90"/>
        </w:trPr>
        <w:tc>
          <w:tcPr>
            <w:tcW w:w="36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$500</w:t>
            </w:r>
          </w:p>
        </w:tc>
        <w:tc>
          <w:tcPr>
            <w:tcW w:w="100" w:type="dxa"/>
            <w:vAlign w:val="bottom"/>
            <w:tcBorders>
              <w:right w:val="single" w:sz="8" w:color="8B8683"/>
            </w:tcBorders>
          </w:tcPr>
          <w:p>
            <w:pPr>
              <w:spacing w:after="0"/>
              <w:rPr>
                <w:sz w:val="7"/>
                <w:szCs w:val="7"/>
                <w:color w:val="auto"/>
              </w:rPr>
            </w:pPr>
          </w:p>
        </w:tc>
        <w:tc>
          <w:tcPr>
            <w:tcW w:w="4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right w:val="single" w:sz="8" w:color="F78A0B"/>
            </w:tcBorders>
            <w:shd w:val="clear" w:color="auto" w:fill="F78A0B"/>
          </w:tcPr>
          <w:p>
            <w:pPr>
              <w:spacing w:after="0"/>
              <w:rPr>
                <w:sz w:val="7"/>
                <w:szCs w:val="7"/>
                <w:color w:val="auto"/>
              </w:rPr>
            </w:pPr>
          </w:p>
        </w:tc>
        <w:tc>
          <w:tcPr>
            <w:tcW w:w="80" w:type="dxa"/>
            <w:vAlign w:val="bottom"/>
            <w:shd w:val="clear" w:color="auto" w:fill="F78A0B"/>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gridSpan w:val="4"/>
            <w:vMerge w:val="continue"/>
          </w:tcPr>
          <w:p>
            <w:pPr>
              <w:spacing w:after="0"/>
              <w:rPr>
                <w:sz w:val="7"/>
                <w:szCs w:val="7"/>
                <w:color w:val="auto"/>
              </w:rPr>
            </w:pPr>
          </w:p>
        </w:tc>
        <w:tc>
          <w:tcPr>
            <w:tcW w:w="5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60" w:type="dxa"/>
            <w:vAlign w:val="bottom"/>
            <w:vMerge w:val="continue"/>
          </w:tcPr>
          <w:p>
            <w:pPr>
              <w:spacing w:after="0"/>
              <w:rPr>
                <w:sz w:val="11"/>
                <w:szCs w:val="11"/>
                <w:color w:val="auto"/>
              </w:rPr>
            </w:pPr>
          </w:p>
        </w:tc>
        <w:tc>
          <w:tcPr>
            <w:tcW w:w="100" w:type="dxa"/>
            <w:vAlign w:val="bottom"/>
            <w:tcBorders>
              <w:right w:val="single" w:sz="8" w:color="8B8683"/>
            </w:tcBorders>
          </w:tcPr>
          <w:p>
            <w:pPr>
              <w:spacing w:after="0"/>
              <w:rPr>
                <w:sz w:val="11"/>
                <w:szCs w:val="11"/>
                <w:color w:val="auto"/>
              </w:rPr>
            </w:pPr>
          </w:p>
        </w:tc>
        <w:tc>
          <w:tcPr>
            <w:tcW w:w="4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right w:val="single" w:sz="8" w:color="F78A0B"/>
            </w:tcBorders>
            <w:shd w:val="clear" w:color="auto" w:fill="F78A0B"/>
          </w:tcPr>
          <w:p>
            <w:pPr>
              <w:spacing w:after="0"/>
              <w:rPr>
                <w:sz w:val="11"/>
                <w:szCs w:val="11"/>
                <w:color w:val="auto"/>
              </w:rPr>
            </w:pPr>
          </w:p>
        </w:tc>
        <w:tc>
          <w:tcPr>
            <w:tcW w:w="80" w:type="dxa"/>
            <w:vAlign w:val="bottom"/>
            <w:shd w:val="clear" w:color="auto" w:fill="F78A0B"/>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right w:val="single" w:sz="8" w:color="97A198"/>
            </w:tcBorders>
            <w:shd w:val="clear" w:color="auto" w:fill="97A198"/>
          </w:tcPr>
          <w:p>
            <w:pPr>
              <w:spacing w:after="0"/>
              <w:rPr>
                <w:sz w:val="11"/>
                <w:szCs w:val="11"/>
                <w:color w:val="auto"/>
              </w:rPr>
            </w:pPr>
          </w:p>
        </w:tc>
        <w:tc>
          <w:tcPr>
            <w:tcW w:w="80" w:type="dxa"/>
            <w:vAlign w:val="bottom"/>
            <w:shd w:val="clear" w:color="auto" w:fill="97A198"/>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8"/>
        </w:trPr>
        <w:tc>
          <w:tcPr>
            <w:tcW w:w="360" w:type="dxa"/>
            <w:vAlign w:val="bottom"/>
            <w:vMerge w:val="continue"/>
          </w:tcPr>
          <w:p>
            <w:pPr>
              <w:spacing w:after="0"/>
              <w:rPr>
                <w:sz w:val="24"/>
                <w:szCs w:val="24"/>
                <w:color w:val="auto"/>
              </w:rPr>
            </w:pPr>
          </w:p>
        </w:tc>
        <w:tc>
          <w:tcPr>
            <w:tcW w:w="100" w:type="dxa"/>
            <w:vAlign w:val="bottom"/>
            <w:tcBorders>
              <w:right w:val="single" w:sz="8" w:color="8B8683"/>
            </w:tcBorders>
          </w:tcPr>
          <w:p>
            <w:pPr>
              <w:spacing w:after="0"/>
              <w:rPr>
                <w:sz w:val="24"/>
                <w:szCs w:val="24"/>
                <w:color w:val="auto"/>
              </w:rPr>
            </w:pPr>
          </w:p>
        </w:tc>
        <w:tc>
          <w:tcPr>
            <w:tcW w:w="4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F78A0B"/>
            </w:tcBorders>
            <w:shd w:val="clear" w:color="auto" w:fill="F78A0B"/>
          </w:tcPr>
          <w:p>
            <w:pPr>
              <w:spacing w:after="0"/>
              <w:rPr>
                <w:sz w:val="24"/>
                <w:szCs w:val="24"/>
                <w:color w:val="auto"/>
              </w:rPr>
            </w:pPr>
          </w:p>
        </w:tc>
        <w:tc>
          <w:tcPr>
            <w:tcW w:w="80" w:type="dxa"/>
            <w:vAlign w:val="bottom"/>
            <w:shd w:val="clear" w:color="auto" w:fill="F78A0B"/>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D8E908"/>
            </w:tcBorders>
            <w:shd w:val="clear" w:color="auto" w:fill="D8E908"/>
          </w:tcPr>
          <w:p>
            <w:pPr>
              <w:spacing w:after="0"/>
              <w:rPr>
                <w:sz w:val="24"/>
                <w:szCs w:val="24"/>
                <w:color w:val="auto"/>
              </w:rPr>
            </w:pPr>
          </w:p>
        </w:tc>
        <w:tc>
          <w:tcPr>
            <w:tcW w:w="80" w:type="dxa"/>
            <w:vAlign w:val="bottom"/>
            <w:shd w:val="clear" w:color="auto" w:fill="D8E908"/>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right w:val="single" w:sz="8" w:color="97A198"/>
            </w:tcBorders>
            <w:shd w:val="clear" w:color="auto" w:fill="97A198"/>
          </w:tcPr>
          <w:p>
            <w:pPr>
              <w:spacing w:after="0"/>
              <w:rPr>
                <w:sz w:val="24"/>
                <w:szCs w:val="24"/>
                <w:color w:val="auto"/>
              </w:rPr>
            </w:pPr>
          </w:p>
        </w:tc>
        <w:tc>
          <w:tcPr>
            <w:tcW w:w="80" w:type="dxa"/>
            <w:vAlign w:val="bottom"/>
            <w:shd w:val="clear" w:color="auto" w:fill="97A198"/>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60" w:type="dxa"/>
            <w:vAlign w:val="bottom"/>
            <w:vMerge w:val="continue"/>
          </w:tcPr>
          <w:p>
            <w:pPr>
              <w:spacing w:after="0"/>
              <w:rPr>
                <w:sz w:val="5"/>
                <w:szCs w:val="5"/>
                <w:color w:val="auto"/>
              </w:rPr>
            </w:pPr>
          </w:p>
        </w:tc>
        <w:tc>
          <w:tcPr>
            <w:tcW w:w="100" w:type="dxa"/>
            <w:vAlign w:val="bottom"/>
            <w:tcBorders>
              <w:top w:val="single" w:sz="8" w:color="8B8683"/>
              <w:right w:val="single" w:sz="8" w:color="8B8683"/>
            </w:tcBorders>
          </w:tcPr>
          <w:p>
            <w:pPr>
              <w:spacing w:after="0"/>
              <w:rPr>
                <w:sz w:val="5"/>
                <w:szCs w:val="5"/>
                <w:color w:val="auto"/>
              </w:rPr>
            </w:pPr>
          </w:p>
        </w:tc>
        <w:tc>
          <w:tcPr>
            <w:tcW w:w="140" w:type="dxa"/>
            <w:vAlign w:val="bottom"/>
            <w:tcBorders>
              <w:top w:val="single" w:sz="8" w:color="C9C8C2"/>
            </w:tcBorders>
          </w:tcPr>
          <w:p>
            <w:pPr>
              <w:spacing w:after="0"/>
              <w:rPr>
                <w:sz w:val="5"/>
                <w:szCs w:val="5"/>
                <w:color w:val="auto"/>
              </w:rPr>
            </w:pPr>
          </w:p>
        </w:tc>
        <w:tc>
          <w:tcPr>
            <w:tcW w:w="100" w:type="dxa"/>
            <w:vAlign w:val="bottom"/>
            <w:tcBorders>
              <w:top w:val="single" w:sz="8" w:color="C00015"/>
              <w:right w:val="single" w:sz="8" w:color="C00015"/>
            </w:tcBorders>
            <w:shd w:val="clear" w:color="auto" w:fill="C00015"/>
          </w:tcPr>
          <w:p>
            <w:pPr>
              <w:spacing w:after="0"/>
              <w:rPr>
                <w:sz w:val="5"/>
                <w:szCs w:val="5"/>
                <w:color w:val="auto"/>
              </w:rPr>
            </w:pPr>
          </w:p>
        </w:tc>
        <w:tc>
          <w:tcPr>
            <w:tcW w:w="80" w:type="dxa"/>
            <w:vAlign w:val="bottom"/>
            <w:tcBorders>
              <w:top w:val="single" w:sz="8" w:color="C00015"/>
            </w:tcBorders>
            <w:shd w:val="clear" w:color="auto" w:fill="C00015"/>
          </w:tcPr>
          <w:p>
            <w:pPr>
              <w:spacing w:after="0"/>
              <w:rPr>
                <w:sz w:val="5"/>
                <w:szCs w:val="5"/>
                <w:color w:val="auto"/>
              </w:rPr>
            </w:pPr>
          </w:p>
        </w:tc>
        <w:tc>
          <w:tcPr>
            <w:tcW w:w="160" w:type="dxa"/>
            <w:vAlign w:val="bottom"/>
            <w:tcBorders>
              <w:top w:val="single" w:sz="8" w:color="C9C8C2"/>
            </w:tcBorders>
          </w:tcPr>
          <w:p>
            <w:pPr>
              <w:spacing w:after="0"/>
              <w:rPr>
                <w:sz w:val="5"/>
                <w:szCs w:val="5"/>
                <w:color w:val="auto"/>
              </w:rPr>
            </w:pPr>
          </w:p>
        </w:tc>
        <w:tc>
          <w:tcPr>
            <w:tcW w:w="160" w:type="dxa"/>
            <w:vAlign w:val="bottom"/>
            <w:tcBorders>
              <w:top w:val="single" w:sz="8" w:color="C9C8C2"/>
            </w:tcBorders>
          </w:tcPr>
          <w:p>
            <w:pPr>
              <w:spacing w:after="0"/>
              <w:rPr>
                <w:sz w:val="5"/>
                <w:szCs w:val="5"/>
                <w:color w:val="auto"/>
              </w:rPr>
            </w:pPr>
          </w:p>
        </w:tc>
        <w:tc>
          <w:tcPr>
            <w:tcW w:w="100" w:type="dxa"/>
            <w:vAlign w:val="bottom"/>
            <w:tcBorders>
              <w:top w:val="single" w:sz="8" w:color="F78A0B"/>
              <w:right w:val="single" w:sz="8" w:color="F78A0B"/>
            </w:tcBorders>
            <w:shd w:val="clear" w:color="auto" w:fill="F78A0B"/>
          </w:tcPr>
          <w:p>
            <w:pPr>
              <w:spacing w:after="0"/>
              <w:rPr>
                <w:sz w:val="5"/>
                <w:szCs w:val="5"/>
                <w:color w:val="auto"/>
              </w:rPr>
            </w:pPr>
          </w:p>
        </w:tc>
        <w:tc>
          <w:tcPr>
            <w:tcW w:w="80" w:type="dxa"/>
            <w:vAlign w:val="bottom"/>
            <w:tcBorders>
              <w:top w:val="single" w:sz="8" w:color="F78A0B"/>
            </w:tcBorders>
            <w:shd w:val="clear" w:color="auto" w:fill="F78A0B"/>
          </w:tcPr>
          <w:p>
            <w:pPr>
              <w:spacing w:after="0"/>
              <w:rPr>
                <w:sz w:val="5"/>
                <w:szCs w:val="5"/>
                <w:color w:val="auto"/>
              </w:rPr>
            </w:pPr>
          </w:p>
        </w:tc>
        <w:tc>
          <w:tcPr>
            <w:tcW w:w="140" w:type="dxa"/>
            <w:vAlign w:val="bottom"/>
            <w:tcBorders>
              <w:top w:val="single" w:sz="8" w:color="C9C8C2"/>
            </w:tcBorders>
          </w:tcPr>
          <w:p>
            <w:pPr>
              <w:spacing w:after="0"/>
              <w:rPr>
                <w:sz w:val="5"/>
                <w:szCs w:val="5"/>
                <w:color w:val="auto"/>
              </w:rPr>
            </w:pPr>
          </w:p>
        </w:tc>
        <w:tc>
          <w:tcPr>
            <w:tcW w:w="160" w:type="dxa"/>
            <w:vAlign w:val="bottom"/>
            <w:tcBorders>
              <w:top w:val="single" w:sz="8" w:color="C9C8C2"/>
            </w:tcBorders>
          </w:tcPr>
          <w:p>
            <w:pPr>
              <w:spacing w:after="0"/>
              <w:rPr>
                <w:sz w:val="5"/>
                <w:szCs w:val="5"/>
                <w:color w:val="auto"/>
              </w:rPr>
            </w:pPr>
          </w:p>
        </w:tc>
        <w:tc>
          <w:tcPr>
            <w:tcW w:w="100" w:type="dxa"/>
            <w:vAlign w:val="bottom"/>
            <w:tcBorders>
              <w:top w:val="single" w:sz="8" w:color="D8E908"/>
              <w:right w:val="single" w:sz="8" w:color="D8E908"/>
            </w:tcBorders>
            <w:shd w:val="clear" w:color="auto" w:fill="D8E908"/>
          </w:tcPr>
          <w:p>
            <w:pPr>
              <w:spacing w:after="0"/>
              <w:rPr>
                <w:sz w:val="5"/>
                <w:szCs w:val="5"/>
                <w:color w:val="auto"/>
              </w:rPr>
            </w:pPr>
          </w:p>
        </w:tc>
        <w:tc>
          <w:tcPr>
            <w:tcW w:w="80" w:type="dxa"/>
            <w:vAlign w:val="bottom"/>
            <w:tcBorders>
              <w:top w:val="single" w:sz="8" w:color="D8E908"/>
            </w:tcBorders>
            <w:shd w:val="clear" w:color="auto" w:fill="D8E908"/>
          </w:tcPr>
          <w:p>
            <w:pPr>
              <w:spacing w:after="0"/>
              <w:rPr>
                <w:sz w:val="5"/>
                <w:szCs w:val="5"/>
                <w:color w:val="auto"/>
              </w:rPr>
            </w:pPr>
          </w:p>
        </w:tc>
        <w:tc>
          <w:tcPr>
            <w:tcW w:w="160" w:type="dxa"/>
            <w:vAlign w:val="bottom"/>
            <w:tcBorders>
              <w:top w:val="single" w:sz="8" w:color="C9C8C2"/>
            </w:tcBorders>
          </w:tcPr>
          <w:p>
            <w:pPr>
              <w:spacing w:after="0"/>
              <w:rPr>
                <w:sz w:val="5"/>
                <w:szCs w:val="5"/>
                <w:color w:val="auto"/>
              </w:rPr>
            </w:pPr>
          </w:p>
        </w:tc>
        <w:tc>
          <w:tcPr>
            <w:tcW w:w="160" w:type="dxa"/>
            <w:vAlign w:val="bottom"/>
            <w:tcBorders>
              <w:top w:val="single" w:sz="8" w:color="C9C8C2"/>
            </w:tcBorders>
          </w:tcPr>
          <w:p>
            <w:pPr>
              <w:spacing w:after="0"/>
              <w:rPr>
                <w:sz w:val="5"/>
                <w:szCs w:val="5"/>
                <w:color w:val="auto"/>
              </w:rPr>
            </w:pPr>
          </w:p>
        </w:tc>
        <w:tc>
          <w:tcPr>
            <w:tcW w:w="100" w:type="dxa"/>
            <w:vAlign w:val="bottom"/>
            <w:tcBorders>
              <w:top w:val="single" w:sz="8" w:color="97A198"/>
              <w:right w:val="single" w:sz="8" w:color="97A198"/>
            </w:tcBorders>
            <w:shd w:val="clear" w:color="auto" w:fill="97A198"/>
          </w:tcPr>
          <w:p>
            <w:pPr>
              <w:spacing w:after="0"/>
              <w:rPr>
                <w:sz w:val="5"/>
                <w:szCs w:val="5"/>
                <w:color w:val="auto"/>
              </w:rPr>
            </w:pPr>
          </w:p>
        </w:tc>
        <w:tc>
          <w:tcPr>
            <w:tcW w:w="80" w:type="dxa"/>
            <w:vAlign w:val="bottom"/>
            <w:tcBorders>
              <w:top w:val="single" w:sz="8" w:color="97A198"/>
            </w:tcBorders>
            <w:shd w:val="clear" w:color="auto" w:fill="97A198"/>
          </w:tcPr>
          <w:p>
            <w:pPr>
              <w:spacing w:after="0"/>
              <w:rPr>
                <w:sz w:val="5"/>
                <w:szCs w:val="5"/>
                <w:color w:val="auto"/>
              </w:rPr>
            </w:pPr>
          </w:p>
        </w:tc>
        <w:tc>
          <w:tcPr>
            <w:tcW w:w="220" w:type="dxa"/>
            <w:vAlign w:val="bottom"/>
            <w:tcBorders>
              <w:top w:val="single" w:sz="8" w:color="C9C8C2"/>
            </w:tcBorders>
          </w:tcPr>
          <w:p>
            <w:pPr>
              <w:spacing w:after="0"/>
              <w:rPr>
                <w:sz w:val="5"/>
                <w:szCs w:val="5"/>
                <w:color w:val="auto"/>
              </w:rPr>
            </w:pPr>
          </w:p>
        </w:tc>
        <w:tc>
          <w:tcPr>
            <w:tcW w:w="0" w:type="dxa"/>
            <w:vAlign w:val="bottom"/>
          </w:tcPr>
          <w:p>
            <w:pPr>
              <w:spacing w:after="0"/>
              <w:rPr>
                <w:sz w:val="1"/>
                <w:szCs w:val="1"/>
                <w:color w:val="auto"/>
              </w:rPr>
            </w:pPr>
          </w:p>
        </w:tc>
      </w:tr>
      <w:tr>
        <w:trPr>
          <w:trHeight w:val="670"/>
        </w:trPr>
        <w:tc>
          <w:tcPr>
            <w:tcW w:w="36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$450</w:t>
            </w:r>
          </w:p>
        </w:tc>
        <w:tc>
          <w:tcPr>
            <w:tcW w:w="100" w:type="dxa"/>
            <w:vAlign w:val="bottom"/>
            <w:tcBorders>
              <w:bottom w:val="single" w:sz="8" w:color="8B8683"/>
              <w:right w:val="single" w:sz="8" w:color="8B8683"/>
            </w:tcBorders>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100" w:type="dxa"/>
            <w:vAlign w:val="bottom"/>
            <w:tcBorders>
              <w:bottom w:val="single" w:sz="8" w:color="C00015"/>
              <w:right w:val="single" w:sz="8" w:color="C00015"/>
            </w:tcBorders>
            <w:shd w:val="clear" w:color="auto" w:fill="C00015"/>
          </w:tcPr>
          <w:p>
            <w:pPr>
              <w:spacing w:after="0"/>
              <w:rPr>
                <w:sz w:val="24"/>
                <w:szCs w:val="24"/>
                <w:color w:val="auto"/>
              </w:rPr>
            </w:pPr>
          </w:p>
        </w:tc>
        <w:tc>
          <w:tcPr>
            <w:tcW w:w="80" w:type="dxa"/>
            <w:vAlign w:val="bottom"/>
            <w:tcBorders>
              <w:bottom w:val="single" w:sz="8" w:color="C00015"/>
            </w:tcBorders>
            <w:shd w:val="clear" w:color="auto" w:fill="C00015"/>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00" w:type="dxa"/>
            <w:vAlign w:val="bottom"/>
            <w:tcBorders>
              <w:bottom w:val="single" w:sz="8" w:color="F78A0B"/>
              <w:right w:val="single" w:sz="8" w:color="F78A0B"/>
            </w:tcBorders>
            <w:shd w:val="clear" w:color="auto" w:fill="F78A0B"/>
          </w:tcPr>
          <w:p>
            <w:pPr>
              <w:spacing w:after="0"/>
              <w:rPr>
                <w:sz w:val="24"/>
                <w:szCs w:val="24"/>
                <w:color w:val="auto"/>
              </w:rPr>
            </w:pPr>
          </w:p>
        </w:tc>
        <w:tc>
          <w:tcPr>
            <w:tcW w:w="80" w:type="dxa"/>
            <w:vAlign w:val="bottom"/>
            <w:tcBorders>
              <w:bottom w:val="single" w:sz="8" w:color="F78A0B"/>
            </w:tcBorders>
            <w:shd w:val="clear" w:color="auto" w:fill="F78A0B"/>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00" w:type="dxa"/>
            <w:vAlign w:val="bottom"/>
            <w:tcBorders>
              <w:bottom w:val="single" w:sz="8" w:color="D8E908"/>
              <w:right w:val="single" w:sz="8" w:color="D8E908"/>
            </w:tcBorders>
            <w:shd w:val="clear" w:color="auto" w:fill="D8E908"/>
          </w:tcPr>
          <w:p>
            <w:pPr>
              <w:spacing w:after="0"/>
              <w:rPr>
                <w:sz w:val="24"/>
                <w:szCs w:val="24"/>
                <w:color w:val="auto"/>
              </w:rPr>
            </w:pPr>
          </w:p>
        </w:tc>
        <w:tc>
          <w:tcPr>
            <w:tcW w:w="80" w:type="dxa"/>
            <w:vAlign w:val="bottom"/>
            <w:tcBorders>
              <w:bottom w:val="single" w:sz="8" w:color="D8E908"/>
            </w:tcBorders>
            <w:shd w:val="clear" w:color="auto" w:fill="D8E908"/>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00" w:type="dxa"/>
            <w:vAlign w:val="bottom"/>
            <w:tcBorders>
              <w:bottom w:val="single" w:sz="8" w:color="97A198"/>
              <w:right w:val="single" w:sz="8" w:color="97A198"/>
            </w:tcBorders>
            <w:shd w:val="clear" w:color="auto" w:fill="97A198"/>
          </w:tcPr>
          <w:p>
            <w:pPr>
              <w:spacing w:after="0"/>
              <w:rPr>
                <w:sz w:val="24"/>
                <w:szCs w:val="24"/>
                <w:color w:val="auto"/>
              </w:rPr>
            </w:pPr>
          </w:p>
        </w:tc>
        <w:tc>
          <w:tcPr>
            <w:tcW w:w="80" w:type="dxa"/>
            <w:vAlign w:val="bottom"/>
            <w:tcBorders>
              <w:bottom w:val="single" w:sz="8" w:color="97A198"/>
            </w:tcBorders>
            <w:shd w:val="clear" w:color="auto" w:fill="97A198"/>
          </w:tcPr>
          <w:p>
            <w:pPr>
              <w:spacing w:after="0"/>
              <w:rPr>
                <w:sz w:val="24"/>
                <w:szCs w:val="24"/>
                <w:color w:val="auto"/>
              </w:rPr>
            </w:pPr>
          </w:p>
        </w:tc>
        <w:tc>
          <w:tcPr>
            <w:tcW w:w="220" w:type="dxa"/>
            <w:vAlign w:val="bottom"/>
            <w:tcBorders>
              <w:bottom w:val="single" w:sz="8" w:color="C9C8C2"/>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360" w:type="dxa"/>
            <w:vAlign w:val="bottom"/>
            <w:vMerge w:val="continue"/>
          </w:tcPr>
          <w:p>
            <w:pPr>
              <w:spacing w:after="0"/>
              <w:rPr>
                <w:sz w:val="4"/>
                <w:szCs w:val="4"/>
                <w:color w:val="auto"/>
              </w:rPr>
            </w:pPr>
          </w:p>
        </w:tc>
        <w:tc>
          <w:tcPr>
            <w:tcW w:w="100" w:type="dxa"/>
            <w:vAlign w:val="bottom"/>
            <w:tcBorders>
              <w:right w:val="single" w:sz="8" w:color="8B8683"/>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right w:val="single" w:sz="8" w:color="C00015"/>
            </w:tcBorders>
            <w:shd w:val="clear" w:color="auto" w:fill="C00015"/>
          </w:tcPr>
          <w:p>
            <w:pPr>
              <w:spacing w:after="0"/>
              <w:rPr>
                <w:sz w:val="4"/>
                <w:szCs w:val="4"/>
                <w:color w:val="auto"/>
              </w:rPr>
            </w:pPr>
          </w:p>
        </w:tc>
        <w:tc>
          <w:tcPr>
            <w:tcW w:w="80" w:type="dxa"/>
            <w:vAlign w:val="bottom"/>
            <w:shd w:val="clear" w:color="auto" w:fill="C00015"/>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right w:val="single" w:sz="8" w:color="F78A0B"/>
            </w:tcBorders>
            <w:shd w:val="clear" w:color="auto" w:fill="F78A0B"/>
          </w:tcPr>
          <w:p>
            <w:pPr>
              <w:spacing w:after="0"/>
              <w:rPr>
                <w:sz w:val="4"/>
                <w:szCs w:val="4"/>
                <w:color w:val="auto"/>
              </w:rPr>
            </w:pPr>
          </w:p>
        </w:tc>
        <w:tc>
          <w:tcPr>
            <w:tcW w:w="80" w:type="dxa"/>
            <w:vAlign w:val="bottom"/>
            <w:shd w:val="clear" w:color="auto" w:fill="F78A0B"/>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right w:val="single" w:sz="8" w:color="D8E908"/>
            </w:tcBorders>
            <w:shd w:val="clear" w:color="auto" w:fill="D8E908"/>
          </w:tcPr>
          <w:p>
            <w:pPr>
              <w:spacing w:after="0"/>
              <w:rPr>
                <w:sz w:val="4"/>
                <w:szCs w:val="4"/>
                <w:color w:val="auto"/>
              </w:rPr>
            </w:pPr>
          </w:p>
        </w:tc>
        <w:tc>
          <w:tcPr>
            <w:tcW w:w="80" w:type="dxa"/>
            <w:vAlign w:val="bottom"/>
            <w:shd w:val="clear" w:color="auto" w:fill="D8E908"/>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right w:val="single" w:sz="8" w:color="97A198"/>
            </w:tcBorders>
            <w:shd w:val="clear" w:color="auto" w:fill="97A198"/>
          </w:tcPr>
          <w:p>
            <w:pPr>
              <w:spacing w:after="0"/>
              <w:rPr>
                <w:sz w:val="4"/>
                <w:szCs w:val="4"/>
                <w:color w:val="auto"/>
              </w:rPr>
            </w:pPr>
          </w:p>
        </w:tc>
        <w:tc>
          <w:tcPr>
            <w:tcW w:w="80" w:type="dxa"/>
            <w:vAlign w:val="bottom"/>
            <w:shd w:val="clear" w:color="auto" w:fill="97A198"/>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0"/>
        </w:trPr>
        <w:tc>
          <w:tcPr>
            <w:tcW w:w="36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$400</w:t>
            </w:r>
          </w:p>
        </w:tc>
        <w:tc>
          <w:tcPr>
            <w:tcW w:w="100" w:type="dxa"/>
            <w:vAlign w:val="bottom"/>
            <w:tcBorders>
              <w:bottom w:val="single" w:sz="8" w:color="8B8683"/>
              <w:right w:val="single" w:sz="8" w:color="8B8683"/>
            </w:tcBorders>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100" w:type="dxa"/>
            <w:vAlign w:val="bottom"/>
            <w:tcBorders>
              <w:bottom w:val="single" w:sz="8" w:color="8B8683"/>
              <w:right w:val="single" w:sz="8" w:color="C00015"/>
            </w:tcBorders>
            <w:shd w:val="clear" w:color="auto" w:fill="C00015"/>
          </w:tcPr>
          <w:p>
            <w:pPr>
              <w:spacing w:after="0"/>
              <w:rPr>
                <w:sz w:val="24"/>
                <w:szCs w:val="24"/>
                <w:color w:val="auto"/>
              </w:rPr>
            </w:pPr>
          </w:p>
        </w:tc>
        <w:tc>
          <w:tcPr>
            <w:tcW w:w="80" w:type="dxa"/>
            <w:vAlign w:val="bottom"/>
            <w:tcBorders>
              <w:bottom w:val="single" w:sz="8" w:color="8B8683"/>
            </w:tcBorders>
            <w:shd w:val="clear" w:color="auto" w:fill="C00015"/>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00" w:type="dxa"/>
            <w:vAlign w:val="bottom"/>
            <w:tcBorders>
              <w:bottom w:val="single" w:sz="8" w:color="8B8683"/>
              <w:right w:val="single" w:sz="8" w:color="F78A0B"/>
            </w:tcBorders>
            <w:shd w:val="clear" w:color="auto" w:fill="F78A0B"/>
          </w:tcPr>
          <w:p>
            <w:pPr>
              <w:spacing w:after="0"/>
              <w:rPr>
                <w:sz w:val="24"/>
                <w:szCs w:val="24"/>
                <w:color w:val="auto"/>
              </w:rPr>
            </w:pPr>
          </w:p>
        </w:tc>
        <w:tc>
          <w:tcPr>
            <w:tcW w:w="80" w:type="dxa"/>
            <w:vAlign w:val="bottom"/>
            <w:tcBorders>
              <w:bottom w:val="single" w:sz="8" w:color="8B8683"/>
            </w:tcBorders>
            <w:shd w:val="clear" w:color="auto" w:fill="F78A0B"/>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00" w:type="dxa"/>
            <w:vAlign w:val="bottom"/>
            <w:tcBorders>
              <w:bottom w:val="single" w:sz="8" w:color="8B8683"/>
              <w:right w:val="single" w:sz="8" w:color="D8E908"/>
            </w:tcBorders>
            <w:shd w:val="clear" w:color="auto" w:fill="D8E908"/>
          </w:tcPr>
          <w:p>
            <w:pPr>
              <w:spacing w:after="0"/>
              <w:rPr>
                <w:sz w:val="24"/>
                <w:szCs w:val="24"/>
                <w:color w:val="auto"/>
              </w:rPr>
            </w:pPr>
          </w:p>
        </w:tc>
        <w:tc>
          <w:tcPr>
            <w:tcW w:w="80" w:type="dxa"/>
            <w:vAlign w:val="bottom"/>
            <w:tcBorders>
              <w:bottom w:val="single" w:sz="8" w:color="8B8683"/>
            </w:tcBorders>
            <w:shd w:val="clear" w:color="auto" w:fill="D8E908"/>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00" w:type="dxa"/>
            <w:vAlign w:val="bottom"/>
            <w:tcBorders>
              <w:bottom w:val="single" w:sz="8" w:color="8B8683"/>
              <w:right w:val="single" w:sz="8" w:color="97A198"/>
            </w:tcBorders>
            <w:shd w:val="clear" w:color="auto" w:fill="97A198"/>
          </w:tcPr>
          <w:p>
            <w:pPr>
              <w:spacing w:after="0"/>
              <w:rPr>
                <w:sz w:val="24"/>
                <w:szCs w:val="24"/>
                <w:color w:val="auto"/>
              </w:rPr>
            </w:pPr>
          </w:p>
        </w:tc>
        <w:tc>
          <w:tcPr>
            <w:tcW w:w="80" w:type="dxa"/>
            <w:vAlign w:val="bottom"/>
            <w:tcBorders>
              <w:bottom w:val="single" w:sz="8" w:color="8B8683"/>
            </w:tcBorders>
            <w:shd w:val="clear" w:color="auto" w:fill="97A198"/>
          </w:tcPr>
          <w:p>
            <w:pPr>
              <w:spacing w:after="0"/>
              <w:rPr>
                <w:sz w:val="24"/>
                <w:szCs w:val="24"/>
                <w:color w:val="auto"/>
              </w:rPr>
            </w:pPr>
          </w:p>
        </w:tc>
        <w:tc>
          <w:tcPr>
            <w:tcW w:w="220" w:type="dxa"/>
            <w:vAlign w:val="bottom"/>
            <w:tcBorders>
              <w:bottom w:val="single" w:sz="8" w:color="8B8683"/>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B8683"/>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B8683"/>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B8683"/>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B8683"/>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580" w:type="dxa"/>
            <w:vAlign w:val="bottom"/>
            <w:gridSpan w:val="5"/>
          </w:tcPr>
          <w:p>
            <w:pPr>
              <w:jc w:val="right"/>
              <w:ind w:right="120"/>
              <w:spacing w:after="0"/>
              <w:rPr>
                <w:sz w:val="20"/>
                <w:szCs w:val="20"/>
                <w:color w:val="auto"/>
              </w:rPr>
            </w:pPr>
            <w:r>
              <w:rPr>
                <w:rFonts w:ascii="Arial" w:cs="Arial" w:eastAsia="Arial" w:hAnsi="Arial"/>
                <w:sz w:val="12"/>
                <w:szCs w:val="12"/>
                <w:color w:val="auto"/>
              </w:rPr>
              <w:t>2022</w:t>
            </w:r>
          </w:p>
        </w:tc>
        <w:tc>
          <w:tcPr>
            <w:tcW w:w="480" w:type="dxa"/>
            <w:vAlign w:val="bottom"/>
            <w:gridSpan w:val="4"/>
          </w:tcPr>
          <w:p>
            <w:pPr>
              <w:jc w:val="right"/>
              <w:ind w:right="100"/>
              <w:spacing w:after="0"/>
              <w:rPr>
                <w:sz w:val="20"/>
                <w:szCs w:val="20"/>
                <w:color w:val="auto"/>
              </w:rPr>
            </w:pPr>
            <w:r>
              <w:rPr>
                <w:rFonts w:ascii="Arial" w:cs="Arial" w:eastAsia="Arial" w:hAnsi="Arial"/>
                <w:sz w:val="12"/>
                <w:szCs w:val="12"/>
                <w:color w:val="auto"/>
              </w:rPr>
              <w:t>2023</w:t>
            </w:r>
          </w:p>
        </w:tc>
        <w:tc>
          <w:tcPr>
            <w:tcW w:w="500" w:type="dxa"/>
            <w:vAlign w:val="bottom"/>
            <w:gridSpan w:val="4"/>
          </w:tcPr>
          <w:p>
            <w:pPr>
              <w:jc w:val="right"/>
              <w:ind w:right="120"/>
              <w:spacing w:after="0"/>
              <w:rPr>
                <w:sz w:val="20"/>
                <w:szCs w:val="20"/>
                <w:color w:val="auto"/>
              </w:rPr>
            </w:pPr>
            <w:r>
              <w:rPr>
                <w:rFonts w:ascii="Arial" w:cs="Arial" w:eastAsia="Arial" w:hAnsi="Arial"/>
                <w:sz w:val="12"/>
                <w:szCs w:val="12"/>
                <w:color w:val="auto"/>
              </w:rPr>
              <w:t>2024</w:t>
            </w:r>
          </w:p>
        </w:tc>
        <w:tc>
          <w:tcPr>
            <w:tcW w:w="560" w:type="dxa"/>
            <w:vAlign w:val="bottom"/>
            <w:gridSpan w:val="4"/>
          </w:tcPr>
          <w:p>
            <w:pPr>
              <w:ind w:left="120"/>
              <w:spacing w:after="0"/>
              <w:rPr>
                <w:sz w:val="20"/>
                <w:szCs w:val="20"/>
                <w:color w:val="auto"/>
              </w:rPr>
            </w:pPr>
            <w:r>
              <w:rPr>
                <w:rFonts w:ascii="Arial" w:cs="Arial" w:eastAsia="Arial" w:hAnsi="Arial"/>
                <w:sz w:val="12"/>
                <w:szCs w:val="12"/>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439420</wp:posOffset>
                </wp:positionH>
                <wp:positionV relativeFrom="paragraph">
                  <wp:posOffset>-657860</wp:posOffset>
                </wp:positionV>
                <wp:extent cx="13233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3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pt,-51.7999pt" to="138.8pt,-51.7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439420</wp:posOffset>
                </wp:positionH>
                <wp:positionV relativeFrom="paragraph">
                  <wp:posOffset>-1131570</wp:posOffset>
                </wp:positionV>
                <wp:extent cx="13233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3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pt,-89.0999pt" to="138.8pt,-89.0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439420</wp:posOffset>
                </wp:positionH>
                <wp:positionV relativeFrom="paragraph">
                  <wp:posOffset>-1605915</wp:posOffset>
                </wp:positionV>
                <wp:extent cx="132334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33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pt,-126.4499pt" to="138.8pt,-126.4499pt" o:allowincell="f" strokecolor="#E0E4DD" strokeweight="0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30" w:type="dxa"/>
        <w:tblCellMar>
          <w:top w:w="0" w:type="dxa"/>
          <w:left w:w="0" w:type="dxa"/>
          <w:bottom w:w="0" w:type="dxa"/>
          <w:right w:w="0" w:type="dxa"/>
        </w:tblCellMar>
      </w:tblPr>
      <w:tr>
        <w:trPr>
          <w:trHeight w:val="820"/>
        </w:trPr>
        <w:tc>
          <w:tcPr>
            <w:tcW w:w="92" w:type="dxa"/>
            <w:vAlign w:val="bottom"/>
            <w:textDirection w:val="btLr"/>
          </w:tcPr>
          <w:p>
            <w:pPr>
              <w:spacing w:after="0"/>
              <w:rPr>
                <w:sz w:val="20"/>
                <w:szCs w:val="20"/>
                <w:color w:val="auto"/>
              </w:rPr>
            </w:pPr>
            <w:r>
              <w:rPr>
                <w:rFonts w:ascii="Arial" w:cs="Arial" w:eastAsia="Arial" w:hAnsi="Arial"/>
                <w:sz w:val="8"/>
                <w:szCs w:val="8"/>
                <w:color w:val="auto"/>
              </w:rPr>
              <w:t>Gross Profit Margin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60"/>
        </w:trPr>
        <w:tc>
          <w:tcPr>
            <w:tcW w:w="115" w:type="dxa"/>
            <w:vAlign w:val="bottom"/>
            <w:textDirection w:val="btLr"/>
          </w:tcPr>
          <w:p>
            <w:pPr>
              <w:spacing w:after="0"/>
              <w:rPr>
                <w:sz w:val="20"/>
                <w:szCs w:val="20"/>
                <w:color w:val="auto"/>
              </w:rPr>
            </w:pPr>
            <w:r>
              <w:rPr>
                <w:rFonts w:ascii="Arial" w:cs="Arial" w:eastAsia="Arial" w:hAnsi="Arial"/>
                <w:sz w:val="10"/>
                <w:szCs w:val="10"/>
                <w:color w:val="auto"/>
              </w:rPr>
              <w:t>Adjusted EBITDA ($ in millions)</w:t>
            </w: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20"/>
        <w:spacing w:after="0"/>
        <w:rPr>
          <w:sz w:val="20"/>
          <w:szCs w:val="20"/>
          <w:color w:val="auto"/>
        </w:rPr>
      </w:pPr>
      <w:r>
        <w:rPr>
          <w:rFonts w:ascii="Arial" w:cs="Arial" w:eastAsia="Arial" w:hAnsi="Arial"/>
          <w:sz w:val="24"/>
          <w:szCs w:val="24"/>
          <w:color w:val="auto"/>
        </w:rPr>
        <w:t>Adjusted Gross Profit</w:t>
      </w:r>
      <w:r>
        <w:rPr>
          <w:rFonts w:ascii="Arial" w:cs="Arial" w:eastAsia="Arial" w:hAnsi="Arial"/>
          <w:sz w:val="13"/>
          <w:szCs w:val="13"/>
          <w:color w:val="auto"/>
          <w:vertAlign w:val="superscript"/>
        </w:rPr>
        <w:t>(1)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00" w:type="dxa"/>
            <w:vAlign w:val="bottom"/>
          </w:tcPr>
          <w:p>
            <w:pPr>
              <w:jc w:val="right"/>
              <w:ind w:right="41"/>
              <w:spacing w:after="0"/>
              <w:rPr>
                <w:sz w:val="20"/>
                <w:szCs w:val="20"/>
                <w:color w:val="auto"/>
              </w:rPr>
            </w:pPr>
            <w:r>
              <w:rPr>
                <w:rFonts w:ascii="Arial" w:cs="Arial" w:eastAsia="Arial" w:hAnsi="Arial"/>
                <w:sz w:val="12"/>
                <w:szCs w:val="12"/>
                <w:color w:val="auto"/>
                <w:w w:val="74"/>
              </w:rPr>
              <w:t>24%</w:t>
            </w:r>
          </w:p>
        </w:tc>
        <w:tc>
          <w:tcPr>
            <w:tcW w:w="40" w:type="dxa"/>
            <w:vAlign w:val="bottom"/>
            <w:tcBorders>
              <w:bottom w:val="single" w:sz="8" w:color="8B8683"/>
            </w:tcBorders>
          </w:tcPr>
          <w:p>
            <w:pPr>
              <w:spacing w:after="0"/>
              <w:rPr>
                <w:sz w:val="12"/>
                <w:szCs w:val="12"/>
                <w:color w:val="auto"/>
              </w:rPr>
            </w:pPr>
          </w:p>
        </w:tc>
        <w:tc>
          <w:tcPr>
            <w:tcW w:w="60" w:type="dxa"/>
            <w:vAlign w:val="bottom"/>
            <w:tcBorders>
              <w:bottom w:val="single" w:sz="8" w:color="8B8683"/>
            </w:tcBorders>
          </w:tcPr>
          <w:p>
            <w:pPr>
              <w:spacing w:after="0"/>
              <w:rPr>
                <w:sz w:val="12"/>
                <w:szCs w:val="12"/>
                <w:color w:val="auto"/>
              </w:rPr>
            </w:pPr>
          </w:p>
        </w:tc>
        <w:tc>
          <w:tcPr>
            <w:tcW w:w="14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2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140" w:type="dxa"/>
            <w:vAlign w:val="bottom"/>
            <w:tcBorders>
              <w:bottom w:val="single" w:sz="8" w:color="C9C8C2"/>
            </w:tcBorders>
          </w:tcPr>
          <w:p>
            <w:pPr>
              <w:spacing w:after="0"/>
              <w:rPr>
                <w:sz w:val="12"/>
                <w:szCs w:val="12"/>
                <w:color w:val="auto"/>
              </w:rPr>
            </w:pPr>
          </w:p>
        </w:tc>
        <w:tc>
          <w:tcPr>
            <w:tcW w:w="16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2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140" w:type="dxa"/>
            <w:vAlign w:val="bottom"/>
            <w:tcBorders>
              <w:bottom w:val="single" w:sz="8" w:color="C9C8C2"/>
            </w:tcBorders>
          </w:tcPr>
          <w:p>
            <w:pPr>
              <w:spacing w:after="0"/>
              <w:rPr>
                <w:sz w:val="12"/>
                <w:szCs w:val="12"/>
                <w:color w:val="auto"/>
              </w:rPr>
            </w:pPr>
          </w:p>
        </w:tc>
        <w:tc>
          <w:tcPr>
            <w:tcW w:w="140" w:type="dxa"/>
            <w:vAlign w:val="bottom"/>
            <w:tcBorders>
              <w:bottom w:val="single" w:sz="8" w:color="C9C8C2"/>
            </w:tcBorders>
          </w:tcPr>
          <w:p>
            <w:pPr>
              <w:spacing w:after="0"/>
              <w:rPr>
                <w:sz w:val="12"/>
                <w:szCs w:val="12"/>
                <w:color w:val="auto"/>
              </w:rPr>
            </w:pPr>
          </w:p>
        </w:tc>
        <w:tc>
          <w:tcPr>
            <w:tcW w:w="10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160" w:type="dxa"/>
            <w:vAlign w:val="bottom"/>
            <w:tcBorders>
              <w:bottom w:val="single" w:sz="8" w:color="C9C8C2"/>
            </w:tcBorders>
          </w:tcPr>
          <w:p>
            <w:pPr>
              <w:spacing w:after="0"/>
              <w:rPr>
                <w:sz w:val="12"/>
                <w:szCs w:val="12"/>
                <w:color w:val="auto"/>
              </w:rPr>
            </w:pPr>
          </w:p>
        </w:tc>
        <w:tc>
          <w:tcPr>
            <w:tcW w:w="14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20" w:type="dxa"/>
            <w:vAlign w:val="bottom"/>
            <w:tcBorders>
              <w:bottom w:val="single" w:sz="8" w:color="C9C8C2"/>
            </w:tcBorders>
          </w:tcPr>
          <w:p>
            <w:pPr>
              <w:spacing w:after="0"/>
              <w:rPr>
                <w:sz w:val="12"/>
                <w:szCs w:val="12"/>
                <w:color w:val="auto"/>
              </w:rPr>
            </w:pPr>
          </w:p>
        </w:tc>
        <w:tc>
          <w:tcPr>
            <w:tcW w:w="80" w:type="dxa"/>
            <w:vAlign w:val="bottom"/>
            <w:tcBorders>
              <w:bottom w:val="single" w:sz="8" w:color="C9C8C2"/>
            </w:tcBorders>
          </w:tcPr>
          <w:p>
            <w:pPr>
              <w:spacing w:after="0"/>
              <w:rPr>
                <w:sz w:val="12"/>
                <w:szCs w:val="12"/>
                <w:color w:val="auto"/>
              </w:rPr>
            </w:pPr>
          </w:p>
        </w:tc>
        <w:tc>
          <w:tcPr>
            <w:tcW w:w="220" w:type="dxa"/>
            <w:vAlign w:val="bottom"/>
            <w:tcBorders>
              <w:bottom w:val="single" w:sz="8" w:color="C9C8C2"/>
            </w:tcBorders>
          </w:tcPr>
          <w:p>
            <w:pPr>
              <w:spacing w:after="0"/>
              <w:rPr>
                <w:sz w:val="12"/>
                <w:szCs w:val="12"/>
                <w:color w:val="auto"/>
              </w:rPr>
            </w:pPr>
          </w:p>
        </w:tc>
        <w:tc>
          <w:tcPr>
            <w:tcW w:w="360" w:type="dxa"/>
            <w:vAlign w:val="bottom"/>
          </w:tcPr>
          <w:p>
            <w:pPr>
              <w:jc w:val="center"/>
              <w:ind w:right="1"/>
              <w:spacing w:after="0"/>
              <w:rPr>
                <w:sz w:val="20"/>
                <w:szCs w:val="20"/>
                <w:color w:val="auto"/>
              </w:rPr>
            </w:pPr>
            <w:r>
              <w:rPr>
                <w:rFonts w:ascii="Arial" w:cs="Arial" w:eastAsia="Arial" w:hAnsi="Arial"/>
                <w:sz w:val="12"/>
                <w:szCs w:val="12"/>
                <w:color w:val="auto"/>
                <w:w w:val="97"/>
              </w:rPr>
              <w:t>$125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00" w:type="dxa"/>
            <w:vAlign w:val="bottom"/>
            <w:vMerge w:val="restart"/>
          </w:tcPr>
          <w:p>
            <w:pPr>
              <w:jc w:val="right"/>
              <w:ind w:right="41"/>
              <w:spacing w:after="0"/>
              <w:rPr>
                <w:sz w:val="20"/>
                <w:szCs w:val="20"/>
                <w:color w:val="auto"/>
              </w:rPr>
            </w:pPr>
            <w:r>
              <w:rPr>
                <w:rFonts w:ascii="Arial" w:cs="Arial" w:eastAsia="Arial" w:hAnsi="Arial"/>
                <w:sz w:val="12"/>
                <w:szCs w:val="12"/>
                <w:color w:val="auto"/>
                <w:w w:val="74"/>
              </w:rPr>
              <w:t>22%</w:t>
            </w:r>
          </w:p>
        </w:tc>
        <w:tc>
          <w:tcPr>
            <w:tcW w:w="40" w:type="dxa"/>
            <w:vAlign w:val="bottom"/>
          </w:tcPr>
          <w:p>
            <w:pPr>
              <w:spacing w:after="0"/>
              <w:rPr>
                <w:sz w:val="18"/>
                <w:szCs w:val="18"/>
                <w:color w:val="auto"/>
              </w:rPr>
            </w:pPr>
          </w:p>
        </w:tc>
        <w:tc>
          <w:tcPr>
            <w:tcW w:w="60" w:type="dxa"/>
            <w:vAlign w:val="bottom"/>
            <w:tcBorders>
              <w:right w:val="single" w:sz="8" w:color="8B8683"/>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4"/>
          </w:tcPr>
          <w:p>
            <w:pPr>
              <w:jc w:val="center"/>
              <w:spacing w:after="0"/>
              <w:rPr>
                <w:sz w:val="20"/>
                <w:szCs w:val="20"/>
                <w:color w:val="auto"/>
              </w:rPr>
            </w:pPr>
            <w:r>
              <w:rPr>
                <w:rFonts w:ascii="Arial" w:cs="Arial" w:eastAsia="Arial" w:hAnsi="Arial"/>
                <w:sz w:val="13"/>
                <w:szCs w:val="13"/>
                <w:color w:val="auto"/>
                <w:w w:val="86"/>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restart"/>
          </w:tcPr>
          <w:p>
            <w:pPr>
              <w:jc w:val="center"/>
              <w:ind w:right="1"/>
              <w:spacing w:after="0"/>
              <w:rPr>
                <w:sz w:val="20"/>
                <w:szCs w:val="20"/>
                <w:color w:val="auto"/>
              </w:rPr>
            </w:pPr>
            <w:r>
              <w:rPr>
                <w:rFonts w:ascii="Arial" w:cs="Arial" w:eastAsia="Arial" w:hAnsi="Arial"/>
                <w:sz w:val="12"/>
                <w:szCs w:val="12"/>
                <w:color w:val="auto"/>
                <w:w w:val="97"/>
              </w:rPr>
              <w:t>$120</w:t>
            </w:r>
          </w:p>
        </w:tc>
        <w:tc>
          <w:tcPr>
            <w:tcW w:w="160" w:type="dxa"/>
            <w:vAlign w:val="bottom"/>
            <w:vMerge w:val="restart"/>
            <w:textDirection w:val="tbRl"/>
          </w:tcPr>
          <w:p>
            <w:pPr>
              <w:jc w:val="right"/>
              <w:ind w:left="34"/>
              <w:spacing w:after="0"/>
              <w:rPr>
                <w:sz w:val="20"/>
                <w:szCs w:val="20"/>
                <w:color w:val="auto"/>
              </w:rPr>
            </w:pPr>
            <w:r>
              <w:rPr>
                <w:rFonts w:ascii="Arial" w:cs="Arial" w:eastAsia="Arial" w:hAnsi="Arial"/>
                <w:sz w:val="11"/>
                <w:szCs w:val="11"/>
                <w:color w:val="auto"/>
                <w:w w:val="95"/>
              </w:rPr>
              <w:t>Gross</w:t>
            </w:r>
          </w:p>
        </w:tc>
        <w:tc>
          <w:tcPr>
            <w:tcW w:w="0" w:type="dxa"/>
            <w:vAlign w:val="bottom"/>
          </w:tcPr>
          <w:p>
            <w:pPr>
              <w:spacing w:after="0"/>
              <w:rPr>
                <w:sz w:val="1"/>
                <w:szCs w:val="1"/>
                <w:color w:val="auto"/>
              </w:rPr>
            </w:pPr>
          </w:p>
        </w:tc>
      </w:tr>
      <w:tr>
        <w:trPr>
          <w:trHeight w:val="25"/>
        </w:trPr>
        <w:tc>
          <w:tcPr>
            <w:tcW w:w="300" w:type="dxa"/>
            <w:vAlign w:val="bottom"/>
            <w:vMerge w:val="continue"/>
          </w:tcPr>
          <w:p>
            <w:pPr>
              <w:spacing w:after="0"/>
              <w:rPr>
                <w:sz w:val="2"/>
                <w:szCs w:val="2"/>
                <w:color w:val="auto"/>
              </w:rPr>
            </w:pPr>
          </w:p>
        </w:tc>
        <w:tc>
          <w:tcPr>
            <w:tcW w:w="40" w:type="dxa"/>
            <w:vAlign w:val="bottom"/>
            <w:tcBorders>
              <w:bottom w:val="single" w:sz="8" w:color="8B8683"/>
            </w:tcBorders>
          </w:tcPr>
          <w:p>
            <w:pPr>
              <w:spacing w:after="0"/>
              <w:rPr>
                <w:sz w:val="2"/>
                <w:szCs w:val="2"/>
                <w:color w:val="auto"/>
              </w:rPr>
            </w:pPr>
          </w:p>
        </w:tc>
        <w:tc>
          <w:tcPr>
            <w:tcW w:w="60" w:type="dxa"/>
            <w:vAlign w:val="bottom"/>
            <w:tcBorders>
              <w:bottom w:val="single" w:sz="8" w:color="8B8683"/>
              <w:right w:val="single" w:sz="8" w:color="8B8683"/>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2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6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2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80" w:type="dxa"/>
            <w:vAlign w:val="bottom"/>
            <w:tcBorders>
              <w:bottom w:val="single" w:sz="8" w:color="D8E908"/>
              <w:right w:val="single" w:sz="8" w:color="D8E908"/>
            </w:tcBorders>
            <w:gridSpan w:val="2"/>
            <w:vMerge w:val="restart"/>
            <w:shd w:val="clear" w:color="auto" w:fill="D8E908"/>
          </w:tcPr>
          <w:p>
            <w:pPr>
              <w:jc w:val="center"/>
              <w:spacing w:after="0"/>
              <w:rPr>
                <w:sz w:val="20"/>
                <w:szCs w:val="20"/>
                <w:color w:val="auto"/>
              </w:rPr>
            </w:pPr>
            <w:r>
              <w:rPr>
                <w:rFonts w:ascii="Arial" w:cs="Arial" w:eastAsia="Arial" w:hAnsi="Arial"/>
                <w:sz w:val="8"/>
                <w:szCs w:val="8"/>
                <w:color w:val="auto"/>
                <w:w w:val="89"/>
              </w:rPr>
              <w:t>$118</w:t>
            </w:r>
          </w:p>
        </w:tc>
        <w:tc>
          <w:tcPr>
            <w:tcW w:w="16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20" w:type="dxa"/>
            <w:vAlign w:val="bottom"/>
            <w:tcBorders>
              <w:bottom w:val="single" w:sz="8" w:color="C9C8C2"/>
            </w:tcBorders>
          </w:tcPr>
          <w:p>
            <w:pPr>
              <w:spacing w:after="0"/>
              <w:rPr>
                <w:sz w:val="2"/>
                <w:szCs w:val="2"/>
                <w:color w:val="auto"/>
              </w:rPr>
            </w:pPr>
          </w:p>
        </w:tc>
        <w:tc>
          <w:tcPr>
            <w:tcW w:w="80" w:type="dxa"/>
            <w:vAlign w:val="bottom"/>
            <w:tcBorders>
              <w:bottom w:val="single" w:sz="8" w:color="C9C8C2"/>
            </w:tcBorders>
          </w:tcPr>
          <w:p>
            <w:pPr>
              <w:spacing w:after="0"/>
              <w:rPr>
                <w:sz w:val="2"/>
                <w:szCs w:val="2"/>
                <w:color w:val="auto"/>
              </w:rPr>
            </w:pPr>
          </w:p>
        </w:tc>
        <w:tc>
          <w:tcPr>
            <w:tcW w:w="220" w:type="dxa"/>
            <w:vAlign w:val="bottom"/>
            <w:tcBorders>
              <w:bottom w:val="single" w:sz="8" w:color="C9C8C2"/>
            </w:tcBorders>
          </w:tcPr>
          <w:p>
            <w:pPr>
              <w:spacing w:after="0"/>
              <w:rPr>
                <w:sz w:val="2"/>
                <w:szCs w:val="2"/>
                <w:color w:val="auto"/>
              </w:rPr>
            </w:pPr>
          </w:p>
        </w:tc>
        <w:tc>
          <w:tcPr>
            <w:tcW w:w="3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3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right w:val="single" w:sz="8" w:color="8B8683"/>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5"/>
            <w:vMerge w:val="restart"/>
          </w:tcPr>
          <w:p>
            <w:pPr>
              <w:jc w:val="center"/>
              <w:spacing w:after="0" w:line="110" w:lineRule="exact"/>
              <w:rPr>
                <w:sz w:val="20"/>
                <w:szCs w:val="20"/>
                <w:color w:val="auto"/>
              </w:rPr>
            </w:pPr>
            <w:r>
              <w:rPr>
                <w:rFonts w:ascii="Arial" w:cs="Arial" w:eastAsia="Arial" w:hAnsi="Arial"/>
                <w:sz w:val="12"/>
                <w:szCs w:val="12"/>
                <w:color w:val="auto"/>
                <w:w w:val="93"/>
              </w:rPr>
              <w:t>21.2%</w:t>
            </w:r>
          </w:p>
        </w:tc>
        <w:tc>
          <w:tcPr>
            <w:tcW w:w="140" w:type="dxa"/>
            <w:vAlign w:val="bottom"/>
          </w:tcPr>
          <w:p>
            <w:pPr>
              <w:spacing w:after="0"/>
              <w:rPr>
                <w:sz w:val="5"/>
                <w:szCs w:val="5"/>
                <w:color w:val="auto"/>
              </w:rPr>
            </w:pPr>
          </w:p>
        </w:tc>
        <w:tc>
          <w:tcPr>
            <w:tcW w:w="180" w:type="dxa"/>
            <w:vAlign w:val="bottom"/>
            <w:tcBorders>
              <w:right w:val="single" w:sz="8" w:color="D8E908"/>
            </w:tcBorders>
            <w:gridSpan w:val="2"/>
            <w:vMerge w:val="continue"/>
            <w:shd w:val="clear" w:color="auto" w:fill="D8E908"/>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gridSpan w:val="5"/>
            <w:vMerge w:val="restart"/>
          </w:tcPr>
          <w:p>
            <w:pPr>
              <w:jc w:val="center"/>
              <w:ind w:right="60"/>
              <w:spacing w:after="0" w:line="110" w:lineRule="exact"/>
              <w:rPr>
                <w:sz w:val="20"/>
                <w:szCs w:val="20"/>
                <w:color w:val="auto"/>
              </w:rPr>
            </w:pPr>
            <w:r>
              <w:rPr>
                <w:rFonts w:ascii="Arial" w:cs="Arial" w:eastAsia="Arial" w:hAnsi="Arial"/>
                <w:sz w:val="12"/>
                <w:szCs w:val="12"/>
                <w:color w:val="auto"/>
                <w:w w:val="93"/>
              </w:rPr>
              <w:t>21.1%</w:t>
            </w:r>
          </w:p>
        </w:tc>
        <w:tc>
          <w:tcPr>
            <w:tcW w:w="3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right w:val="single" w:sz="8" w:color="8B8683"/>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gridSpan w:val="5"/>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D8E908"/>
          </w:tcPr>
          <w:p>
            <w:pPr>
              <w:spacing w:after="0"/>
              <w:rPr>
                <w:sz w:val="3"/>
                <w:szCs w:val="3"/>
                <w:color w:val="auto"/>
              </w:rPr>
            </w:pPr>
          </w:p>
        </w:tc>
        <w:tc>
          <w:tcPr>
            <w:tcW w:w="80" w:type="dxa"/>
            <w:vAlign w:val="bottom"/>
            <w:tcBorders>
              <w:right w:val="single" w:sz="8" w:color="D8E908"/>
            </w:tcBorders>
            <w:shd w:val="clear" w:color="auto" w:fill="D8E908"/>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00" w:type="dxa"/>
            <w:vAlign w:val="bottom"/>
            <w:vMerge w:val="restart"/>
          </w:tcPr>
          <w:p>
            <w:pPr>
              <w:jc w:val="right"/>
              <w:ind w:right="41"/>
              <w:spacing w:after="0"/>
              <w:rPr>
                <w:sz w:val="20"/>
                <w:szCs w:val="20"/>
                <w:color w:val="auto"/>
              </w:rPr>
            </w:pPr>
            <w:r>
              <w:rPr>
                <w:rFonts w:ascii="Arial" w:cs="Arial" w:eastAsia="Arial" w:hAnsi="Arial"/>
                <w:sz w:val="12"/>
                <w:szCs w:val="12"/>
                <w:color w:val="auto"/>
                <w:w w:val="74"/>
              </w:rPr>
              <w:t>20%</w:t>
            </w:r>
          </w:p>
        </w:tc>
        <w:tc>
          <w:tcPr>
            <w:tcW w:w="40" w:type="dxa"/>
            <w:vAlign w:val="bottom"/>
          </w:tcPr>
          <w:p>
            <w:pPr>
              <w:spacing w:after="0"/>
              <w:rPr>
                <w:sz w:val="6"/>
                <w:szCs w:val="6"/>
                <w:color w:val="auto"/>
              </w:rPr>
            </w:pPr>
          </w:p>
        </w:tc>
        <w:tc>
          <w:tcPr>
            <w:tcW w:w="60" w:type="dxa"/>
            <w:vAlign w:val="bottom"/>
            <w:tcBorders>
              <w:right w:val="single" w:sz="8" w:color="8B8683"/>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gridSpan w:val="3"/>
            <w:vMerge w:val="restart"/>
            <w:shd w:val="clear" w:color="auto" w:fill="F78A0B"/>
          </w:tcPr>
          <w:p>
            <w:pPr>
              <w:jc w:val="center"/>
              <w:ind w:right="20"/>
              <w:spacing w:after="0"/>
              <w:rPr>
                <w:sz w:val="20"/>
                <w:szCs w:val="20"/>
                <w:color w:val="auto"/>
              </w:rPr>
            </w:pPr>
            <w:r>
              <w:rPr>
                <w:rFonts w:ascii="Arial" w:cs="Arial" w:eastAsia="Arial" w:hAnsi="Arial"/>
                <w:sz w:val="8"/>
                <w:szCs w:val="8"/>
                <w:color w:val="auto"/>
                <w:w w:val="89"/>
              </w:rPr>
              <w:t>$116</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shd w:val="clear" w:color="auto" w:fill="D8E908"/>
          </w:tcPr>
          <w:p>
            <w:pPr>
              <w:spacing w:after="0"/>
              <w:rPr>
                <w:sz w:val="6"/>
                <w:szCs w:val="6"/>
                <w:color w:val="auto"/>
              </w:rPr>
            </w:pPr>
          </w:p>
        </w:tc>
        <w:tc>
          <w:tcPr>
            <w:tcW w:w="80" w:type="dxa"/>
            <w:vAlign w:val="bottom"/>
            <w:tcBorders>
              <w:right w:val="single" w:sz="8" w:color="D8E908"/>
            </w:tcBorders>
            <w:shd w:val="clear" w:color="auto" w:fill="D8E908"/>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shd w:val="clear" w:color="auto" w:fill="97A198"/>
          </w:tcPr>
          <w:p>
            <w:pPr>
              <w:spacing w:after="0"/>
              <w:rPr>
                <w:sz w:val="6"/>
                <w:szCs w:val="6"/>
                <w:color w:val="auto"/>
              </w:rPr>
            </w:pPr>
          </w:p>
        </w:tc>
        <w:tc>
          <w:tcPr>
            <w:tcW w:w="20" w:type="dxa"/>
            <w:vAlign w:val="bottom"/>
            <w:shd w:val="clear" w:color="auto" w:fill="97A198"/>
          </w:tcPr>
          <w:p>
            <w:pPr>
              <w:spacing w:after="0"/>
              <w:rPr>
                <w:sz w:val="6"/>
                <w:szCs w:val="6"/>
                <w:color w:val="auto"/>
              </w:rPr>
            </w:pPr>
          </w:p>
        </w:tc>
        <w:tc>
          <w:tcPr>
            <w:tcW w:w="80" w:type="dxa"/>
            <w:vAlign w:val="bottom"/>
            <w:shd w:val="clear" w:color="auto" w:fill="97A198"/>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vMerge w:val="restart"/>
          </w:tcPr>
          <w:p>
            <w:pPr>
              <w:jc w:val="center"/>
              <w:ind w:right="1"/>
              <w:spacing w:after="0"/>
              <w:rPr>
                <w:sz w:val="20"/>
                <w:szCs w:val="20"/>
                <w:color w:val="auto"/>
              </w:rPr>
            </w:pPr>
            <w:r>
              <w:rPr>
                <w:rFonts w:ascii="Arial" w:cs="Arial" w:eastAsia="Arial" w:hAnsi="Arial"/>
                <w:sz w:val="12"/>
                <w:szCs w:val="12"/>
                <w:color w:val="auto"/>
                <w:w w:val="97"/>
              </w:rPr>
              <w:t>$115</w:t>
            </w: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3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8B8683"/>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vMerge w:val="continue"/>
            <w:shd w:val="clear" w:color="auto" w:fill="F78A0B"/>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D8E908"/>
          </w:tcPr>
          <w:p>
            <w:pPr>
              <w:spacing w:after="0"/>
              <w:rPr>
                <w:sz w:val="2"/>
                <w:szCs w:val="2"/>
                <w:color w:val="auto"/>
              </w:rPr>
            </w:pPr>
          </w:p>
        </w:tc>
        <w:tc>
          <w:tcPr>
            <w:tcW w:w="80" w:type="dxa"/>
            <w:vAlign w:val="bottom"/>
            <w:tcBorders>
              <w:right w:val="single" w:sz="8" w:color="D8E908"/>
            </w:tcBorders>
            <w:shd w:val="clear" w:color="auto" w:fill="D8E90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97A198"/>
          </w:tcPr>
          <w:p>
            <w:pPr>
              <w:spacing w:after="0"/>
              <w:rPr>
                <w:sz w:val="2"/>
                <w:szCs w:val="2"/>
                <w:color w:val="auto"/>
              </w:rPr>
            </w:pPr>
          </w:p>
        </w:tc>
        <w:tc>
          <w:tcPr>
            <w:tcW w:w="20" w:type="dxa"/>
            <w:vAlign w:val="bottom"/>
            <w:shd w:val="clear" w:color="auto" w:fill="97A198"/>
          </w:tcPr>
          <w:p>
            <w:pPr>
              <w:spacing w:after="0"/>
              <w:rPr>
                <w:sz w:val="2"/>
                <w:szCs w:val="2"/>
                <w:color w:val="auto"/>
              </w:rPr>
            </w:pPr>
          </w:p>
        </w:tc>
        <w:tc>
          <w:tcPr>
            <w:tcW w:w="80" w:type="dxa"/>
            <w:vAlign w:val="bottom"/>
            <w:shd w:val="clear" w:color="auto" w:fill="97A198"/>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300" w:type="dxa"/>
            <w:vAlign w:val="bottom"/>
            <w:vMerge w:val="continue"/>
          </w:tcPr>
          <w:p>
            <w:pPr>
              <w:spacing w:after="0"/>
              <w:rPr>
                <w:sz w:val="6"/>
                <w:szCs w:val="6"/>
                <w:color w:val="auto"/>
              </w:rPr>
            </w:pPr>
          </w:p>
        </w:tc>
        <w:tc>
          <w:tcPr>
            <w:tcW w:w="40" w:type="dxa"/>
            <w:vAlign w:val="bottom"/>
            <w:tcBorders>
              <w:bottom w:val="single" w:sz="8" w:color="8B8683"/>
            </w:tcBorders>
          </w:tcPr>
          <w:p>
            <w:pPr>
              <w:spacing w:after="0"/>
              <w:rPr>
                <w:sz w:val="6"/>
                <w:szCs w:val="6"/>
                <w:color w:val="auto"/>
              </w:rPr>
            </w:pPr>
          </w:p>
        </w:tc>
        <w:tc>
          <w:tcPr>
            <w:tcW w:w="60" w:type="dxa"/>
            <w:vAlign w:val="bottom"/>
            <w:tcBorders>
              <w:bottom w:val="single" w:sz="8" w:color="8B8683"/>
              <w:right w:val="single" w:sz="8" w:color="8B8683"/>
            </w:tcBorders>
          </w:tcPr>
          <w:p>
            <w:pPr>
              <w:spacing w:after="0"/>
              <w:rPr>
                <w:sz w:val="6"/>
                <w:szCs w:val="6"/>
                <w:color w:val="auto"/>
              </w:rPr>
            </w:pPr>
          </w:p>
        </w:tc>
        <w:tc>
          <w:tcPr>
            <w:tcW w:w="140" w:type="dxa"/>
            <w:vAlign w:val="bottom"/>
            <w:tcBorders>
              <w:bottom w:val="single" w:sz="8" w:color="C9C8C2"/>
            </w:tcBorders>
          </w:tcPr>
          <w:p>
            <w:pPr>
              <w:spacing w:after="0"/>
              <w:rPr>
                <w:sz w:val="6"/>
                <w:szCs w:val="6"/>
                <w:color w:val="auto"/>
              </w:rPr>
            </w:pPr>
          </w:p>
        </w:tc>
        <w:tc>
          <w:tcPr>
            <w:tcW w:w="80" w:type="dxa"/>
            <w:vAlign w:val="bottom"/>
            <w:tcBorders>
              <w:bottom w:val="single" w:sz="8" w:color="C9C8C2"/>
            </w:tcBorders>
          </w:tcPr>
          <w:p>
            <w:pPr>
              <w:spacing w:after="0"/>
              <w:rPr>
                <w:sz w:val="6"/>
                <w:szCs w:val="6"/>
                <w:color w:val="auto"/>
              </w:rPr>
            </w:pPr>
          </w:p>
        </w:tc>
        <w:tc>
          <w:tcPr>
            <w:tcW w:w="20" w:type="dxa"/>
            <w:vAlign w:val="bottom"/>
            <w:tcBorders>
              <w:bottom w:val="single" w:sz="8" w:color="C9C8C2"/>
            </w:tcBorders>
          </w:tcPr>
          <w:p>
            <w:pPr>
              <w:spacing w:after="0"/>
              <w:rPr>
                <w:sz w:val="6"/>
                <w:szCs w:val="6"/>
                <w:color w:val="auto"/>
              </w:rPr>
            </w:pPr>
          </w:p>
        </w:tc>
        <w:tc>
          <w:tcPr>
            <w:tcW w:w="80" w:type="dxa"/>
            <w:vAlign w:val="bottom"/>
            <w:tcBorders>
              <w:bottom w:val="single" w:sz="8" w:color="C9C8C2"/>
            </w:tcBorders>
          </w:tcPr>
          <w:p>
            <w:pPr>
              <w:spacing w:after="0"/>
              <w:rPr>
                <w:sz w:val="6"/>
                <w:szCs w:val="6"/>
                <w:color w:val="auto"/>
              </w:rPr>
            </w:pPr>
          </w:p>
        </w:tc>
        <w:tc>
          <w:tcPr>
            <w:tcW w:w="140" w:type="dxa"/>
            <w:vAlign w:val="bottom"/>
            <w:tcBorders>
              <w:bottom w:val="single" w:sz="8" w:color="C9C8C2"/>
            </w:tcBorders>
          </w:tcPr>
          <w:p>
            <w:pPr>
              <w:spacing w:after="0"/>
              <w:rPr>
                <w:sz w:val="6"/>
                <w:szCs w:val="6"/>
                <w:color w:val="auto"/>
              </w:rPr>
            </w:pPr>
          </w:p>
        </w:tc>
        <w:tc>
          <w:tcPr>
            <w:tcW w:w="160" w:type="dxa"/>
            <w:vAlign w:val="bottom"/>
            <w:tcBorders>
              <w:bottom w:val="single" w:sz="8" w:color="C9C8C2"/>
            </w:tcBorders>
          </w:tcPr>
          <w:p>
            <w:pPr>
              <w:spacing w:after="0"/>
              <w:rPr>
                <w:sz w:val="6"/>
                <w:szCs w:val="6"/>
                <w:color w:val="auto"/>
              </w:rPr>
            </w:pPr>
          </w:p>
        </w:tc>
        <w:tc>
          <w:tcPr>
            <w:tcW w:w="80" w:type="dxa"/>
            <w:vAlign w:val="bottom"/>
            <w:tcBorders>
              <w:bottom w:val="single" w:sz="8" w:color="F78A0B"/>
            </w:tcBorders>
            <w:shd w:val="clear" w:color="auto" w:fill="F78A0B"/>
          </w:tcPr>
          <w:p>
            <w:pPr>
              <w:spacing w:after="0"/>
              <w:rPr>
                <w:sz w:val="6"/>
                <w:szCs w:val="6"/>
                <w:color w:val="auto"/>
              </w:rPr>
            </w:pPr>
          </w:p>
        </w:tc>
        <w:tc>
          <w:tcPr>
            <w:tcW w:w="20" w:type="dxa"/>
            <w:vAlign w:val="bottom"/>
            <w:tcBorders>
              <w:bottom w:val="single" w:sz="8" w:color="F78A0B"/>
            </w:tcBorders>
            <w:shd w:val="clear" w:color="auto" w:fill="F78A0B"/>
          </w:tcPr>
          <w:p>
            <w:pPr>
              <w:spacing w:after="0"/>
              <w:rPr>
                <w:sz w:val="6"/>
                <w:szCs w:val="6"/>
                <w:color w:val="auto"/>
              </w:rPr>
            </w:pPr>
          </w:p>
        </w:tc>
        <w:tc>
          <w:tcPr>
            <w:tcW w:w="80" w:type="dxa"/>
            <w:vAlign w:val="bottom"/>
            <w:tcBorders>
              <w:bottom w:val="single" w:sz="8" w:color="F78A0B"/>
            </w:tcBorders>
            <w:shd w:val="clear" w:color="auto" w:fill="F78A0B"/>
          </w:tcPr>
          <w:p>
            <w:pPr>
              <w:spacing w:after="0"/>
              <w:rPr>
                <w:sz w:val="6"/>
                <w:szCs w:val="6"/>
                <w:color w:val="auto"/>
              </w:rPr>
            </w:pPr>
          </w:p>
        </w:tc>
        <w:tc>
          <w:tcPr>
            <w:tcW w:w="140" w:type="dxa"/>
            <w:vAlign w:val="bottom"/>
            <w:tcBorders>
              <w:bottom w:val="single" w:sz="8" w:color="C9C8C2"/>
            </w:tcBorders>
          </w:tcPr>
          <w:p>
            <w:pPr>
              <w:spacing w:after="0"/>
              <w:rPr>
                <w:sz w:val="6"/>
                <w:szCs w:val="6"/>
                <w:color w:val="auto"/>
              </w:rPr>
            </w:pPr>
          </w:p>
        </w:tc>
        <w:tc>
          <w:tcPr>
            <w:tcW w:w="140" w:type="dxa"/>
            <w:vAlign w:val="bottom"/>
            <w:tcBorders>
              <w:bottom w:val="single" w:sz="8" w:color="C9C8C2"/>
            </w:tcBorders>
          </w:tcPr>
          <w:p>
            <w:pPr>
              <w:spacing w:after="0"/>
              <w:rPr>
                <w:sz w:val="6"/>
                <w:szCs w:val="6"/>
                <w:color w:val="auto"/>
              </w:rPr>
            </w:pPr>
          </w:p>
        </w:tc>
        <w:tc>
          <w:tcPr>
            <w:tcW w:w="100" w:type="dxa"/>
            <w:vAlign w:val="bottom"/>
            <w:tcBorders>
              <w:bottom w:val="single" w:sz="8" w:color="D8E908"/>
            </w:tcBorders>
            <w:shd w:val="clear" w:color="auto" w:fill="D8E908"/>
          </w:tcPr>
          <w:p>
            <w:pPr>
              <w:spacing w:after="0"/>
              <w:rPr>
                <w:sz w:val="6"/>
                <w:szCs w:val="6"/>
                <w:color w:val="auto"/>
              </w:rPr>
            </w:pPr>
          </w:p>
        </w:tc>
        <w:tc>
          <w:tcPr>
            <w:tcW w:w="80" w:type="dxa"/>
            <w:vAlign w:val="bottom"/>
            <w:tcBorders>
              <w:bottom w:val="single" w:sz="8" w:color="D8E908"/>
              <w:right w:val="single" w:sz="8" w:color="D8E908"/>
            </w:tcBorders>
            <w:shd w:val="clear" w:color="auto" w:fill="D8E908"/>
          </w:tcPr>
          <w:p>
            <w:pPr>
              <w:spacing w:after="0"/>
              <w:rPr>
                <w:sz w:val="6"/>
                <w:szCs w:val="6"/>
                <w:color w:val="auto"/>
              </w:rPr>
            </w:pPr>
          </w:p>
        </w:tc>
        <w:tc>
          <w:tcPr>
            <w:tcW w:w="160" w:type="dxa"/>
            <w:vAlign w:val="bottom"/>
            <w:tcBorders>
              <w:bottom w:val="single" w:sz="8" w:color="C9C8C2"/>
            </w:tcBorders>
          </w:tcPr>
          <w:p>
            <w:pPr>
              <w:spacing w:after="0"/>
              <w:rPr>
                <w:sz w:val="6"/>
                <w:szCs w:val="6"/>
                <w:color w:val="auto"/>
              </w:rPr>
            </w:pPr>
          </w:p>
        </w:tc>
        <w:tc>
          <w:tcPr>
            <w:tcW w:w="140" w:type="dxa"/>
            <w:vAlign w:val="bottom"/>
            <w:tcBorders>
              <w:bottom w:val="single" w:sz="8" w:color="C9C8C2"/>
            </w:tcBorders>
          </w:tcPr>
          <w:p>
            <w:pPr>
              <w:spacing w:after="0"/>
              <w:rPr>
                <w:sz w:val="6"/>
                <w:szCs w:val="6"/>
                <w:color w:val="auto"/>
              </w:rPr>
            </w:pPr>
          </w:p>
        </w:tc>
        <w:tc>
          <w:tcPr>
            <w:tcW w:w="180" w:type="dxa"/>
            <w:vAlign w:val="bottom"/>
            <w:tcBorders>
              <w:bottom w:val="single" w:sz="8" w:color="97A198"/>
            </w:tcBorders>
            <w:gridSpan w:val="3"/>
            <w:vMerge w:val="restart"/>
            <w:shd w:val="clear" w:color="auto" w:fill="97A198"/>
          </w:tcPr>
          <w:p>
            <w:pPr>
              <w:jc w:val="center"/>
              <w:spacing w:after="0"/>
              <w:rPr>
                <w:sz w:val="20"/>
                <w:szCs w:val="20"/>
                <w:color w:val="auto"/>
              </w:rPr>
            </w:pPr>
            <w:r>
              <w:rPr>
                <w:rFonts w:ascii="Arial" w:cs="Arial" w:eastAsia="Arial" w:hAnsi="Arial"/>
                <w:sz w:val="8"/>
                <w:szCs w:val="8"/>
                <w:color w:val="auto"/>
                <w:w w:val="89"/>
              </w:rPr>
              <w:t>$114</w:t>
            </w:r>
          </w:p>
        </w:tc>
        <w:tc>
          <w:tcPr>
            <w:tcW w:w="220" w:type="dxa"/>
            <w:vAlign w:val="bottom"/>
            <w:tcBorders>
              <w:bottom w:val="single" w:sz="8" w:color="C9C8C2"/>
            </w:tcBorders>
          </w:tcPr>
          <w:p>
            <w:pPr>
              <w:spacing w:after="0"/>
              <w:rPr>
                <w:sz w:val="6"/>
                <w:szCs w:val="6"/>
                <w:color w:val="auto"/>
              </w:rPr>
            </w:pPr>
          </w:p>
        </w:tc>
        <w:tc>
          <w:tcPr>
            <w:tcW w:w="360" w:type="dxa"/>
            <w:vAlign w:val="bottom"/>
            <w:vMerge w:val="continue"/>
          </w:tcPr>
          <w:p>
            <w:pPr>
              <w:spacing w:after="0"/>
              <w:rPr>
                <w:sz w:val="6"/>
                <w:szCs w:val="6"/>
                <w:color w:val="auto"/>
              </w:rPr>
            </w:pPr>
          </w:p>
        </w:tc>
        <w:tc>
          <w:tcPr>
            <w:tcW w:w="160" w:type="dxa"/>
            <w:vAlign w:val="bottom"/>
            <w:vMerge w:val="restart"/>
            <w:textDirection w:val="tbRl"/>
          </w:tcPr>
          <w:p>
            <w:pPr>
              <w:jc w:val="right"/>
              <w:ind w:left="45"/>
              <w:spacing w:after="0"/>
              <w:rPr>
                <w:sz w:val="20"/>
                <w:szCs w:val="20"/>
                <w:color w:val="auto"/>
              </w:rPr>
            </w:pPr>
            <w:r>
              <w:rPr>
                <w:rFonts w:ascii="Arial" w:cs="Arial" w:eastAsia="Arial" w:hAnsi="Arial"/>
                <w:sz w:val="10"/>
                <w:szCs w:val="10"/>
                <w:color w:val="auto"/>
                <w:w w:val="74"/>
              </w:rPr>
              <w:t>($Profit</w:t>
            </w:r>
          </w:p>
        </w:tc>
        <w:tc>
          <w:tcPr>
            <w:tcW w:w="0" w:type="dxa"/>
            <w:vAlign w:val="bottom"/>
          </w:tcPr>
          <w:p>
            <w:pPr>
              <w:spacing w:after="0"/>
              <w:rPr>
                <w:sz w:val="1"/>
                <w:szCs w:val="1"/>
                <w:color w:val="auto"/>
              </w:rPr>
            </w:pPr>
          </w:p>
        </w:tc>
      </w:tr>
      <w:tr>
        <w:trPr>
          <w:trHeight w:val="54"/>
        </w:trPr>
        <w:tc>
          <w:tcPr>
            <w:tcW w:w="3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right w:val="single" w:sz="8" w:color="8B8683"/>
            </w:tcBorders>
          </w:tcPr>
          <w:p>
            <w:pPr>
              <w:spacing w:after="0"/>
              <w:rPr>
                <w:sz w:val="4"/>
                <w:szCs w:val="4"/>
                <w:color w:val="auto"/>
              </w:rPr>
            </w:pPr>
          </w:p>
        </w:tc>
        <w:tc>
          <w:tcPr>
            <w:tcW w:w="460" w:type="dxa"/>
            <w:vAlign w:val="bottom"/>
            <w:gridSpan w:val="5"/>
            <w:vMerge w:val="restart"/>
          </w:tcPr>
          <w:p>
            <w:pPr>
              <w:jc w:val="center"/>
              <w:spacing w:after="0"/>
              <w:rPr>
                <w:sz w:val="20"/>
                <w:szCs w:val="20"/>
                <w:color w:val="auto"/>
              </w:rPr>
            </w:pPr>
            <w:r>
              <w:rPr>
                <w:rFonts w:ascii="Arial" w:cs="Arial" w:eastAsia="Arial" w:hAnsi="Arial"/>
                <w:sz w:val="13"/>
                <w:szCs w:val="13"/>
                <w:color w:val="auto"/>
                <w:w w:val="92"/>
              </w:rPr>
              <w:t>18.8%</w:t>
            </w:r>
          </w:p>
        </w:tc>
        <w:tc>
          <w:tcPr>
            <w:tcW w:w="160" w:type="dxa"/>
            <w:vAlign w:val="bottom"/>
          </w:tcPr>
          <w:p>
            <w:pPr>
              <w:spacing w:after="0"/>
              <w:rPr>
                <w:sz w:val="4"/>
                <w:szCs w:val="4"/>
                <w:color w:val="auto"/>
              </w:rPr>
            </w:pPr>
          </w:p>
        </w:tc>
        <w:tc>
          <w:tcPr>
            <w:tcW w:w="80" w:type="dxa"/>
            <w:vAlign w:val="bottom"/>
            <w:shd w:val="clear" w:color="auto" w:fill="F78A0B"/>
          </w:tcPr>
          <w:p>
            <w:pPr>
              <w:spacing w:after="0"/>
              <w:rPr>
                <w:sz w:val="4"/>
                <w:szCs w:val="4"/>
                <w:color w:val="auto"/>
              </w:rPr>
            </w:pPr>
          </w:p>
        </w:tc>
        <w:tc>
          <w:tcPr>
            <w:tcW w:w="20" w:type="dxa"/>
            <w:vAlign w:val="bottom"/>
            <w:shd w:val="clear" w:color="auto" w:fill="F78A0B"/>
          </w:tcPr>
          <w:p>
            <w:pPr>
              <w:spacing w:after="0"/>
              <w:rPr>
                <w:sz w:val="4"/>
                <w:szCs w:val="4"/>
                <w:color w:val="auto"/>
              </w:rPr>
            </w:pPr>
          </w:p>
        </w:tc>
        <w:tc>
          <w:tcPr>
            <w:tcW w:w="80" w:type="dxa"/>
            <w:vAlign w:val="bottom"/>
            <w:shd w:val="clear" w:color="auto" w:fill="F78A0B"/>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shd w:val="clear" w:color="auto" w:fill="D8E908"/>
          </w:tcPr>
          <w:p>
            <w:pPr>
              <w:spacing w:after="0"/>
              <w:rPr>
                <w:sz w:val="4"/>
                <w:szCs w:val="4"/>
                <w:color w:val="auto"/>
              </w:rPr>
            </w:pPr>
          </w:p>
        </w:tc>
        <w:tc>
          <w:tcPr>
            <w:tcW w:w="80" w:type="dxa"/>
            <w:vAlign w:val="bottom"/>
            <w:tcBorders>
              <w:right w:val="single" w:sz="8" w:color="D8E908"/>
            </w:tcBorders>
            <w:shd w:val="clear" w:color="auto" w:fill="D8E908"/>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gridSpan w:val="3"/>
            <w:vMerge w:val="continue"/>
            <w:shd w:val="clear" w:color="auto" w:fill="97A198"/>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00" w:type="dxa"/>
            <w:vAlign w:val="bottom"/>
          </w:tcPr>
          <w:p>
            <w:pPr>
              <w:jc w:val="right"/>
              <w:ind w:right="41"/>
              <w:spacing w:after="0" w:line="88" w:lineRule="exact"/>
              <w:rPr>
                <w:sz w:val="20"/>
                <w:szCs w:val="20"/>
                <w:color w:val="auto"/>
              </w:rPr>
            </w:pPr>
            <w:r>
              <w:rPr>
                <w:rFonts w:ascii="Arial" w:cs="Arial" w:eastAsia="Arial" w:hAnsi="Arial"/>
                <w:sz w:val="10"/>
                <w:szCs w:val="10"/>
                <w:color w:val="auto"/>
                <w:w w:val="89"/>
              </w:rPr>
              <w:t>18%</w:t>
            </w:r>
          </w:p>
        </w:tc>
        <w:tc>
          <w:tcPr>
            <w:tcW w:w="40" w:type="dxa"/>
            <w:vAlign w:val="bottom"/>
          </w:tcPr>
          <w:p>
            <w:pPr>
              <w:spacing w:after="0"/>
              <w:rPr>
                <w:sz w:val="7"/>
                <w:szCs w:val="7"/>
                <w:color w:val="auto"/>
              </w:rPr>
            </w:pPr>
          </w:p>
        </w:tc>
        <w:tc>
          <w:tcPr>
            <w:tcW w:w="60" w:type="dxa"/>
            <w:vAlign w:val="bottom"/>
            <w:tcBorders>
              <w:right w:val="single" w:sz="8" w:color="8B8683"/>
            </w:tcBorders>
          </w:tcPr>
          <w:p>
            <w:pPr>
              <w:spacing w:after="0"/>
              <w:rPr>
                <w:sz w:val="7"/>
                <w:szCs w:val="7"/>
                <w:color w:val="auto"/>
              </w:rPr>
            </w:pPr>
          </w:p>
        </w:tc>
        <w:tc>
          <w:tcPr>
            <w:tcW w:w="46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shd w:val="clear" w:color="auto" w:fill="F78A0B"/>
          </w:tcPr>
          <w:p>
            <w:pPr>
              <w:spacing w:after="0"/>
              <w:rPr>
                <w:sz w:val="7"/>
                <w:szCs w:val="7"/>
                <w:color w:val="auto"/>
              </w:rPr>
            </w:pPr>
          </w:p>
        </w:tc>
        <w:tc>
          <w:tcPr>
            <w:tcW w:w="20" w:type="dxa"/>
            <w:vAlign w:val="bottom"/>
            <w:shd w:val="clear" w:color="auto" w:fill="F78A0B"/>
          </w:tcPr>
          <w:p>
            <w:pPr>
              <w:spacing w:after="0"/>
              <w:rPr>
                <w:sz w:val="7"/>
                <w:szCs w:val="7"/>
                <w:color w:val="auto"/>
              </w:rPr>
            </w:pPr>
          </w:p>
        </w:tc>
        <w:tc>
          <w:tcPr>
            <w:tcW w:w="80" w:type="dxa"/>
            <w:vAlign w:val="bottom"/>
            <w:shd w:val="clear" w:color="auto" w:fill="F78A0B"/>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shd w:val="clear" w:color="auto" w:fill="D8E908"/>
          </w:tcPr>
          <w:p>
            <w:pPr>
              <w:spacing w:after="0"/>
              <w:rPr>
                <w:sz w:val="7"/>
                <w:szCs w:val="7"/>
                <w:color w:val="auto"/>
              </w:rPr>
            </w:pPr>
          </w:p>
        </w:tc>
        <w:tc>
          <w:tcPr>
            <w:tcW w:w="80" w:type="dxa"/>
            <w:vAlign w:val="bottom"/>
            <w:tcBorders>
              <w:right w:val="single" w:sz="8" w:color="D8E908"/>
            </w:tcBorders>
            <w:shd w:val="clear" w:color="auto" w:fill="D8E908"/>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shd w:val="clear" w:color="auto" w:fill="97A198"/>
          </w:tcPr>
          <w:p>
            <w:pPr>
              <w:spacing w:after="0"/>
              <w:rPr>
                <w:sz w:val="7"/>
                <w:szCs w:val="7"/>
                <w:color w:val="auto"/>
              </w:rPr>
            </w:pPr>
          </w:p>
        </w:tc>
        <w:tc>
          <w:tcPr>
            <w:tcW w:w="20" w:type="dxa"/>
            <w:vAlign w:val="bottom"/>
            <w:shd w:val="clear" w:color="auto" w:fill="97A198"/>
          </w:tcPr>
          <w:p>
            <w:pPr>
              <w:spacing w:after="0"/>
              <w:rPr>
                <w:sz w:val="7"/>
                <w:szCs w:val="7"/>
                <w:color w:val="auto"/>
              </w:rPr>
            </w:pPr>
          </w:p>
        </w:tc>
        <w:tc>
          <w:tcPr>
            <w:tcW w:w="80" w:type="dxa"/>
            <w:vAlign w:val="bottom"/>
            <w:shd w:val="clear" w:color="auto" w:fill="97A198"/>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jc w:val="center"/>
              <w:ind w:right="1"/>
              <w:spacing w:after="0" w:line="88" w:lineRule="exact"/>
              <w:rPr>
                <w:sz w:val="20"/>
                <w:szCs w:val="20"/>
                <w:color w:val="auto"/>
              </w:rPr>
            </w:pPr>
            <w:r>
              <w:rPr>
                <w:rFonts w:ascii="Arial" w:cs="Arial" w:eastAsia="Arial" w:hAnsi="Arial"/>
                <w:sz w:val="10"/>
                <w:szCs w:val="10"/>
                <w:color w:val="auto"/>
              </w:rPr>
              <w:t>$100</w:t>
            </w: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8B8683"/>
            </w:tcBorders>
          </w:tcPr>
          <w:p>
            <w:pPr>
              <w:spacing w:after="0"/>
              <w:rPr>
                <w:sz w:val="2"/>
                <w:szCs w:val="2"/>
                <w:color w:val="auto"/>
              </w:rPr>
            </w:pPr>
          </w:p>
        </w:tc>
        <w:tc>
          <w:tcPr>
            <w:tcW w:w="460" w:type="dxa"/>
            <w:vAlign w:val="bottom"/>
            <w:gridSpan w:val="5"/>
            <w:vMerge w:val="continu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F78A0B"/>
          </w:tcPr>
          <w:p>
            <w:pPr>
              <w:spacing w:after="0"/>
              <w:rPr>
                <w:sz w:val="2"/>
                <w:szCs w:val="2"/>
                <w:color w:val="auto"/>
              </w:rPr>
            </w:pPr>
          </w:p>
        </w:tc>
        <w:tc>
          <w:tcPr>
            <w:tcW w:w="20" w:type="dxa"/>
            <w:vAlign w:val="bottom"/>
            <w:shd w:val="clear" w:color="auto" w:fill="F78A0B"/>
          </w:tcPr>
          <w:p>
            <w:pPr>
              <w:spacing w:after="0"/>
              <w:rPr>
                <w:sz w:val="2"/>
                <w:szCs w:val="2"/>
                <w:color w:val="auto"/>
              </w:rPr>
            </w:pPr>
          </w:p>
        </w:tc>
        <w:tc>
          <w:tcPr>
            <w:tcW w:w="80" w:type="dxa"/>
            <w:vAlign w:val="bottom"/>
            <w:shd w:val="clear" w:color="auto" w:fill="F78A0B"/>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D8E908"/>
          </w:tcPr>
          <w:p>
            <w:pPr>
              <w:spacing w:after="0"/>
              <w:rPr>
                <w:sz w:val="2"/>
                <w:szCs w:val="2"/>
                <w:color w:val="auto"/>
              </w:rPr>
            </w:pPr>
          </w:p>
        </w:tc>
        <w:tc>
          <w:tcPr>
            <w:tcW w:w="80" w:type="dxa"/>
            <w:vAlign w:val="bottom"/>
            <w:tcBorders>
              <w:right w:val="single" w:sz="8" w:color="D8E908"/>
            </w:tcBorders>
            <w:shd w:val="clear" w:color="auto" w:fill="D8E908"/>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97A198"/>
          </w:tcPr>
          <w:p>
            <w:pPr>
              <w:spacing w:after="0"/>
              <w:rPr>
                <w:sz w:val="2"/>
                <w:szCs w:val="2"/>
                <w:color w:val="auto"/>
              </w:rPr>
            </w:pPr>
          </w:p>
        </w:tc>
        <w:tc>
          <w:tcPr>
            <w:tcW w:w="20" w:type="dxa"/>
            <w:vAlign w:val="bottom"/>
            <w:shd w:val="clear" w:color="auto" w:fill="97A198"/>
          </w:tcPr>
          <w:p>
            <w:pPr>
              <w:spacing w:after="0"/>
              <w:rPr>
                <w:sz w:val="2"/>
                <w:szCs w:val="2"/>
                <w:color w:val="auto"/>
              </w:rPr>
            </w:pPr>
          </w:p>
        </w:tc>
        <w:tc>
          <w:tcPr>
            <w:tcW w:w="80" w:type="dxa"/>
            <w:vAlign w:val="bottom"/>
            <w:shd w:val="clear" w:color="auto" w:fill="97A198"/>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300" w:type="dxa"/>
            <w:vAlign w:val="bottom"/>
            <w:vMerge w:val="restart"/>
          </w:tcPr>
          <w:p>
            <w:pPr>
              <w:jc w:val="right"/>
              <w:ind w:right="41"/>
              <w:spacing w:after="0"/>
              <w:rPr>
                <w:sz w:val="20"/>
                <w:szCs w:val="20"/>
                <w:color w:val="auto"/>
              </w:rPr>
            </w:pPr>
            <w:r>
              <w:rPr>
                <w:rFonts w:ascii="Arial" w:cs="Arial" w:eastAsia="Arial" w:hAnsi="Arial"/>
                <w:sz w:val="12"/>
                <w:szCs w:val="12"/>
                <w:color w:val="auto"/>
                <w:w w:val="74"/>
              </w:rPr>
              <w:t>14%</w:t>
            </w:r>
          </w:p>
        </w:tc>
        <w:tc>
          <w:tcPr>
            <w:tcW w:w="40" w:type="dxa"/>
            <w:vAlign w:val="bottom"/>
            <w:tcBorders>
              <w:bottom w:val="single" w:sz="8" w:color="8B8683"/>
            </w:tcBorders>
          </w:tcPr>
          <w:p>
            <w:pPr>
              <w:spacing w:after="0"/>
              <w:rPr>
                <w:sz w:val="10"/>
                <w:szCs w:val="10"/>
                <w:color w:val="auto"/>
              </w:rPr>
            </w:pPr>
          </w:p>
        </w:tc>
        <w:tc>
          <w:tcPr>
            <w:tcW w:w="60" w:type="dxa"/>
            <w:vAlign w:val="bottom"/>
            <w:tcBorders>
              <w:bottom w:val="single" w:sz="8" w:color="8B8683"/>
              <w:right w:val="single" w:sz="8" w:color="8B8683"/>
            </w:tcBorders>
          </w:tcPr>
          <w:p>
            <w:pPr>
              <w:spacing w:after="0"/>
              <w:rPr>
                <w:sz w:val="10"/>
                <w:szCs w:val="10"/>
                <w:color w:val="auto"/>
              </w:rPr>
            </w:pPr>
          </w:p>
        </w:tc>
        <w:tc>
          <w:tcPr>
            <w:tcW w:w="140" w:type="dxa"/>
            <w:vAlign w:val="bottom"/>
            <w:tcBorders>
              <w:bottom w:val="single" w:sz="8" w:color="C9C8C2"/>
            </w:tcBorders>
          </w:tcPr>
          <w:p>
            <w:pPr>
              <w:spacing w:after="0"/>
              <w:rPr>
                <w:sz w:val="10"/>
                <w:szCs w:val="10"/>
                <w:color w:val="auto"/>
              </w:rPr>
            </w:pPr>
          </w:p>
        </w:tc>
        <w:tc>
          <w:tcPr>
            <w:tcW w:w="80" w:type="dxa"/>
            <w:vAlign w:val="bottom"/>
            <w:tcBorders>
              <w:bottom w:val="single" w:sz="8" w:color="C00015"/>
            </w:tcBorders>
            <w:shd w:val="clear" w:color="auto" w:fill="C00015"/>
          </w:tcPr>
          <w:p>
            <w:pPr>
              <w:spacing w:after="0"/>
              <w:rPr>
                <w:sz w:val="10"/>
                <w:szCs w:val="10"/>
                <w:color w:val="auto"/>
              </w:rPr>
            </w:pPr>
          </w:p>
        </w:tc>
        <w:tc>
          <w:tcPr>
            <w:tcW w:w="20" w:type="dxa"/>
            <w:vAlign w:val="bottom"/>
            <w:tcBorders>
              <w:bottom w:val="single" w:sz="8" w:color="C00015"/>
            </w:tcBorders>
            <w:shd w:val="clear" w:color="auto" w:fill="C00015"/>
          </w:tcPr>
          <w:p>
            <w:pPr>
              <w:spacing w:after="0"/>
              <w:rPr>
                <w:sz w:val="10"/>
                <w:szCs w:val="10"/>
                <w:color w:val="auto"/>
              </w:rPr>
            </w:pPr>
          </w:p>
        </w:tc>
        <w:tc>
          <w:tcPr>
            <w:tcW w:w="80" w:type="dxa"/>
            <w:vAlign w:val="bottom"/>
            <w:tcBorders>
              <w:bottom w:val="single" w:sz="8" w:color="C00015"/>
            </w:tcBorders>
            <w:shd w:val="clear" w:color="auto" w:fill="C00015"/>
          </w:tcPr>
          <w:p>
            <w:pPr>
              <w:spacing w:after="0"/>
              <w:rPr>
                <w:sz w:val="10"/>
                <w:szCs w:val="10"/>
                <w:color w:val="auto"/>
              </w:rPr>
            </w:pPr>
          </w:p>
        </w:tc>
        <w:tc>
          <w:tcPr>
            <w:tcW w:w="140" w:type="dxa"/>
            <w:vAlign w:val="bottom"/>
            <w:tcBorders>
              <w:bottom w:val="single" w:sz="8" w:color="C9C8C2"/>
            </w:tcBorders>
          </w:tcPr>
          <w:p>
            <w:pPr>
              <w:spacing w:after="0"/>
              <w:rPr>
                <w:sz w:val="10"/>
                <w:szCs w:val="10"/>
                <w:color w:val="auto"/>
              </w:rPr>
            </w:pPr>
          </w:p>
        </w:tc>
        <w:tc>
          <w:tcPr>
            <w:tcW w:w="160" w:type="dxa"/>
            <w:vAlign w:val="bottom"/>
            <w:tcBorders>
              <w:bottom w:val="single" w:sz="8" w:color="C9C8C2"/>
            </w:tcBorders>
          </w:tcPr>
          <w:p>
            <w:pPr>
              <w:spacing w:after="0"/>
              <w:rPr>
                <w:sz w:val="10"/>
                <w:szCs w:val="10"/>
                <w:color w:val="auto"/>
              </w:rPr>
            </w:pPr>
          </w:p>
        </w:tc>
        <w:tc>
          <w:tcPr>
            <w:tcW w:w="80" w:type="dxa"/>
            <w:vAlign w:val="bottom"/>
            <w:tcBorders>
              <w:bottom w:val="single" w:sz="8" w:color="F78A0B"/>
            </w:tcBorders>
            <w:shd w:val="clear" w:color="auto" w:fill="F78A0B"/>
          </w:tcPr>
          <w:p>
            <w:pPr>
              <w:spacing w:after="0"/>
              <w:rPr>
                <w:sz w:val="10"/>
                <w:szCs w:val="10"/>
                <w:color w:val="auto"/>
              </w:rPr>
            </w:pPr>
          </w:p>
        </w:tc>
        <w:tc>
          <w:tcPr>
            <w:tcW w:w="20" w:type="dxa"/>
            <w:vAlign w:val="bottom"/>
            <w:tcBorders>
              <w:bottom w:val="single" w:sz="8" w:color="F78A0B"/>
            </w:tcBorders>
            <w:shd w:val="clear" w:color="auto" w:fill="F78A0B"/>
          </w:tcPr>
          <w:p>
            <w:pPr>
              <w:spacing w:after="0"/>
              <w:rPr>
                <w:sz w:val="10"/>
                <w:szCs w:val="10"/>
                <w:color w:val="auto"/>
              </w:rPr>
            </w:pPr>
          </w:p>
        </w:tc>
        <w:tc>
          <w:tcPr>
            <w:tcW w:w="80" w:type="dxa"/>
            <w:vAlign w:val="bottom"/>
            <w:tcBorders>
              <w:bottom w:val="single" w:sz="8" w:color="F78A0B"/>
            </w:tcBorders>
            <w:shd w:val="clear" w:color="auto" w:fill="F78A0B"/>
          </w:tcPr>
          <w:p>
            <w:pPr>
              <w:spacing w:after="0"/>
              <w:rPr>
                <w:sz w:val="10"/>
                <w:szCs w:val="10"/>
                <w:color w:val="auto"/>
              </w:rPr>
            </w:pPr>
          </w:p>
        </w:tc>
        <w:tc>
          <w:tcPr>
            <w:tcW w:w="140" w:type="dxa"/>
            <w:vAlign w:val="bottom"/>
            <w:tcBorders>
              <w:bottom w:val="single" w:sz="8" w:color="C9C8C2"/>
            </w:tcBorders>
          </w:tcPr>
          <w:p>
            <w:pPr>
              <w:spacing w:after="0"/>
              <w:rPr>
                <w:sz w:val="10"/>
                <w:szCs w:val="10"/>
                <w:color w:val="auto"/>
              </w:rPr>
            </w:pPr>
          </w:p>
        </w:tc>
        <w:tc>
          <w:tcPr>
            <w:tcW w:w="140" w:type="dxa"/>
            <w:vAlign w:val="bottom"/>
            <w:tcBorders>
              <w:bottom w:val="single" w:sz="8" w:color="C9C8C2"/>
            </w:tcBorders>
          </w:tcPr>
          <w:p>
            <w:pPr>
              <w:spacing w:after="0"/>
              <w:rPr>
                <w:sz w:val="10"/>
                <w:szCs w:val="10"/>
                <w:color w:val="auto"/>
              </w:rPr>
            </w:pPr>
          </w:p>
        </w:tc>
        <w:tc>
          <w:tcPr>
            <w:tcW w:w="100" w:type="dxa"/>
            <w:vAlign w:val="bottom"/>
            <w:tcBorders>
              <w:bottom w:val="single" w:sz="8" w:color="D8E908"/>
            </w:tcBorders>
            <w:shd w:val="clear" w:color="auto" w:fill="D8E908"/>
          </w:tcPr>
          <w:p>
            <w:pPr>
              <w:spacing w:after="0"/>
              <w:rPr>
                <w:sz w:val="10"/>
                <w:szCs w:val="10"/>
                <w:color w:val="auto"/>
              </w:rPr>
            </w:pPr>
          </w:p>
        </w:tc>
        <w:tc>
          <w:tcPr>
            <w:tcW w:w="80" w:type="dxa"/>
            <w:vAlign w:val="bottom"/>
            <w:tcBorders>
              <w:bottom w:val="single" w:sz="8" w:color="D8E908"/>
              <w:right w:val="single" w:sz="8" w:color="D8E908"/>
            </w:tcBorders>
            <w:shd w:val="clear" w:color="auto" w:fill="D8E908"/>
          </w:tcPr>
          <w:p>
            <w:pPr>
              <w:spacing w:after="0"/>
              <w:rPr>
                <w:sz w:val="10"/>
                <w:szCs w:val="10"/>
                <w:color w:val="auto"/>
              </w:rPr>
            </w:pPr>
          </w:p>
        </w:tc>
        <w:tc>
          <w:tcPr>
            <w:tcW w:w="160" w:type="dxa"/>
            <w:vAlign w:val="bottom"/>
            <w:tcBorders>
              <w:bottom w:val="single" w:sz="8" w:color="C9C8C2"/>
            </w:tcBorders>
          </w:tcPr>
          <w:p>
            <w:pPr>
              <w:spacing w:after="0"/>
              <w:rPr>
                <w:sz w:val="10"/>
                <w:szCs w:val="10"/>
                <w:color w:val="auto"/>
              </w:rPr>
            </w:pPr>
          </w:p>
        </w:tc>
        <w:tc>
          <w:tcPr>
            <w:tcW w:w="140" w:type="dxa"/>
            <w:vAlign w:val="bottom"/>
            <w:tcBorders>
              <w:bottom w:val="single" w:sz="8" w:color="C9C8C2"/>
            </w:tcBorders>
          </w:tcPr>
          <w:p>
            <w:pPr>
              <w:spacing w:after="0"/>
              <w:rPr>
                <w:sz w:val="10"/>
                <w:szCs w:val="10"/>
                <w:color w:val="auto"/>
              </w:rPr>
            </w:pPr>
          </w:p>
        </w:tc>
        <w:tc>
          <w:tcPr>
            <w:tcW w:w="80" w:type="dxa"/>
            <w:vAlign w:val="bottom"/>
            <w:tcBorders>
              <w:bottom w:val="single" w:sz="8" w:color="97A198"/>
            </w:tcBorders>
            <w:shd w:val="clear" w:color="auto" w:fill="97A198"/>
          </w:tcPr>
          <w:p>
            <w:pPr>
              <w:spacing w:after="0"/>
              <w:rPr>
                <w:sz w:val="10"/>
                <w:szCs w:val="10"/>
                <w:color w:val="auto"/>
              </w:rPr>
            </w:pPr>
          </w:p>
        </w:tc>
        <w:tc>
          <w:tcPr>
            <w:tcW w:w="20" w:type="dxa"/>
            <w:vAlign w:val="bottom"/>
            <w:tcBorders>
              <w:bottom w:val="single" w:sz="8" w:color="97A198"/>
            </w:tcBorders>
            <w:shd w:val="clear" w:color="auto" w:fill="97A198"/>
          </w:tcPr>
          <w:p>
            <w:pPr>
              <w:spacing w:after="0"/>
              <w:rPr>
                <w:sz w:val="10"/>
                <w:szCs w:val="10"/>
                <w:color w:val="auto"/>
              </w:rPr>
            </w:pPr>
          </w:p>
        </w:tc>
        <w:tc>
          <w:tcPr>
            <w:tcW w:w="80" w:type="dxa"/>
            <w:vAlign w:val="bottom"/>
            <w:tcBorders>
              <w:bottom w:val="single" w:sz="8" w:color="97A198"/>
            </w:tcBorders>
            <w:shd w:val="clear" w:color="auto" w:fill="97A198"/>
          </w:tcPr>
          <w:p>
            <w:pPr>
              <w:spacing w:after="0"/>
              <w:rPr>
                <w:sz w:val="10"/>
                <w:szCs w:val="10"/>
                <w:color w:val="auto"/>
              </w:rPr>
            </w:pPr>
          </w:p>
        </w:tc>
        <w:tc>
          <w:tcPr>
            <w:tcW w:w="220" w:type="dxa"/>
            <w:vAlign w:val="bottom"/>
            <w:tcBorders>
              <w:bottom w:val="single" w:sz="8" w:color="C9C8C2"/>
            </w:tcBorders>
          </w:tcPr>
          <w:p>
            <w:pPr>
              <w:spacing w:after="0"/>
              <w:rPr>
                <w:sz w:val="10"/>
                <w:szCs w:val="10"/>
                <w:color w:val="auto"/>
              </w:rPr>
            </w:pPr>
          </w:p>
        </w:tc>
        <w:tc>
          <w:tcPr>
            <w:tcW w:w="360" w:type="dxa"/>
            <w:vAlign w:val="bottom"/>
            <w:vMerge w:val="restart"/>
          </w:tcPr>
          <w:p>
            <w:pPr>
              <w:jc w:val="center"/>
              <w:ind w:right="1"/>
              <w:spacing w:after="0"/>
              <w:rPr>
                <w:sz w:val="20"/>
                <w:szCs w:val="20"/>
                <w:color w:val="auto"/>
              </w:rPr>
            </w:pPr>
            <w:r>
              <w:rPr>
                <w:rFonts w:ascii="Arial" w:cs="Arial" w:eastAsia="Arial" w:hAnsi="Arial"/>
                <w:sz w:val="12"/>
                <w:szCs w:val="12"/>
                <w:color w:val="auto"/>
                <w:w w:val="89"/>
              </w:rPr>
              <w:t>$90</w:t>
            </w:r>
          </w:p>
        </w:tc>
        <w:tc>
          <w:tcPr>
            <w:tcW w:w="160" w:type="dxa"/>
            <w:vAlign w:val="bottom"/>
            <w:vMerge w:val="restart"/>
            <w:textDirection w:val="tbRl"/>
          </w:tcPr>
          <w:p>
            <w:pPr>
              <w:jc w:val="right"/>
              <w:ind w:left="34"/>
              <w:spacing w:after="0"/>
              <w:rPr>
                <w:sz w:val="20"/>
                <w:szCs w:val="20"/>
                <w:color w:val="auto"/>
              </w:rPr>
            </w:pPr>
            <w:r>
              <w:rPr>
                <w:rFonts w:ascii="Arial" w:cs="Arial" w:eastAsia="Arial" w:hAnsi="Arial"/>
                <w:sz w:val="11"/>
                <w:szCs w:val="11"/>
                <w:color w:val="auto"/>
                <w:w w:val="92"/>
              </w:rPr>
              <w:t>in</w:t>
            </w:r>
          </w:p>
        </w:tc>
        <w:tc>
          <w:tcPr>
            <w:tcW w:w="0" w:type="dxa"/>
            <w:vAlign w:val="bottom"/>
          </w:tcPr>
          <w:p>
            <w:pPr>
              <w:spacing w:after="0"/>
              <w:rPr>
                <w:sz w:val="1"/>
                <w:szCs w:val="1"/>
                <w:color w:val="auto"/>
              </w:rPr>
            </w:pPr>
          </w:p>
        </w:tc>
      </w:tr>
      <w:tr>
        <w:trPr>
          <w:trHeight w:val="177"/>
        </w:trPr>
        <w:tc>
          <w:tcPr>
            <w:tcW w:w="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8B8683"/>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C00015"/>
          </w:tcPr>
          <w:p>
            <w:pPr>
              <w:spacing w:after="0"/>
              <w:rPr>
                <w:sz w:val="15"/>
                <w:szCs w:val="15"/>
                <w:color w:val="auto"/>
              </w:rPr>
            </w:pPr>
          </w:p>
        </w:tc>
        <w:tc>
          <w:tcPr>
            <w:tcW w:w="20" w:type="dxa"/>
            <w:vAlign w:val="bottom"/>
            <w:shd w:val="clear" w:color="auto" w:fill="C00015"/>
          </w:tcPr>
          <w:p>
            <w:pPr>
              <w:spacing w:after="0"/>
              <w:rPr>
                <w:sz w:val="15"/>
                <w:szCs w:val="15"/>
                <w:color w:val="auto"/>
              </w:rPr>
            </w:pPr>
          </w:p>
        </w:tc>
        <w:tc>
          <w:tcPr>
            <w:tcW w:w="80" w:type="dxa"/>
            <w:vAlign w:val="bottom"/>
            <w:shd w:val="clear" w:color="auto" w:fill="C0001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shd w:val="clear" w:color="auto" w:fill="F78A0B"/>
          </w:tcPr>
          <w:p>
            <w:pPr>
              <w:spacing w:after="0"/>
              <w:rPr>
                <w:sz w:val="15"/>
                <w:szCs w:val="15"/>
                <w:color w:val="auto"/>
              </w:rPr>
            </w:pPr>
          </w:p>
        </w:tc>
        <w:tc>
          <w:tcPr>
            <w:tcW w:w="20" w:type="dxa"/>
            <w:vAlign w:val="bottom"/>
            <w:shd w:val="clear" w:color="auto" w:fill="F78A0B"/>
          </w:tcPr>
          <w:p>
            <w:pPr>
              <w:spacing w:after="0"/>
              <w:rPr>
                <w:sz w:val="15"/>
                <w:szCs w:val="15"/>
                <w:color w:val="auto"/>
              </w:rPr>
            </w:pPr>
          </w:p>
        </w:tc>
        <w:tc>
          <w:tcPr>
            <w:tcW w:w="80" w:type="dxa"/>
            <w:vAlign w:val="bottom"/>
            <w:shd w:val="clear" w:color="auto" w:fill="F78A0B"/>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shd w:val="clear" w:color="auto" w:fill="D8E908"/>
          </w:tcPr>
          <w:p>
            <w:pPr>
              <w:spacing w:after="0"/>
              <w:rPr>
                <w:sz w:val="15"/>
                <w:szCs w:val="15"/>
                <w:color w:val="auto"/>
              </w:rPr>
            </w:pPr>
          </w:p>
        </w:tc>
        <w:tc>
          <w:tcPr>
            <w:tcW w:w="80" w:type="dxa"/>
            <w:vAlign w:val="bottom"/>
            <w:tcBorders>
              <w:right w:val="single" w:sz="8" w:color="D8E908"/>
            </w:tcBorders>
            <w:shd w:val="clear" w:color="auto" w:fill="D8E908"/>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shd w:val="clear" w:color="auto" w:fill="97A198"/>
          </w:tcPr>
          <w:p>
            <w:pPr>
              <w:spacing w:after="0"/>
              <w:rPr>
                <w:sz w:val="15"/>
                <w:szCs w:val="15"/>
                <w:color w:val="auto"/>
              </w:rPr>
            </w:pPr>
          </w:p>
        </w:tc>
        <w:tc>
          <w:tcPr>
            <w:tcW w:w="20" w:type="dxa"/>
            <w:vAlign w:val="bottom"/>
            <w:shd w:val="clear" w:color="auto" w:fill="97A198"/>
          </w:tcPr>
          <w:p>
            <w:pPr>
              <w:spacing w:after="0"/>
              <w:rPr>
                <w:sz w:val="15"/>
                <w:szCs w:val="15"/>
                <w:color w:val="auto"/>
              </w:rPr>
            </w:pPr>
          </w:p>
        </w:tc>
        <w:tc>
          <w:tcPr>
            <w:tcW w:w="80" w:type="dxa"/>
            <w:vAlign w:val="bottom"/>
            <w:shd w:val="clear" w:color="auto" w:fill="97A198"/>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3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right w:val="single" w:sz="8" w:color="8B8683"/>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C00015"/>
          </w:tcPr>
          <w:p>
            <w:pPr>
              <w:spacing w:after="0"/>
              <w:rPr>
                <w:sz w:val="5"/>
                <w:szCs w:val="5"/>
                <w:color w:val="auto"/>
              </w:rPr>
            </w:pPr>
          </w:p>
        </w:tc>
        <w:tc>
          <w:tcPr>
            <w:tcW w:w="20" w:type="dxa"/>
            <w:vAlign w:val="bottom"/>
            <w:shd w:val="clear" w:color="auto" w:fill="C00015"/>
          </w:tcPr>
          <w:p>
            <w:pPr>
              <w:spacing w:after="0"/>
              <w:rPr>
                <w:sz w:val="5"/>
                <w:szCs w:val="5"/>
                <w:color w:val="auto"/>
              </w:rPr>
            </w:pPr>
          </w:p>
        </w:tc>
        <w:tc>
          <w:tcPr>
            <w:tcW w:w="80" w:type="dxa"/>
            <w:vAlign w:val="bottom"/>
            <w:shd w:val="clear" w:color="auto" w:fill="C00015"/>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F78A0B"/>
          </w:tcPr>
          <w:p>
            <w:pPr>
              <w:spacing w:after="0"/>
              <w:rPr>
                <w:sz w:val="5"/>
                <w:szCs w:val="5"/>
                <w:color w:val="auto"/>
              </w:rPr>
            </w:pPr>
          </w:p>
        </w:tc>
        <w:tc>
          <w:tcPr>
            <w:tcW w:w="20" w:type="dxa"/>
            <w:vAlign w:val="bottom"/>
            <w:shd w:val="clear" w:color="auto" w:fill="F78A0B"/>
          </w:tcPr>
          <w:p>
            <w:pPr>
              <w:spacing w:after="0"/>
              <w:rPr>
                <w:sz w:val="5"/>
                <w:szCs w:val="5"/>
                <w:color w:val="auto"/>
              </w:rPr>
            </w:pPr>
          </w:p>
        </w:tc>
        <w:tc>
          <w:tcPr>
            <w:tcW w:w="80" w:type="dxa"/>
            <w:vAlign w:val="bottom"/>
            <w:shd w:val="clear" w:color="auto" w:fill="F78A0B"/>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D8E908"/>
          </w:tcPr>
          <w:p>
            <w:pPr>
              <w:spacing w:after="0"/>
              <w:rPr>
                <w:sz w:val="5"/>
                <w:szCs w:val="5"/>
                <w:color w:val="auto"/>
              </w:rPr>
            </w:pPr>
          </w:p>
        </w:tc>
        <w:tc>
          <w:tcPr>
            <w:tcW w:w="80" w:type="dxa"/>
            <w:vAlign w:val="bottom"/>
            <w:tcBorders>
              <w:right w:val="single" w:sz="8" w:color="D8E908"/>
            </w:tcBorders>
            <w:shd w:val="clear" w:color="auto" w:fill="D8E908"/>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97A198"/>
          </w:tcPr>
          <w:p>
            <w:pPr>
              <w:spacing w:after="0"/>
              <w:rPr>
                <w:sz w:val="5"/>
                <w:szCs w:val="5"/>
                <w:color w:val="auto"/>
              </w:rPr>
            </w:pPr>
          </w:p>
        </w:tc>
        <w:tc>
          <w:tcPr>
            <w:tcW w:w="20" w:type="dxa"/>
            <w:vAlign w:val="bottom"/>
            <w:shd w:val="clear" w:color="auto" w:fill="97A198"/>
          </w:tcPr>
          <w:p>
            <w:pPr>
              <w:spacing w:after="0"/>
              <w:rPr>
                <w:sz w:val="5"/>
                <w:szCs w:val="5"/>
                <w:color w:val="auto"/>
              </w:rPr>
            </w:pPr>
          </w:p>
        </w:tc>
        <w:tc>
          <w:tcPr>
            <w:tcW w:w="80" w:type="dxa"/>
            <w:vAlign w:val="bottom"/>
            <w:shd w:val="clear" w:color="auto" w:fill="97A198"/>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60" w:type="dxa"/>
            <w:vAlign w:val="bottom"/>
            <w:textDirection w:val="tbRl"/>
          </w:tcPr>
          <w:p>
            <w:pPr>
              <w:jc w:val="right"/>
              <w:ind w:left="137"/>
              <w:spacing w:after="0"/>
              <w:rPr>
                <w:sz w:val="20"/>
                <w:szCs w:val="20"/>
                <w:color w:val="auto"/>
              </w:rPr>
            </w:pPr>
            <w:r>
              <w:rPr>
                <w:rFonts w:ascii="Arial" w:cs="Arial" w:eastAsia="Arial" w:hAnsi="Arial"/>
                <w:sz w:val="2"/>
                <w:szCs w:val="2"/>
                <w:color w:val="auto"/>
                <w:w w:val="81"/>
              </w:rPr>
              <w:t>millions)</w:t>
            </w:r>
          </w:p>
        </w:tc>
        <w:tc>
          <w:tcPr>
            <w:tcW w:w="0" w:type="dxa"/>
            <w:vAlign w:val="bottom"/>
          </w:tcPr>
          <w:p>
            <w:pPr>
              <w:spacing w:after="0"/>
              <w:rPr>
                <w:sz w:val="1"/>
                <w:szCs w:val="1"/>
                <w:color w:val="auto"/>
              </w:rPr>
            </w:pPr>
          </w:p>
        </w:tc>
      </w:tr>
      <w:tr>
        <w:trPr>
          <w:trHeight w:val="51"/>
        </w:trPr>
        <w:tc>
          <w:tcPr>
            <w:tcW w:w="300" w:type="dxa"/>
            <w:vAlign w:val="bottom"/>
            <w:vMerge w:val="restart"/>
          </w:tcPr>
          <w:p>
            <w:pPr>
              <w:jc w:val="right"/>
              <w:ind w:right="41"/>
              <w:spacing w:after="0"/>
              <w:rPr>
                <w:sz w:val="20"/>
                <w:szCs w:val="20"/>
                <w:color w:val="auto"/>
              </w:rPr>
            </w:pPr>
            <w:r>
              <w:rPr>
                <w:rFonts w:ascii="Arial" w:cs="Arial" w:eastAsia="Arial" w:hAnsi="Arial"/>
                <w:sz w:val="12"/>
                <w:szCs w:val="12"/>
                <w:color w:val="auto"/>
                <w:w w:val="74"/>
              </w:rPr>
              <w:t>16%</w:t>
            </w:r>
          </w:p>
        </w:tc>
        <w:tc>
          <w:tcPr>
            <w:tcW w:w="40" w:type="dxa"/>
            <w:vAlign w:val="bottom"/>
            <w:tcBorders>
              <w:bottom w:val="single" w:sz="8" w:color="8B8683"/>
            </w:tcBorders>
          </w:tcPr>
          <w:p>
            <w:pPr>
              <w:spacing w:after="0"/>
              <w:rPr>
                <w:sz w:val="4"/>
                <w:szCs w:val="4"/>
                <w:color w:val="auto"/>
              </w:rPr>
            </w:pPr>
          </w:p>
        </w:tc>
        <w:tc>
          <w:tcPr>
            <w:tcW w:w="60" w:type="dxa"/>
            <w:vAlign w:val="bottom"/>
            <w:tcBorders>
              <w:bottom w:val="single" w:sz="8" w:color="8B8683"/>
              <w:right w:val="single" w:sz="8" w:color="8B8683"/>
            </w:tcBorders>
          </w:tcPr>
          <w:p>
            <w:pPr>
              <w:spacing w:after="0"/>
              <w:rPr>
                <w:sz w:val="4"/>
                <w:szCs w:val="4"/>
                <w:color w:val="auto"/>
              </w:rPr>
            </w:pPr>
          </w:p>
        </w:tc>
        <w:tc>
          <w:tcPr>
            <w:tcW w:w="140" w:type="dxa"/>
            <w:vAlign w:val="bottom"/>
            <w:tcBorders>
              <w:bottom w:val="single" w:sz="8" w:color="C9C8C2"/>
            </w:tcBorders>
          </w:tcPr>
          <w:p>
            <w:pPr>
              <w:spacing w:after="0"/>
              <w:rPr>
                <w:sz w:val="4"/>
                <w:szCs w:val="4"/>
                <w:color w:val="auto"/>
              </w:rPr>
            </w:pPr>
          </w:p>
        </w:tc>
        <w:tc>
          <w:tcPr>
            <w:tcW w:w="180" w:type="dxa"/>
            <w:vAlign w:val="bottom"/>
            <w:tcBorders>
              <w:bottom w:val="single" w:sz="8" w:color="C00015"/>
            </w:tcBorders>
            <w:gridSpan w:val="3"/>
            <w:vMerge w:val="restart"/>
            <w:shd w:val="clear" w:color="auto" w:fill="C00015"/>
          </w:tcPr>
          <w:p>
            <w:pPr>
              <w:jc w:val="center"/>
              <w:ind w:right="20"/>
              <w:spacing w:after="0"/>
              <w:rPr>
                <w:sz w:val="20"/>
                <w:szCs w:val="20"/>
                <w:color w:val="auto"/>
              </w:rPr>
            </w:pPr>
            <w:r>
              <w:rPr>
                <w:rFonts w:ascii="Arial" w:cs="Arial" w:eastAsia="Arial" w:hAnsi="Arial"/>
                <w:sz w:val="8"/>
                <w:szCs w:val="8"/>
                <w:color w:val="FFFFFF"/>
                <w:w w:val="89"/>
              </w:rPr>
              <w:t>$94</w:t>
            </w:r>
          </w:p>
        </w:tc>
        <w:tc>
          <w:tcPr>
            <w:tcW w:w="140" w:type="dxa"/>
            <w:vAlign w:val="bottom"/>
            <w:tcBorders>
              <w:bottom w:val="single" w:sz="8" w:color="C9C8C2"/>
            </w:tcBorders>
          </w:tcPr>
          <w:p>
            <w:pPr>
              <w:spacing w:after="0"/>
              <w:rPr>
                <w:sz w:val="4"/>
                <w:szCs w:val="4"/>
                <w:color w:val="auto"/>
              </w:rPr>
            </w:pPr>
          </w:p>
        </w:tc>
        <w:tc>
          <w:tcPr>
            <w:tcW w:w="160" w:type="dxa"/>
            <w:vAlign w:val="bottom"/>
            <w:tcBorders>
              <w:bottom w:val="single" w:sz="8" w:color="C9C8C2"/>
            </w:tcBorders>
          </w:tcPr>
          <w:p>
            <w:pPr>
              <w:spacing w:after="0"/>
              <w:rPr>
                <w:sz w:val="4"/>
                <w:szCs w:val="4"/>
                <w:color w:val="auto"/>
              </w:rPr>
            </w:pPr>
          </w:p>
        </w:tc>
        <w:tc>
          <w:tcPr>
            <w:tcW w:w="80" w:type="dxa"/>
            <w:vAlign w:val="bottom"/>
            <w:tcBorders>
              <w:bottom w:val="single" w:sz="8" w:color="F78A0B"/>
            </w:tcBorders>
            <w:shd w:val="clear" w:color="auto" w:fill="F78A0B"/>
          </w:tcPr>
          <w:p>
            <w:pPr>
              <w:spacing w:after="0"/>
              <w:rPr>
                <w:sz w:val="4"/>
                <w:szCs w:val="4"/>
                <w:color w:val="auto"/>
              </w:rPr>
            </w:pPr>
          </w:p>
        </w:tc>
        <w:tc>
          <w:tcPr>
            <w:tcW w:w="20" w:type="dxa"/>
            <w:vAlign w:val="bottom"/>
            <w:tcBorders>
              <w:bottom w:val="single" w:sz="8" w:color="F78A0B"/>
            </w:tcBorders>
            <w:shd w:val="clear" w:color="auto" w:fill="F78A0B"/>
          </w:tcPr>
          <w:p>
            <w:pPr>
              <w:spacing w:after="0"/>
              <w:rPr>
                <w:sz w:val="4"/>
                <w:szCs w:val="4"/>
                <w:color w:val="auto"/>
              </w:rPr>
            </w:pPr>
          </w:p>
        </w:tc>
        <w:tc>
          <w:tcPr>
            <w:tcW w:w="80" w:type="dxa"/>
            <w:vAlign w:val="bottom"/>
            <w:tcBorders>
              <w:bottom w:val="single" w:sz="8" w:color="F78A0B"/>
            </w:tcBorders>
            <w:shd w:val="clear" w:color="auto" w:fill="F78A0B"/>
          </w:tcPr>
          <w:p>
            <w:pPr>
              <w:spacing w:after="0"/>
              <w:rPr>
                <w:sz w:val="4"/>
                <w:szCs w:val="4"/>
                <w:color w:val="auto"/>
              </w:rPr>
            </w:pPr>
          </w:p>
        </w:tc>
        <w:tc>
          <w:tcPr>
            <w:tcW w:w="140" w:type="dxa"/>
            <w:vAlign w:val="bottom"/>
            <w:tcBorders>
              <w:bottom w:val="single" w:sz="8" w:color="C9C8C2"/>
            </w:tcBorders>
          </w:tcPr>
          <w:p>
            <w:pPr>
              <w:spacing w:after="0"/>
              <w:rPr>
                <w:sz w:val="4"/>
                <w:szCs w:val="4"/>
                <w:color w:val="auto"/>
              </w:rPr>
            </w:pPr>
          </w:p>
        </w:tc>
        <w:tc>
          <w:tcPr>
            <w:tcW w:w="140" w:type="dxa"/>
            <w:vAlign w:val="bottom"/>
            <w:tcBorders>
              <w:bottom w:val="single" w:sz="8" w:color="C9C8C2"/>
            </w:tcBorders>
          </w:tcPr>
          <w:p>
            <w:pPr>
              <w:spacing w:after="0"/>
              <w:rPr>
                <w:sz w:val="4"/>
                <w:szCs w:val="4"/>
                <w:color w:val="auto"/>
              </w:rPr>
            </w:pPr>
          </w:p>
        </w:tc>
        <w:tc>
          <w:tcPr>
            <w:tcW w:w="100" w:type="dxa"/>
            <w:vAlign w:val="bottom"/>
            <w:tcBorders>
              <w:bottom w:val="single" w:sz="8" w:color="D8E908"/>
            </w:tcBorders>
            <w:shd w:val="clear" w:color="auto" w:fill="D8E908"/>
          </w:tcPr>
          <w:p>
            <w:pPr>
              <w:spacing w:after="0"/>
              <w:rPr>
                <w:sz w:val="4"/>
                <w:szCs w:val="4"/>
                <w:color w:val="auto"/>
              </w:rPr>
            </w:pPr>
          </w:p>
        </w:tc>
        <w:tc>
          <w:tcPr>
            <w:tcW w:w="80" w:type="dxa"/>
            <w:vAlign w:val="bottom"/>
            <w:tcBorders>
              <w:bottom w:val="single" w:sz="8" w:color="D8E908"/>
              <w:right w:val="single" w:sz="8" w:color="D8E908"/>
            </w:tcBorders>
            <w:shd w:val="clear" w:color="auto" w:fill="D8E908"/>
          </w:tcPr>
          <w:p>
            <w:pPr>
              <w:spacing w:after="0"/>
              <w:rPr>
                <w:sz w:val="4"/>
                <w:szCs w:val="4"/>
                <w:color w:val="auto"/>
              </w:rPr>
            </w:pPr>
          </w:p>
        </w:tc>
        <w:tc>
          <w:tcPr>
            <w:tcW w:w="160" w:type="dxa"/>
            <w:vAlign w:val="bottom"/>
            <w:tcBorders>
              <w:bottom w:val="single" w:sz="8" w:color="C9C8C2"/>
            </w:tcBorders>
          </w:tcPr>
          <w:p>
            <w:pPr>
              <w:spacing w:after="0"/>
              <w:rPr>
                <w:sz w:val="4"/>
                <w:szCs w:val="4"/>
                <w:color w:val="auto"/>
              </w:rPr>
            </w:pPr>
          </w:p>
        </w:tc>
        <w:tc>
          <w:tcPr>
            <w:tcW w:w="140" w:type="dxa"/>
            <w:vAlign w:val="bottom"/>
            <w:tcBorders>
              <w:bottom w:val="single" w:sz="8" w:color="C9C8C2"/>
            </w:tcBorders>
          </w:tcPr>
          <w:p>
            <w:pPr>
              <w:spacing w:after="0"/>
              <w:rPr>
                <w:sz w:val="4"/>
                <w:szCs w:val="4"/>
                <w:color w:val="auto"/>
              </w:rPr>
            </w:pPr>
          </w:p>
        </w:tc>
        <w:tc>
          <w:tcPr>
            <w:tcW w:w="80" w:type="dxa"/>
            <w:vAlign w:val="bottom"/>
            <w:tcBorders>
              <w:bottom w:val="single" w:sz="8" w:color="97A198"/>
            </w:tcBorders>
            <w:shd w:val="clear" w:color="auto" w:fill="97A198"/>
          </w:tcPr>
          <w:p>
            <w:pPr>
              <w:spacing w:after="0"/>
              <w:rPr>
                <w:sz w:val="4"/>
                <w:szCs w:val="4"/>
                <w:color w:val="auto"/>
              </w:rPr>
            </w:pPr>
          </w:p>
        </w:tc>
        <w:tc>
          <w:tcPr>
            <w:tcW w:w="20" w:type="dxa"/>
            <w:vAlign w:val="bottom"/>
            <w:tcBorders>
              <w:bottom w:val="single" w:sz="8" w:color="97A198"/>
            </w:tcBorders>
            <w:shd w:val="clear" w:color="auto" w:fill="97A198"/>
          </w:tcPr>
          <w:p>
            <w:pPr>
              <w:spacing w:after="0"/>
              <w:rPr>
                <w:sz w:val="4"/>
                <w:szCs w:val="4"/>
                <w:color w:val="auto"/>
              </w:rPr>
            </w:pPr>
          </w:p>
        </w:tc>
        <w:tc>
          <w:tcPr>
            <w:tcW w:w="80" w:type="dxa"/>
            <w:vAlign w:val="bottom"/>
            <w:tcBorders>
              <w:bottom w:val="single" w:sz="8" w:color="97A198"/>
            </w:tcBorders>
            <w:shd w:val="clear" w:color="auto" w:fill="97A198"/>
          </w:tcPr>
          <w:p>
            <w:pPr>
              <w:spacing w:after="0"/>
              <w:rPr>
                <w:sz w:val="4"/>
                <w:szCs w:val="4"/>
                <w:color w:val="auto"/>
              </w:rPr>
            </w:pPr>
          </w:p>
        </w:tc>
        <w:tc>
          <w:tcPr>
            <w:tcW w:w="220" w:type="dxa"/>
            <w:vAlign w:val="bottom"/>
            <w:tcBorders>
              <w:bottom w:val="single" w:sz="8" w:color="C9C8C2"/>
            </w:tcBorders>
          </w:tcPr>
          <w:p>
            <w:pPr>
              <w:spacing w:after="0"/>
              <w:rPr>
                <w:sz w:val="4"/>
                <w:szCs w:val="4"/>
                <w:color w:val="auto"/>
              </w:rPr>
            </w:pPr>
          </w:p>
        </w:tc>
        <w:tc>
          <w:tcPr>
            <w:tcW w:w="360" w:type="dxa"/>
            <w:vAlign w:val="bottom"/>
            <w:vMerge w:val="restart"/>
          </w:tcPr>
          <w:p>
            <w:pPr>
              <w:jc w:val="center"/>
              <w:ind w:right="1"/>
              <w:spacing w:after="0"/>
              <w:rPr>
                <w:sz w:val="20"/>
                <w:szCs w:val="20"/>
                <w:color w:val="auto"/>
              </w:rPr>
            </w:pPr>
            <w:r>
              <w:rPr>
                <w:rFonts w:ascii="Arial" w:cs="Arial" w:eastAsia="Arial" w:hAnsi="Arial"/>
                <w:sz w:val="12"/>
                <w:szCs w:val="12"/>
                <w:color w:val="auto"/>
                <w:w w:val="89"/>
              </w:rPr>
              <w:t>$95</w:t>
            </w: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right w:val="single" w:sz="8" w:color="8B8683"/>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gridSpan w:val="3"/>
            <w:vMerge w:val="continue"/>
            <w:shd w:val="clear" w:color="auto" w:fill="C00015"/>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shd w:val="clear" w:color="auto" w:fill="F78A0B"/>
          </w:tcPr>
          <w:p>
            <w:pPr>
              <w:spacing w:after="0"/>
              <w:rPr>
                <w:sz w:val="7"/>
                <w:szCs w:val="7"/>
                <w:color w:val="auto"/>
              </w:rPr>
            </w:pPr>
          </w:p>
        </w:tc>
        <w:tc>
          <w:tcPr>
            <w:tcW w:w="20" w:type="dxa"/>
            <w:vAlign w:val="bottom"/>
            <w:shd w:val="clear" w:color="auto" w:fill="F78A0B"/>
          </w:tcPr>
          <w:p>
            <w:pPr>
              <w:spacing w:after="0"/>
              <w:rPr>
                <w:sz w:val="7"/>
                <w:szCs w:val="7"/>
                <w:color w:val="auto"/>
              </w:rPr>
            </w:pPr>
          </w:p>
        </w:tc>
        <w:tc>
          <w:tcPr>
            <w:tcW w:w="80" w:type="dxa"/>
            <w:vAlign w:val="bottom"/>
            <w:shd w:val="clear" w:color="auto" w:fill="F78A0B"/>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shd w:val="clear" w:color="auto" w:fill="D8E908"/>
          </w:tcPr>
          <w:p>
            <w:pPr>
              <w:spacing w:after="0"/>
              <w:rPr>
                <w:sz w:val="7"/>
                <w:szCs w:val="7"/>
                <w:color w:val="auto"/>
              </w:rPr>
            </w:pPr>
          </w:p>
        </w:tc>
        <w:tc>
          <w:tcPr>
            <w:tcW w:w="80" w:type="dxa"/>
            <w:vAlign w:val="bottom"/>
            <w:tcBorders>
              <w:right w:val="single" w:sz="8" w:color="D8E908"/>
            </w:tcBorders>
            <w:shd w:val="clear" w:color="auto" w:fill="D8E908"/>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shd w:val="clear" w:color="auto" w:fill="97A198"/>
          </w:tcPr>
          <w:p>
            <w:pPr>
              <w:spacing w:after="0"/>
              <w:rPr>
                <w:sz w:val="7"/>
                <w:szCs w:val="7"/>
                <w:color w:val="auto"/>
              </w:rPr>
            </w:pPr>
          </w:p>
        </w:tc>
        <w:tc>
          <w:tcPr>
            <w:tcW w:w="20" w:type="dxa"/>
            <w:vAlign w:val="bottom"/>
            <w:shd w:val="clear" w:color="auto" w:fill="97A198"/>
          </w:tcPr>
          <w:p>
            <w:pPr>
              <w:spacing w:after="0"/>
              <w:rPr>
                <w:sz w:val="7"/>
                <w:szCs w:val="7"/>
                <w:color w:val="auto"/>
              </w:rPr>
            </w:pPr>
          </w:p>
        </w:tc>
        <w:tc>
          <w:tcPr>
            <w:tcW w:w="80" w:type="dxa"/>
            <w:vAlign w:val="bottom"/>
            <w:shd w:val="clear" w:color="auto" w:fill="97A198"/>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right w:val="single" w:sz="8" w:color="8B8683"/>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gridSpan w:val="3"/>
            <w:vMerge w:val="continue"/>
            <w:shd w:val="clear" w:color="auto" w:fill="C00015"/>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shd w:val="clear" w:color="auto" w:fill="F78A0B"/>
          </w:tcPr>
          <w:p>
            <w:pPr>
              <w:spacing w:after="0"/>
              <w:rPr>
                <w:sz w:val="9"/>
                <w:szCs w:val="9"/>
                <w:color w:val="auto"/>
              </w:rPr>
            </w:pPr>
          </w:p>
        </w:tc>
        <w:tc>
          <w:tcPr>
            <w:tcW w:w="20" w:type="dxa"/>
            <w:vAlign w:val="bottom"/>
            <w:shd w:val="clear" w:color="auto" w:fill="F78A0B"/>
          </w:tcPr>
          <w:p>
            <w:pPr>
              <w:spacing w:after="0"/>
              <w:rPr>
                <w:sz w:val="9"/>
                <w:szCs w:val="9"/>
                <w:color w:val="auto"/>
              </w:rPr>
            </w:pPr>
          </w:p>
        </w:tc>
        <w:tc>
          <w:tcPr>
            <w:tcW w:w="80" w:type="dxa"/>
            <w:vAlign w:val="bottom"/>
            <w:shd w:val="clear" w:color="auto" w:fill="F78A0B"/>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shd w:val="clear" w:color="auto" w:fill="D8E908"/>
          </w:tcPr>
          <w:p>
            <w:pPr>
              <w:spacing w:after="0"/>
              <w:rPr>
                <w:sz w:val="9"/>
                <w:szCs w:val="9"/>
                <w:color w:val="auto"/>
              </w:rPr>
            </w:pPr>
          </w:p>
        </w:tc>
        <w:tc>
          <w:tcPr>
            <w:tcW w:w="80" w:type="dxa"/>
            <w:vAlign w:val="bottom"/>
            <w:tcBorders>
              <w:right w:val="single" w:sz="8" w:color="D8E908"/>
            </w:tcBorders>
            <w:shd w:val="clear" w:color="auto" w:fill="D8E908"/>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shd w:val="clear" w:color="auto" w:fill="97A198"/>
          </w:tcPr>
          <w:p>
            <w:pPr>
              <w:spacing w:after="0"/>
              <w:rPr>
                <w:sz w:val="9"/>
                <w:szCs w:val="9"/>
                <w:color w:val="auto"/>
              </w:rPr>
            </w:pPr>
          </w:p>
        </w:tc>
        <w:tc>
          <w:tcPr>
            <w:tcW w:w="20" w:type="dxa"/>
            <w:vAlign w:val="bottom"/>
            <w:shd w:val="clear" w:color="auto" w:fill="97A198"/>
          </w:tcPr>
          <w:p>
            <w:pPr>
              <w:spacing w:after="0"/>
              <w:rPr>
                <w:sz w:val="9"/>
                <w:szCs w:val="9"/>
                <w:color w:val="auto"/>
              </w:rPr>
            </w:pPr>
          </w:p>
        </w:tc>
        <w:tc>
          <w:tcPr>
            <w:tcW w:w="80" w:type="dxa"/>
            <w:vAlign w:val="bottom"/>
            <w:shd w:val="clear" w:color="auto" w:fill="97A198"/>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00" w:type="dxa"/>
            <w:vAlign w:val="bottom"/>
            <w:vMerge w:val="restart"/>
          </w:tcPr>
          <w:p>
            <w:pPr>
              <w:jc w:val="right"/>
              <w:ind w:right="41"/>
              <w:spacing w:after="0"/>
              <w:rPr>
                <w:sz w:val="20"/>
                <w:szCs w:val="20"/>
                <w:color w:val="auto"/>
              </w:rPr>
            </w:pPr>
            <w:r>
              <w:rPr>
                <w:rFonts w:ascii="Arial" w:cs="Arial" w:eastAsia="Arial" w:hAnsi="Arial"/>
                <w:sz w:val="12"/>
                <w:szCs w:val="12"/>
                <w:color w:val="auto"/>
                <w:w w:val="74"/>
              </w:rPr>
              <w:t>12%</w:t>
            </w:r>
          </w:p>
        </w:tc>
        <w:tc>
          <w:tcPr>
            <w:tcW w:w="40" w:type="dxa"/>
            <w:vAlign w:val="bottom"/>
            <w:tcBorders>
              <w:bottom w:val="single" w:sz="8" w:color="8B8683"/>
            </w:tcBorders>
          </w:tcPr>
          <w:p>
            <w:pPr>
              <w:spacing w:after="0"/>
              <w:rPr>
                <w:sz w:val="8"/>
                <w:szCs w:val="8"/>
                <w:color w:val="auto"/>
              </w:rPr>
            </w:pPr>
          </w:p>
        </w:tc>
        <w:tc>
          <w:tcPr>
            <w:tcW w:w="60" w:type="dxa"/>
            <w:vAlign w:val="bottom"/>
            <w:tcBorders>
              <w:bottom w:val="single" w:sz="8" w:color="8B8683"/>
              <w:right w:val="single" w:sz="8" w:color="8B8683"/>
            </w:tcBorders>
          </w:tcPr>
          <w:p>
            <w:pPr>
              <w:spacing w:after="0"/>
              <w:rPr>
                <w:sz w:val="8"/>
                <w:szCs w:val="8"/>
                <w:color w:val="auto"/>
              </w:rPr>
            </w:pPr>
          </w:p>
        </w:tc>
        <w:tc>
          <w:tcPr>
            <w:tcW w:w="140" w:type="dxa"/>
            <w:vAlign w:val="bottom"/>
            <w:tcBorders>
              <w:bottom w:val="single" w:sz="8" w:color="C9C8C2"/>
            </w:tcBorders>
          </w:tcPr>
          <w:p>
            <w:pPr>
              <w:spacing w:after="0"/>
              <w:rPr>
                <w:sz w:val="8"/>
                <w:szCs w:val="8"/>
                <w:color w:val="auto"/>
              </w:rPr>
            </w:pPr>
          </w:p>
        </w:tc>
        <w:tc>
          <w:tcPr>
            <w:tcW w:w="80" w:type="dxa"/>
            <w:vAlign w:val="bottom"/>
            <w:tcBorders>
              <w:bottom w:val="single" w:sz="8" w:color="C00015"/>
            </w:tcBorders>
            <w:shd w:val="clear" w:color="auto" w:fill="C00015"/>
          </w:tcPr>
          <w:p>
            <w:pPr>
              <w:spacing w:after="0"/>
              <w:rPr>
                <w:sz w:val="8"/>
                <w:szCs w:val="8"/>
                <w:color w:val="auto"/>
              </w:rPr>
            </w:pPr>
          </w:p>
        </w:tc>
        <w:tc>
          <w:tcPr>
            <w:tcW w:w="20" w:type="dxa"/>
            <w:vAlign w:val="bottom"/>
            <w:tcBorders>
              <w:bottom w:val="single" w:sz="8" w:color="C00015"/>
            </w:tcBorders>
            <w:shd w:val="clear" w:color="auto" w:fill="C00015"/>
          </w:tcPr>
          <w:p>
            <w:pPr>
              <w:spacing w:after="0"/>
              <w:rPr>
                <w:sz w:val="8"/>
                <w:szCs w:val="8"/>
                <w:color w:val="auto"/>
              </w:rPr>
            </w:pPr>
          </w:p>
        </w:tc>
        <w:tc>
          <w:tcPr>
            <w:tcW w:w="80" w:type="dxa"/>
            <w:vAlign w:val="bottom"/>
            <w:tcBorders>
              <w:bottom w:val="single" w:sz="8" w:color="C00015"/>
            </w:tcBorders>
            <w:shd w:val="clear" w:color="auto" w:fill="C00015"/>
          </w:tcPr>
          <w:p>
            <w:pPr>
              <w:spacing w:after="0"/>
              <w:rPr>
                <w:sz w:val="8"/>
                <w:szCs w:val="8"/>
                <w:color w:val="auto"/>
              </w:rPr>
            </w:pPr>
          </w:p>
        </w:tc>
        <w:tc>
          <w:tcPr>
            <w:tcW w:w="140" w:type="dxa"/>
            <w:vAlign w:val="bottom"/>
            <w:tcBorders>
              <w:bottom w:val="single" w:sz="8" w:color="C9C8C2"/>
            </w:tcBorders>
          </w:tcPr>
          <w:p>
            <w:pPr>
              <w:spacing w:after="0"/>
              <w:rPr>
                <w:sz w:val="8"/>
                <w:szCs w:val="8"/>
                <w:color w:val="auto"/>
              </w:rPr>
            </w:pPr>
          </w:p>
        </w:tc>
        <w:tc>
          <w:tcPr>
            <w:tcW w:w="160" w:type="dxa"/>
            <w:vAlign w:val="bottom"/>
            <w:tcBorders>
              <w:bottom w:val="single" w:sz="8" w:color="C9C8C2"/>
            </w:tcBorders>
          </w:tcPr>
          <w:p>
            <w:pPr>
              <w:spacing w:after="0"/>
              <w:rPr>
                <w:sz w:val="8"/>
                <w:szCs w:val="8"/>
                <w:color w:val="auto"/>
              </w:rPr>
            </w:pPr>
          </w:p>
        </w:tc>
        <w:tc>
          <w:tcPr>
            <w:tcW w:w="80" w:type="dxa"/>
            <w:vAlign w:val="bottom"/>
            <w:tcBorders>
              <w:bottom w:val="single" w:sz="8" w:color="F78A0B"/>
            </w:tcBorders>
            <w:shd w:val="clear" w:color="auto" w:fill="F78A0B"/>
          </w:tcPr>
          <w:p>
            <w:pPr>
              <w:spacing w:after="0"/>
              <w:rPr>
                <w:sz w:val="8"/>
                <w:szCs w:val="8"/>
                <w:color w:val="auto"/>
              </w:rPr>
            </w:pPr>
          </w:p>
        </w:tc>
        <w:tc>
          <w:tcPr>
            <w:tcW w:w="20" w:type="dxa"/>
            <w:vAlign w:val="bottom"/>
            <w:tcBorders>
              <w:bottom w:val="single" w:sz="8" w:color="F78A0B"/>
            </w:tcBorders>
            <w:shd w:val="clear" w:color="auto" w:fill="F78A0B"/>
          </w:tcPr>
          <w:p>
            <w:pPr>
              <w:spacing w:after="0"/>
              <w:rPr>
                <w:sz w:val="8"/>
                <w:szCs w:val="8"/>
                <w:color w:val="auto"/>
              </w:rPr>
            </w:pPr>
          </w:p>
        </w:tc>
        <w:tc>
          <w:tcPr>
            <w:tcW w:w="80" w:type="dxa"/>
            <w:vAlign w:val="bottom"/>
            <w:tcBorders>
              <w:bottom w:val="single" w:sz="8" w:color="F78A0B"/>
            </w:tcBorders>
            <w:shd w:val="clear" w:color="auto" w:fill="F78A0B"/>
          </w:tcPr>
          <w:p>
            <w:pPr>
              <w:spacing w:after="0"/>
              <w:rPr>
                <w:sz w:val="8"/>
                <w:szCs w:val="8"/>
                <w:color w:val="auto"/>
              </w:rPr>
            </w:pPr>
          </w:p>
        </w:tc>
        <w:tc>
          <w:tcPr>
            <w:tcW w:w="140" w:type="dxa"/>
            <w:vAlign w:val="bottom"/>
            <w:tcBorders>
              <w:bottom w:val="single" w:sz="8" w:color="C9C8C2"/>
            </w:tcBorders>
          </w:tcPr>
          <w:p>
            <w:pPr>
              <w:spacing w:after="0"/>
              <w:rPr>
                <w:sz w:val="8"/>
                <w:szCs w:val="8"/>
                <w:color w:val="auto"/>
              </w:rPr>
            </w:pPr>
          </w:p>
        </w:tc>
        <w:tc>
          <w:tcPr>
            <w:tcW w:w="140" w:type="dxa"/>
            <w:vAlign w:val="bottom"/>
            <w:tcBorders>
              <w:bottom w:val="single" w:sz="8" w:color="C9C8C2"/>
            </w:tcBorders>
          </w:tcPr>
          <w:p>
            <w:pPr>
              <w:spacing w:after="0"/>
              <w:rPr>
                <w:sz w:val="8"/>
                <w:szCs w:val="8"/>
                <w:color w:val="auto"/>
              </w:rPr>
            </w:pPr>
          </w:p>
        </w:tc>
        <w:tc>
          <w:tcPr>
            <w:tcW w:w="100" w:type="dxa"/>
            <w:vAlign w:val="bottom"/>
            <w:tcBorders>
              <w:bottom w:val="single" w:sz="8" w:color="D8E908"/>
            </w:tcBorders>
            <w:shd w:val="clear" w:color="auto" w:fill="D8E908"/>
          </w:tcPr>
          <w:p>
            <w:pPr>
              <w:spacing w:after="0"/>
              <w:rPr>
                <w:sz w:val="8"/>
                <w:szCs w:val="8"/>
                <w:color w:val="auto"/>
              </w:rPr>
            </w:pPr>
          </w:p>
        </w:tc>
        <w:tc>
          <w:tcPr>
            <w:tcW w:w="80" w:type="dxa"/>
            <w:vAlign w:val="bottom"/>
            <w:tcBorders>
              <w:bottom w:val="single" w:sz="8" w:color="D8E908"/>
              <w:right w:val="single" w:sz="8" w:color="D8E908"/>
            </w:tcBorders>
            <w:shd w:val="clear" w:color="auto" w:fill="D8E908"/>
          </w:tcPr>
          <w:p>
            <w:pPr>
              <w:spacing w:after="0"/>
              <w:rPr>
                <w:sz w:val="8"/>
                <w:szCs w:val="8"/>
                <w:color w:val="auto"/>
              </w:rPr>
            </w:pPr>
          </w:p>
        </w:tc>
        <w:tc>
          <w:tcPr>
            <w:tcW w:w="160" w:type="dxa"/>
            <w:vAlign w:val="bottom"/>
            <w:tcBorders>
              <w:bottom w:val="single" w:sz="8" w:color="C9C8C2"/>
            </w:tcBorders>
          </w:tcPr>
          <w:p>
            <w:pPr>
              <w:spacing w:after="0"/>
              <w:rPr>
                <w:sz w:val="8"/>
                <w:szCs w:val="8"/>
                <w:color w:val="auto"/>
              </w:rPr>
            </w:pPr>
          </w:p>
        </w:tc>
        <w:tc>
          <w:tcPr>
            <w:tcW w:w="140" w:type="dxa"/>
            <w:vAlign w:val="bottom"/>
            <w:tcBorders>
              <w:bottom w:val="single" w:sz="8" w:color="C9C8C2"/>
            </w:tcBorders>
          </w:tcPr>
          <w:p>
            <w:pPr>
              <w:spacing w:after="0"/>
              <w:rPr>
                <w:sz w:val="8"/>
                <w:szCs w:val="8"/>
                <w:color w:val="auto"/>
              </w:rPr>
            </w:pPr>
          </w:p>
        </w:tc>
        <w:tc>
          <w:tcPr>
            <w:tcW w:w="80" w:type="dxa"/>
            <w:vAlign w:val="bottom"/>
            <w:tcBorders>
              <w:bottom w:val="single" w:sz="8" w:color="97A198"/>
            </w:tcBorders>
            <w:shd w:val="clear" w:color="auto" w:fill="97A198"/>
          </w:tcPr>
          <w:p>
            <w:pPr>
              <w:spacing w:after="0"/>
              <w:rPr>
                <w:sz w:val="8"/>
                <w:szCs w:val="8"/>
                <w:color w:val="auto"/>
              </w:rPr>
            </w:pPr>
          </w:p>
        </w:tc>
        <w:tc>
          <w:tcPr>
            <w:tcW w:w="20" w:type="dxa"/>
            <w:vAlign w:val="bottom"/>
            <w:tcBorders>
              <w:bottom w:val="single" w:sz="8" w:color="97A198"/>
            </w:tcBorders>
            <w:shd w:val="clear" w:color="auto" w:fill="97A198"/>
          </w:tcPr>
          <w:p>
            <w:pPr>
              <w:spacing w:after="0"/>
              <w:rPr>
                <w:sz w:val="8"/>
                <w:szCs w:val="8"/>
                <w:color w:val="auto"/>
              </w:rPr>
            </w:pPr>
          </w:p>
        </w:tc>
        <w:tc>
          <w:tcPr>
            <w:tcW w:w="80" w:type="dxa"/>
            <w:vAlign w:val="bottom"/>
            <w:tcBorders>
              <w:bottom w:val="single" w:sz="8" w:color="97A198"/>
            </w:tcBorders>
            <w:shd w:val="clear" w:color="auto" w:fill="97A198"/>
          </w:tcPr>
          <w:p>
            <w:pPr>
              <w:spacing w:after="0"/>
              <w:rPr>
                <w:sz w:val="8"/>
                <w:szCs w:val="8"/>
                <w:color w:val="auto"/>
              </w:rPr>
            </w:pPr>
          </w:p>
        </w:tc>
        <w:tc>
          <w:tcPr>
            <w:tcW w:w="220" w:type="dxa"/>
            <w:vAlign w:val="bottom"/>
            <w:tcBorders>
              <w:bottom w:val="single" w:sz="8" w:color="C9C8C2"/>
            </w:tcBorders>
          </w:tcPr>
          <w:p>
            <w:pPr>
              <w:spacing w:after="0"/>
              <w:rPr>
                <w:sz w:val="8"/>
                <w:szCs w:val="8"/>
                <w:color w:val="auto"/>
              </w:rPr>
            </w:pPr>
          </w:p>
        </w:tc>
        <w:tc>
          <w:tcPr>
            <w:tcW w:w="360" w:type="dxa"/>
            <w:vAlign w:val="bottom"/>
            <w:vMerge w:val="restart"/>
          </w:tcPr>
          <w:p>
            <w:pPr>
              <w:jc w:val="center"/>
              <w:ind w:right="1"/>
              <w:spacing w:after="0"/>
              <w:rPr>
                <w:sz w:val="20"/>
                <w:szCs w:val="20"/>
                <w:color w:val="auto"/>
              </w:rPr>
            </w:pPr>
            <w:r>
              <w:rPr>
                <w:rFonts w:ascii="Arial" w:cs="Arial" w:eastAsia="Arial" w:hAnsi="Arial"/>
                <w:sz w:val="12"/>
                <w:szCs w:val="12"/>
                <w:color w:val="auto"/>
                <w:w w:val="89"/>
              </w:rPr>
              <w:t>$85</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3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C9C8C2"/>
              <w:right w:val="single" w:sz="8" w:color="8B8683"/>
            </w:tcBorders>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80" w:type="dxa"/>
            <w:vAlign w:val="bottom"/>
            <w:tcBorders>
              <w:bottom w:val="single" w:sz="8" w:color="C00015"/>
            </w:tcBorders>
            <w:shd w:val="clear" w:color="auto" w:fill="C00015"/>
          </w:tcPr>
          <w:p>
            <w:pPr>
              <w:spacing w:after="0"/>
              <w:rPr>
                <w:sz w:val="24"/>
                <w:szCs w:val="24"/>
                <w:color w:val="auto"/>
              </w:rPr>
            </w:pPr>
          </w:p>
        </w:tc>
        <w:tc>
          <w:tcPr>
            <w:tcW w:w="20" w:type="dxa"/>
            <w:vAlign w:val="bottom"/>
            <w:tcBorders>
              <w:bottom w:val="single" w:sz="8" w:color="C00015"/>
            </w:tcBorders>
            <w:shd w:val="clear" w:color="auto" w:fill="C00015"/>
          </w:tcPr>
          <w:p>
            <w:pPr>
              <w:spacing w:after="0"/>
              <w:rPr>
                <w:sz w:val="24"/>
                <w:szCs w:val="24"/>
                <w:color w:val="auto"/>
              </w:rPr>
            </w:pPr>
          </w:p>
        </w:tc>
        <w:tc>
          <w:tcPr>
            <w:tcW w:w="80" w:type="dxa"/>
            <w:vAlign w:val="bottom"/>
            <w:tcBorders>
              <w:bottom w:val="single" w:sz="8" w:color="C00015"/>
            </w:tcBorders>
            <w:shd w:val="clear" w:color="auto" w:fill="C00015"/>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80" w:type="dxa"/>
            <w:vAlign w:val="bottom"/>
            <w:tcBorders>
              <w:bottom w:val="single" w:sz="8" w:color="F78A0B"/>
            </w:tcBorders>
            <w:shd w:val="clear" w:color="auto" w:fill="F78A0B"/>
          </w:tcPr>
          <w:p>
            <w:pPr>
              <w:spacing w:after="0"/>
              <w:rPr>
                <w:sz w:val="24"/>
                <w:szCs w:val="24"/>
                <w:color w:val="auto"/>
              </w:rPr>
            </w:pPr>
          </w:p>
        </w:tc>
        <w:tc>
          <w:tcPr>
            <w:tcW w:w="20" w:type="dxa"/>
            <w:vAlign w:val="bottom"/>
            <w:tcBorders>
              <w:bottom w:val="single" w:sz="8" w:color="F78A0B"/>
            </w:tcBorders>
            <w:shd w:val="clear" w:color="auto" w:fill="F78A0B"/>
          </w:tcPr>
          <w:p>
            <w:pPr>
              <w:spacing w:after="0"/>
              <w:rPr>
                <w:sz w:val="24"/>
                <w:szCs w:val="24"/>
                <w:color w:val="auto"/>
              </w:rPr>
            </w:pPr>
          </w:p>
        </w:tc>
        <w:tc>
          <w:tcPr>
            <w:tcW w:w="80" w:type="dxa"/>
            <w:vAlign w:val="bottom"/>
            <w:tcBorders>
              <w:bottom w:val="single" w:sz="8" w:color="F78A0B"/>
            </w:tcBorders>
            <w:shd w:val="clear" w:color="auto" w:fill="F78A0B"/>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100" w:type="dxa"/>
            <w:vAlign w:val="bottom"/>
            <w:tcBorders>
              <w:bottom w:val="single" w:sz="8" w:color="D8E908"/>
            </w:tcBorders>
            <w:shd w:val="clear" w:color="auto" w:fill="D8E908"/>
          </w:tcPr>
          <w:p>
            <w:pPr>
              <w:spacing w:after="0"/>
              <w:rPr>
                <w:sz w:val="24"/>
                <w:szCs w:val="24"/>
                <w:color w:val="auto"/>
              </w:rPr>
            </w:pPr>
          </w:p>
        </w:tc>
        <w:tc>
          <w:tcPr>
            <w:tcW w:w="80" w:type="dxa"/>
            <w:vAlign w:val="bottom"/>
            <w:tcBorders>
              <w:bottom w:val="single" w:sz="8" w:color="D8E908"/>
              <w:right w:val="single" w:sz="8" w:color="D8E908"/>
            </w:tcBorders>
            <w:shd w:val="clear" w:color="auto" w:fill="D8E908"/>
          </w:tcPr>
          <w:p>
            <w:pPr>
              <w:spacing w:after="0"/>
              <w:rPr>
                <w:sz w:val="24"/>
                <w:szCs w:val="24"/>
                <w:color w:val="auto"/>
              </w:rPr>
            </w:pPr>
          </w:p>
        </w:tc>
        <w:tc>
          <w:tcPr>
            <w:tcW w:w="160" w:type="dxa"/>
            <w:vAlign w:val="bottom"/>
            <w:tcBorders>
              <w:bottom w:val="single" w:sz="8" w:color="C9C8C2"/>
            </w:tcBorders>
          </w:tcPr>
          <w:p>
            <w:pPr>
              <w:spacing w:after="0"/>
              <w:rPr>
                <w:sz w:val="24"/>
                <w:szCs w:val="24"/>
                <w:color w:val="auto"/>
              </w:rPr>
            </w:pPr>
          </w:p>
        </w:tc>
        <w:tc>
          <w:tcPr>
            <w:tcW w:w="140" w:type="dxa"/>
            <w:vAlign w:val="bottom"/>
            <w:tcBorders>
              <w:bottom w:val="single" w:sz="8" w:color="C9C8C2"/>
            </w:tcBorders>
          </w:tcPr>
          <w:p>
            <w:pPr>
              <w:spacing w:after="0"/>
              <w:rPr>
                <w:sz w:val="24"/>
                <w:szCs w:val="24"/>
                <w:color w:val="auto"/>
              </w:rPr>
            </w:pPr>
          </w:p>
        </w:tc>
        <w:tc>
          <w:tcPr>
            <w:tcW w:w="80" w:type="dxa"/>
            <w:vAlign w:val="bottom"/>
            <w:tcBorders>
              <w:bottom w:val="single" w:sz="8" w:color="97A198"/>
            </w:tcBorders>
            <w:shd w:val="clear" w:color="auto" w:fill="97A198"/>
          </w:tcPr>
          <w:p>
            <w:pPr>
              <w:spacing w:after="0"/>
              <w:rPr>
                <w:sz w:val="24"/>
                <w:szCs w:val="24"/>
                <w:color w:val="auto"/>
              </w:rPr>
            </w:pPr>
          </w:p>
        </w:tc>
        <w:tc>
          <w:tcPr>
            <w:tcW w:w="20" w:type="dxa"/>
            <w:vAlign w:val="bottom"/>
            <w:tcBorders>
              <w:bottom w:val="single" w:sz="8" w:color="97A198"/>
            </w:tcBorders>
            <w:shd w:val="clear" w:color="auto" w:fill="97A198"/>
          </w:tcPr>
          <w:p>
            <w:pPr>
              <w:spacing w:after="0"/>
              <w:rPr>
                <w:sz w:val="24"/>
                <w:szCs w:val="24"/>
                <w:color w:val="auto"/>
              </w:rPr>
            </w:pPr>
          </w:p>
        </w:tc>
        <w:tc>
          <w:tcPr>
            <w:tcW w:w="80" w:type="dxa"/>
            <w:vAlign w:val="bottom"/>
            <w:tcBorders>
              <w:bottom w:val="single" w:sz="8" w:color="97A198"/>
            </w:tcBorders>
            <w:shd w:val="clear" w:color="auto" w:fill="97A198"/>
          </w:tcPr>
          <w:p>
            <w:pPr>
              <w:spacing w:after="0"/>
              <w:rPr>
                <w:sz w:val="24"/>
                <w:szCs w:val="24"/>
                <w:color w:val="auto"/>
              </w:rPr>
            </w:pPr>
          </w:p>
        </w:tc>
        <w:tc>
          <w:tcPr>
            <w:tcW w:w="220" w:type="dxa"/>
            <w:vAlign w:val="bottom"/>
            <w:tcBorders>
              <w:bottom w:val="single" w:sz="8" w:color="C9C8C2"/>
            </w:tcBorders>
          </w:tcPr>
          <w:p>
            <w:pPr>
              <w:spacing w:after="0"/>
              <w:rPr>
                <w:sz w:val="24"/>
                <w:szCs w:val="24"/>
                <w:color w:val="auto"/>
              </w:rPr>
            </w:pPr>
          </w:p>
        </w:tc>
        <w:tc>
          <w:tcPr>
            <w:tcW w:w="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0" w:type="dxa"/>
            <w:vAlign w:val="bottom"/>
            <w:vMerge w:val="continue"/>
          </w:tcPr>
          <w:p>
            <w:pPr>
              <w:spacing w:after="0"/>
              <w:rPr>
                <w:sz w:val="2"/>
                <w:szCs w:val="2"/>
                <w:color w:val="auto"/>
              </w:rPr>
            </w:pPr>
          </w:p>
        </w:tc>
        <w:tc>
          <w:tcPr>
            <w:tcW w:w="40" w:type="dxa"/>
            <w:vAlign w:val="bottom"/>
            <w:tcBorders>
              <w:top w:val="single" w:sz="8" w:color="8B8683"/>
            </w:tcBorders>
          </w:tcPr>
          <w:p>
            <w:pPr>
              <w:spacing w:after="0"/>
              <w:rPr>
                <w:sz w:val="2"/>
                <w:szCs w:val="2"/>
                <w:color w:val="auto"/>
              </w:rPr>
            </w:pPr>
          </w:p>
        </w:tc>
        <w:tc>
          <w:tcPr>
            <w:tcW w:w="60" w:type="dxa"/>
            <w:vAlign w:val="bottom"/>
            <w:tcBorders>
              <w:top w:val="single" w:sz="8" w:color="8B8683"/>
              <w:right w:val="single" w:sz="8" w:color="8B8683"/>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80" w:type="dxa"/>
            <w:vAlign w:val="bottom"/>
            <w:tcBorders>
              <w:top w:val="single" w:sz="8" w:color="C00015"/>
            </w:tcBorders>
            <w:shd w:val="clear" w:color="auto" w:fill="C00015"/>
          </w:tcPr>
          <w:p>
            <w:pPr>
              <w:spacing w:after="0"/>
              <w:rPr>
                <w:sz w:val="2"/>
                <w:szCs w:val="2"/>
                <w:color w:val="auto"/>
              </w:rPr>
            </w:pPr>
          </w:p>
        </w:tc>
        <w:tc>
          <w:tcPr>
            <w:tcW w:w="20" w:type="dxa"/>
            <w:vAlign w:val="bottom"/>
            <w:tcBorders>
              <w:top w:val="single" w:sz="8" w:color="C00015"/>
            </w:tcBorders>
            <w:shd w:val="clear" w:color="auto" w:fill="C00015"/>
          </w:tcPr>
          <w:p>
            <w:pPr>
              <w:spacing w:after="0"/>
              <w:rPr>
                <w:sz w:val="2"/>
                <w:szCs w:val="2"/>
                <w:color w:val="auto"/>
              </w:rPr>
            </w:pPr>
          </w:p>
        </w:tc>
        <w:tc>
          <w:tcPr>
            <w:tcW w:w="80" w:type="dxa"/>
            <w:vAlign w:val="bottom"/>
            <w:tcBorders>
              <w:top w:val="single" w:sz="8" w:color="C00015"/>
            </w:tcBorders>
            <w:shd w:val="clear" w:color="auto" w:fill="C00015"/>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60" w:type="dxa"/>
            <w:vAlign w:val="bottom"/>
            <w:tcBorders>
              <w:top w:val="single" w:sz="8" w:color="C9C8C2"/>
            </w:tcBorders>
          </w:tcPr>
          <w:p>
            <w:pPr>
              <w:spacing w:after="0"/>
              <w:rPr>
                <w:sz w:val="2"/>
                <w:szCs w:val="2"/>
                <w:color w:val="auto"/>
              </w:rPr>
            </w:pPr>
          </w:p>
        </w:tc>
        <w:tc>
          <w:tcPr>
            <w:tcW w:w="80" w:type="dxa"/>
            <w:vAlign w:val="bottom"/>
            <w:tcBorders>
              <w:top w:val="single" w:sz="8" w:color="F78A0B"/>
            </w:tcBorders>
            <w:shd w:val="clear" w:color="auto" w:fill="F78A0B"/>
          </w:tcPr>
          <w:p>
            <w:pPr>
              <w:spacing w:after="0"/>
              <w:rPr>
                <w:sz w:val="2"/>
                <w:szCs w:val="2"/>
                <w:color w:val="auto"/>
              </w:rPr>
            </w:pPr>
          </w:p>
        </w:tc>
        <w:tc>
          <w:tcPr>
            <w:tcW w:w="20" w:type="dxa"/>
            <w:vAlign w:val="bottom"/>
            <w:tcBorders>
              <w:top w:val="single" w:sz="8" w:color="F78A0B"/>
            </w:tcBorders>
            <w:shd w:val="clear" w:color="auto" w:fill="F78A0B"/>
          </w:tcPr>
          <w:p>
            <w:pPr>
              <w:spacing w:after="0"/>
              <w:rPr>
                <w:sz w:val="2"/>
                <w:szCs w:val="2"/>
                <w:color w:val="auto"/>
              </w:rPr>
            </w:pPr>
          </w:p>
        </w:tc>
        <w:tc>
          <w:tcPr>
            <w:tcW w:w="80" w:type="dxa"/>
            <w:vAlign w:val="bottom"/>
            <w:tcBorders>
              <w:top w:val="single" w:sz="8" w:color="F78A0B"/>
            </w:tcBorders>
            <w:shd w:val="clear" w:color="auto" w:fill="F78A0B"/>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00" w:type="dxa"/>
            <w:vAlign w:val="bottom"/>
            <w:tcBorders>
              <w:top w:val="single" w:sz="8" w:color="D8E908"/>
            </w:tcBorders>
            <w:shd w:val="clear" w:color="auto" w:fill="D8E908"/>
          </w:tcPr>
          <w:p>
            <w:pPr>
              <w:spacing w:after="0"/>
              <w:rPr>
                <w:sz w:val="2"/>
                <w:szCs w:val="2"/>
                <w:color w:val="auto"/>
              </w:rPr>
            </w:pPr>
          </w:p>
        </w:tc>
        <w:tc>
          <w:tcPr>
            <w:tcW w:w="80" w:type="dxa"/>
            <w:vAlign w:val="bottom"/>
            <w:tcBorders>
              <w:top w:val="single" w:sz="8" w:color="D8E908"/>
              <w:right w:val="single" w:sz="8" w:color="D8E908"/>
            </w:tcBorders>
            <w:shd w:val="clear" w:color="auto" w:fill="D8E908"/>
          </w:tcPr>
          <w:p>
            <w:pPr>
              <w:spacing w:after="0"/>
              <w:rPr>
                <w:sz w:val="2"/>
                <w:szCs w:val="2"/>
                <w:color w:val="auto"/>
              </w:rPr>
            </w:pPr>
          </w:p>
        </w:tc>
        <w:tc>
          <w:tcPr>
            <w:tcW w:w="160" w:type="dxa"/>
            <w:vAlign w:val="bottom"/>
            <w:tcBorders>
              <w:top w:val="single" w:sz="8" w:color="C9C8C2"/>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80" w:type="dxa"/>
            <w:vAlign w:val="bottom"/>
            <w:tcBorders>
              <w:top w:val="single" w:sz="8" w:color="97A198"/>
            </w:tcBorders>
            <w:shd w:val="clear" w:color="auto" w:fill="97A198"/>
          </w:tcPr>
          <w:p>
            <w:pPr>
              <w:spacing w:after="0"/>
              <w:rPr>
                <w:sz w:val="2"/>
                <w:szCs w:val="2"/>
                <w:color w:val="auto"/>
              </w:rPr>
            </w:pPr>
          </w:p>
        </w:tc>
        <w:tc>
          <w:tcPr>
            <w:tcW w:w="20" w:type="dxa"/>
            <w:vAlign w:val="bottom"/>
            <w:tcBorders>
              <w:top w:val="single" w:sz="8" w:color="97A198"/>
            </w:tcBorders>
            <w:shd w:val="clear" w:color="auto" w:fill="97A198"/>
          </w:tcPr>
          <w:p>
            <w:pPr>
              <w:spacing w:after="0"/>
              <w:rPr>
                <w:sz w:val="2"/>
                <w:szCs w:val="2"/>
                <w:color w:val="auto"/>
              </w:rPr>
            </w:pPr>
          </w:p>
        </w:tc>
        <w:tc>
          <w:tcPr>
            <w:tcW w:w="80" w:type="dxa"/>
            <w:vAlign w:val="bottom"/>
            <w:tcBorders>
              <w:top w:val="single" w:sz="8" w:color="97A198"/>
            </w:tcBorders>
            <w:shd w:val="clear" w:color="auto" w:fill="97A198"/>
          </w:tcPr>
          <w:p>
            <w:pPr>
              <w:spacing w:after="0"/>
              <w:rPr>
                <w:sz w:val="2"/>
                <w:szCs w:val="2"/>
                <w:color w:val="auto"/>
              </w:rPr>
            </w:pPr>
          </w:p>
        </w:tc>
        <w:tc>
          <w:tcPr>
            <w:tcW w:w="220" w:type="dxa"/>
            <w:vAlign w:val="bottom"/>
            <w:tcBorders>
              <w:top w:val="single" w:sz="8" w:color="C9C8C2"/>
            </w:tcBorders>
          </w:tcPr>
          <w:p>
            <w:pPr>
              <w:spacing w:after="0"/>
              <w:rPr>
                <w:sz w:val="2"/>
                <w:szCs w:val="2"/>
                <w:color w:val="auto"/>
              </w:rPr>
            </w:pPr>
          </w:p>
        </w:tc>
        <w:tc>
          <w:tcPr>
            <w:tcW w:w="3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300" w:type="dxa"/>
            <w:vAlign w:val="bottom"/>
          </w:tcPr>
          <w:p>
            <w:pPr>
              <w:jc w:val="right"/>
              <w:ind w:right="41"/>
              <w:spacing w:after="0"/>
              <w:rPr>
                <w:sz w:val="20"/>
                <w:szCs w:val="20"/>
                <w:color w:val="auto"/>
              </w:rPr>
            </w:pPr>
            <w:r>
              <w:rPr>
                <w:rFonts w:ascii="Arial" w:cs="Arial" w:eastAsia="Arial" w:hAnsi="Arial"/>
                <w:sz w:val="12"/>
                <w:szCs w:val="12"/>
                <w:color w:val="auto"/>
                <w:w w:val="74"/>
              </w:rPr>
              <w:t>10%</w:t>
            </w:r>
          </w:p>
        </w:tc>
        <w:tc>
          <w:tcPr>
            <w:tcW w:w="40" w:type="dxa"/>
            <w:vAlign w:val="bottom"/>
            <w:tcBorders>
              <w:bottom w:val="single" w:sz="8" w:color="8B8683"/>
            </w:tcBorders>
          </w:tcPr>
          <w:p>
            <w:pPr>
              <w:spacing w:after="0"/>
              <w:rPr>
                <w:sz w:val="24"/>
                <w:szCs w:val="24"/>
                <w:color w:val="auto"/>
              </w:rPr>
            </w:pPr>
          </w:p>
        </w:tc>
        <w:tc>
          <w:tcPr>
            <w:tcW w:w="60" w:type="dxa"/>
            <w:vAlign w:val="bottom"/>
            <w:tcBorders>
              <w:bottom w:val="single" w:sz="8" w:color="8B8683"/>
              <w:right w:val="single" w:sz="8" w:color="8B8683"/>
            </w:tcBorders>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80" w:type="dxa"/>
            <w:vAlign w:val="bottom"/>
            <w:tcBorders>
              <w:bottom w:val="single" w:sz="8" w:color="8B8683"/>
            </w:tcBorders>
            <w:shd w:val="clear" w:color="auto" w:fill="C00015"/>
          </w:tcPr>
          <w:p>
            <w:pPr>
              <w:spacing w:after="0"/>
              <w:rPr>
                <w:sz w:val="24"/>
                <w:szCs w:val="24"/>
                <w:color w:val="auto"/>
              </w:rPr>
            </w:pPr>
          </w:p>
        </w:tc>
        <w:tc>
          <w:tcPr>
            <w:tcW w:w="20" w:type="dxa"/>
            <w:vAlign w:val="bottom"/>
            <w:tcBorders>
              <w:bottom w:val="single" w:sz="8" w:color="8B8683"/>
            </w:tcBorders>
            <w:shd w:val="clear" w:color="auto" w:fill="C00015"/>
          </w:tcPr>
          <w:p>
            <w:pPr>
              <w:spacing w:after="0"/>
              <w:rPr>
                <w:sz w:val="24"/>
                <w:szCs w:val="24"/>
                <w:color w:val="auto"/>
              </w:rPr>
            </w:pPr>
          </w:p>
        </w:tc>
        <w:tc>
          <w:tcPr>
            <w:tcW w:w="80" w:type="dxa"/>
            <w:vAlign w:val="bottom"/>
            <w:tcBorders>
              <w:bottom w:val="single" w:sz="8" w:color="8B8683"/>
            </w:tcBorders>
            <w:shd w:val="clear" w:color="auto" w:fill="C00015"/>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80" w:type="dxa"/>
            <w:vAlign w:val="bottom"/>
            <w:tcBorders>
              <w:bottom w:val="single" w:sz="8" w:color="8B8683"/>
            </w:tcBorders>
            <w:shd w:val="clear" w:color="auto" w:fill="F78A0B"/>
          </w:tcPr>
          <w:p>
            <w:pPr>
              <w:spacing w:after="0"/>
              <w:rPr>
                <w:sz w:val="24"/>
                <w:szCs w:val="24"/>
                <w:color w:val="auto"/>
              </w:rPr>
            </w:pPr>
          </w:p>
        </w:tc>
        <w:tc>
          <w:tcPr>
            <w:tcW w:w="20" w:type="dxa"/>
            <w:vAlign w:val="bottom"/>
            <w:tcBorders>
              <w:bottom w:val="single" w:sz="8" w:color="8B8683"/>
            </w:tcBorders>
            <w:shd w:val="clear" w:color="auto" w:fill="F78A0B"/>
          </w:tcPr>
          <w:p>
            <w:pPr>
              <w:spacing w:after="0"/>
              <w:rPr>
                <w:sz w:val="24"/>
                <w:szCs w:val="24"/>
                <w:color w:val="auto"/>
              </w:rPr>
            </w:pPr>
          </w:p>
        </w:tc>
        <w:tc>
          <w:tcPr>
            <w:tcW w:w="80" w:type="dxa"/>
            <w:vAlign w:val="bottom"/>
            <w:tcBorders>
              <w:bottom w:val="single" w:sz="8" w:color="8B8683"/>
            </w:tcBorders>
            <w:shd w:val="clear" w:color="auto" w:fill="F78A0B"/>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100" w:type="dxa"/>
            <w:vAlign w:val="bottom"/>
            <w:tcBorders>
              <w:bottom w:val="single" w:sz="8" w:color="8B8683"/>
            </w:tcBorders>
            <w:shd w:val="clear" w:color="auto" w:fill="D8E908"/>
          </w:tcPr>
          <w:p>
            <w:pPr>
              <w:spacing w:after="0"/>
              <w:rPr>
                <w:sz w:val="24"/>
                <w:szCs w:val="24"/>
                <w:color w:val="auto"/>
              </w:rPr>
            </w:pPr>
          </w:p>
        </w:tc>
        <w:tc>
          <w:tcPr>
            <w:tcW w:w="80" w:type="dxa"/>
            <w:vAlign w:val="bottom"/>
            <w:tcBorders>
              <w:bottom w:val="single" w:sz="8" w:color="8B8683"/>
              <w:right w:val="single" w:sz="8" w:color="D8E908"/>
            </w:tcBorders>
            <w:shd w:val="clear" w:color="auto" w:fill="D8E908"/>
          </w:tcPr>
          <w:p>
            <w:pPr>
              <w:spacing w:after="0"/>
              <w:rPr>
                <w:sz w:val="24"/>
                <w:szCs w:val="24"/>
                <w:color w:val="auto"/>
              </w:rPr>
            </w:pPr>
          </w:p>
        </w:tc>
        <w:tc>
          <w:tcPr>
            <w:tcW w:w="160" w:type="dxa"/>
            <w:vAlign w:val="bottom"/>
            <w:tcBorders>
              <w:bottom w:val="single" w:sz="8" w:color="8B8683"/>
            </w:tcBorders>
          </w:tcPr>
          <w:p>
            <w:pPr>
              <w:spacing w:after="0"/>
              <w:rPr>
                <w:sz w:val="24"/>
                <w:szCs w:val="24"/>
                <w:color w:val="auto"/>
              </w:rPr>
            </w:pPr>
          </w:p>
        </w:tc>
        <w:tc>
          <w:tcPr>
            <w:tcW w:w="140" w:type="dxa"/>
            <w:vAlign w:val="bottom"/>
            <w:tcBorders>
              <w:bottom w:val="single" w:sz="8" w:color="8B8683"/>
            </w:tcBorders>
          </w:tcPr>
          <w:p>
            <w:pPr>
              <w:spacing w:after="0"/>
              <w:rPr>
                <w:sz w:val="24"/>
                <w:szCs w:val="24"/>
                <w:color w:val="auto"/>
              </w:rPr>
            </w:pPr>
          </w:p>
        </w:tc>
        <w:tc>
          <w:tcPr>
            <w:tcW w:w="80" w:type="dxa"/>
            <w:vAlign w:val="bottom"/>
            <w:tcBorders>
              <w:bottom w:val="single" w:sz="8" w:color="8B8683"/>
            </w:tcBorders>
            <w:shd w:val="clear" w:color="auto" w:fill="97A198"/>
          </w:tcPr>
          <w:p>
            <w:pPr>
              <w:spacing w:after="0"/>
              <w:rPr>
                <w:sz w:val="24"/>
                <w:szCs w:val="24"/>
                <w:color w:val="auto"/>
              </w:rPr>
            </w:pPr>
          </w:p>
        </w:tc>
        <w:tc>
          <w:tcPr>
            <w:tcW w:w="20" w:type="dxa"/>
            <w:vAlign w:val="bottom"/>
            <w:tcBorders>
              <w:bottom w:val="single" w:sz="8" w:color="8B8683"/>
            </w:tcBorders>
            <w:shd w:val="clear" w:color="auto" w:fill="97A198"/>
          </w:tcPr>
          <w:p>
            <w:pPr>
              <w:spacing w:after="0"/>
              <w:rPr>
                <w:sz w:val="24"/>
                <w:szCs w:val="24"/>
                <w:color w:val="auto"/>
              </w:rPr>
            </w:pPr>
          </w:p>
        </w:tc>
        <w:tc>
          <w:tcPr>
            <w:tcW w:w="80" w:type="dxa"/>
            <w:vAlign w:val="bottom"/>
            <w:tcBorders>
              <w:bottom w:val="single" w:sz="8" w:color="8B8683"/>
            </w:tcBorders>
            <w:shd w:val="clear" w:color="auto" w:fill="97A198"/>
          </w:tcPr>
          <w:p>
            <w:pPr>
              <w:spacing w:after="0"/>
              <w:rPr>
                <w:sz w:val="24"/>
                <w:szCs w:val="24"/>
                <w:color w:val="auto"/>
              </w:rPr>
            </w:pPr>
          </w:p>
        </w:tc>
        <w:tc>
          <w:tcPr>
            <w:tcW w:w="220" w:type="dxa"/>
            <w:vAlign w:val="bottom"/>
            <w:tcBorders>
              <w:bottom w:val="single" w:sz="8" w:color="8B8683"/>
            </w:tcBorders>
          </w:tcPr>
          <w:p>
            <w:pPr>
              <w:spacing w:after="0"/>
              <w:rPr>
                <w:sz w:val="24"/>
                <w:szCs w:val="24"/>
                <w:color w:val="auto"/>
              </w:rPr>
            </w:pPr>
          </w:p>
        </w:tc>
        <w:tc>
          <w:tcPr>
            <w:tcW w:w="360" w:type="dxa"/>
            <w:vAlign w:val="bottom"/>
          </w:tcPr>
          <w:p>
            <w:pPr>
              <w:jc w:val="center"/>
              <w:ind w:right="1"/>
              <w:spacing w:after="0"/>
              <w:rPr>
                <w:sz w:val="20"/>
                <w:szCs w:val="20"/>
                <w:color w:val="auto"/>
              </w:rPr>
            </w:pPr>
            <w:r>
              <w:rPr>
                <w:rFonts w:ascii="Arial" w:cs="Arial" w:eastAsia="Arial" w:hAnsi="Arial"/>
                <w:sz w:val="12"/>
                <w:szCs w:val="12"/>
                <w:color w:val="auto"/>
                <w:w w:val="89"/>
              </w:rPr>
              <w:t>$80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6"/>
          </w:tcPr>
          <w:p>
            <w:pPr>
              <w:jc w:val="center"/>
              <w:spacing w:after="0"/>
              <w:rPr>
                <w:sz w:val="20"/>
                <w:szCs w:val="20"/>
                <w:color w:val="auto"/>
              </w:rPr>
            </w:pPr>
            <w:r>
              <w:rPr>
                <w:rFonts w:ascii="Arial" w:cs="Arial" w:eastAsia="Arial" w:hAnsi="Arial"/>
                <w:sz w:val="12"/>
                <w:szCs w:val="12"/>
                <w:color w:val="auto"/>
                <w:w w:val="97"/>
              </w:rPr>
              <w:t>2022</w:t>
            </w:r>
          </w:p>
        </w:tc>
        <w:tc>
          <w:tcPr>
            <w:tcW w:w="480" w:type="dxa"/>
            <w:vAlign w:val="bottom"/>
            <w:gridSpan w:val="5"/>
          </w:tcPr>
          <w:p>
            <w:pPr>
              <w:jc w:val="center"/>
              <w:spacing w:after="0"/>
              <w:rPr>
                <w:sz w:val="20"/>
                <w:szCs w:val="20"/>
                <w:color w:val="auto"/>
              </w:rPr>
            </w:pPr>
            <w:r>
              <w:rPr>
                <w:rFonts w:ascii="Arial" w:cs="Arial" w:eastAsia="Arial" w:hAnsi="Arial"/>
                <w:sz w:val="12"/>
                <w:szCs w:val="12"/>
                <w:color w:val="auto"/>
                <w:w w:val="89"/>
              </w:rPr>
              <w:t>2023</w:t>
            </w:r>
          </w:p>
        </w:tc>
        <w:tc>
          <w:tcPr>
            <w:tcW w:w="480" w:type="dxa"/>
            <w:vAlign w:val="bottom"/>
            <w:gridSpan w:val="4"/>
          </w:tcPr>
          <w:p>
            <w:pPr>
              <w:jc w:val="center"/>
              <w:spacing w:after="0"/>
              <w:rPr>
                <w:sz w:val="20"/>
                <w:szCs w:val="20"/>
                <w:color w:val="auto"/>
              </w:rPr>
            </w:pPr>
            <w:r>
              <w:rPr>
                <w:rFonts w:ascii="Arial" w:cs="Arial" w:eastAsia="Arial" w:hAnsi="Arial"/>
                <w:sz w:val="12"/>
                <w:szCs w:val="12"/>
                <w:color w:val="auto"/>
                <w:w w:val="89"/>
              </w:rPr>
              <w:t>2024</w:t>
            </w:r>
          </w:p>
        </w:tc>
        <w:tc>
          <w:tcPr>
            <w:tcW w:w="540" w:type="dxa"/>
            <w:vAlign w:val="bottom"/>
            <w:gridSpan w:val="5"/>
          </w:tcPr>
          <w:p>
            <w:pPr>
              <w:jc w:val="center"/>
              <w:ind w:right="80"/>
              <w:spacing w:after="0"/>
              <w:rPr>
                <w:sz w:val="20"/>
                <w:szCs w:val="20"/>
                <w:color w:val="auto"/>
              </w:rPr>
            </w:pPr>
            <w:r>
              <w:rPr>
                <w:rFonts w:ascii="Arial" w:cs="Arial" w:eastAsia="Arial" w:hAnsi="Arial"/>
                <w:sz w:val="12"/>
                <w:szCs w:val="12"/>
                <w:color w:val="auto"/>
                <w:w w:val="97"/>
              </w:rPr>
              <w:t>2025</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211455</wp:posOffset>
                </wp:positionH>
                <wp:positionV relativeFrom="paragraph">
                  <wp:posOffset>-370205</wp:posOffset>
                </wp:positionV>
                <wp:extent cx="12852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29.1499pt" to="117.85pt,-29.14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-568325</wp:posOffset>
                </wp:positionV>
                <wp:extent cx="12852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44.7499pt" to="117.85pt,-44.74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-963930</wp:posOffset>
                </wp:positionV>
                <wp:extent cx="12852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75.8999pt" to="117.85pt,-75.8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-765810</wp:posOffset>
                </wp:positionV>
                <wp:extent cx="128524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60.2999pt" to="117.85pt,-60.2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-1162050</wp:posOffset>
                </wp:positionV>
                <wp:extent cx="12852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91.4999pt" to="117.85pt,-91.4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-1360170</wp:posOffset>
                </wp:positionV>
                <wp:extent cx="12852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107.0999pt" to="117.85pt,-107.0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211455</wp:posOffset>
                </wp:positionH>
                <wp:positionV relativeFrom="paragraph">
                  <wp:posOffset>-1557655</wp:posOffset>
                </wp:positionV>
                <wp:extent cx="128524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5240"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5pt,-122.6499pt" to="117.85pt,-122.6499pt" o:allowincell="f" strokecolor="#E0E4DD" strokeweight="0pt"/>
            </w:pict>
          </mc:Fallback>
        </mc:AlternateContent>
      </w:r>
    </w:p>
    <w:p>
      <w:pPr>
        <w:spacing w:after="0" w:line="307" w:lineRule="exact"/>
        <w:rPr>
          <w:sz w:val="20"/>
          <w:szCs w:val="20"/>
          <w:color w:val="auto"/>
        </w:rPr>
      </w:pPr>
    </w:p>
    <w:p>
      <w:pPr>
        <w:ind w:left="380"/>
        <w:spacing w:after="0"/>
        <w:rPr>
          <w:sz w:val="20"/>
          <w:szCs w:val="20"/>
          <w:color w:val="auto"/>
        </w:rPr>
      </w:pPr>
      <w:r>
        <w:rPr>
          <w:rFonts w:ascii="Arial" w:cs="Arial" w:eastAsia="Arial" w:hAnsi="Arial"/>
          <w:sz w:val="23"/>
          <w:szCs w:val="23"/>
          <w:color w:val="auto"/>
        </w:rPr>
        <w:t>Adjusted EBITDA</w:t>
      </w:r>
      <w:r>
        <w:rPr>
          <w:rFonts w:ascii="Arial" w:cs="Arial" w:eastAsia="Arial" w:hAnsi="Arial"/>
          <w:sz w:val="15"/>
          <w:szCs w:val="15"/>
          <w:color w:val="auto"/>
          <w:vertAlign w:val="superscript"/>
        </w:rPr>
        <w:t>(1)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$40</w:t>
            </w: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tcBorders>
              <w:bottom w:val="single" w:sz="8" w:color="8B8683"/>
            </w:tcBorders>
          </w:tcPr>
          <w:p>
            <w:pPr>
              <w:spacing w:after="0"/>
              <w:rPr>
                <w:sz w:val="7"/>
                <w:szCs w:val="7"/>
                <w:color w:val="auto"/>
              </w:rPr>
            </w:pPr>
          </w:p>
        </w:tc>
        <w:tc>
          <w:tcPr>
            <w:tcW w:w="40" w:type="dxa"/>
            <w:vAlign w:val="bottom"/>
            <w:tcBorders>
              <w:bottom w:val="single" w:sz="8" w:color="8B8683"/>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$34</w:t>
            </w: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$39</w:t>
            </w:r>
          </w:p>
        </w:tc>
        <w:tc>
          <w:tcPr>
            <w:tcW w:w="360" w:type="dxa"/>
            <w:vAlign w:val="bottom"/>
            <w:vMerge w:val="restart"/>
          </w:tcPr>
          <w:p>
            <w:pPr>
              <w:jc w:val="right"/>
              <w:ind w:right="2"/>
              <w:spacing w:after="0"/>
              <w:rPr>
                <w:sz w:val="20"/>
                <w:szCs w:val="20"/>
                <w:color w:val="auto"/>
              </w:rPr>
            </w:pPr>
            <w:r>
              <w:rPr>
                <w:rFonts w:ascii="Arial" w:cs="Arial" w:eastAsia="Arial" w:hAnsi="Arial"/>
                <w:sz w:val="12"/>
                <w:szCs w:val="12"/>
                <w:color w:val="auto"/>
              </w:rPr>
              <w:t>8.0%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$35</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tcBorders>
              <w:bottom w:val="single" w:sz="8" w:color="8B8683"/>
            </w:tcBorders>
          </w:tcPr>
          <w:p>
            <w:pPr>
              <w:spacing w:after="0"/>
              <w:rPr>
                <w:sz w:val="24"/>
                <w:szCs w:val="24"/>
                <w:color w:val="auto"/>
              </w:rPr>
            </w:pPr>
          </w:p>
        </w:tc>
        <w:tc>
          <w:tcPr>
            <w:tcW w:w="40" w:type="dxa"/>
            <w:vAlign w:val="bottom"/>
            <w:tcBorders>
              <w:bottom w:val="single" w:sz="8" w:color="8B8683"/>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C9C8C2"/>
            </w:tcBorders>
          </w:tcPr>
          <w:p>
            <w:pPr>
              <w:spacing w:after="0"/>
              <w:rPr>
                <w:sz w:val="24"/>
                <w:szCs w:val="24"/>
                <w:color w:val="auto"/>
              </w:rPr>
            </w:pPr>
          </w:p>
        </w:tc>
        <w:tc>
          <w:tcPr>
            <w:tcW w:w="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6"/>
            <w:vMerge w:val="restart"/>
          </w:tcPr>
          <w:p>
            <w:pPr>
              <w:jc w:val="right"/>
              <w:ind w:right="120"/>
              <w:spacing w:after="0"/>
              <w:rPr>
                <w:sz w:val="20"/>
                <w:szCs w:val="20"/>
                <w:color w:val="auto"/>
              </w:rPr>
            </w:pPr>
            <w:r>
              <w:rPr>
                <w:rFonts w:ascii="Arial" w:cs="Arial" w:eastAsia="Arial" w:hAnsi="Arial"/>
                <w:sz w:val="12"/>
                <w:szCs w:val="12"/>
                <w:color w:val="auto"/>
              </w:rPr>
              <w:t>$32</w:t>
            </w:r>
          </w:p>
        </w:tc>
        <w:tc>
          <w:tcPr>
            <w:tcW w:w="460" w:type="dxa"/>
            <w:vAlign w:val="bottom"/>
            <w:gridSpan w:val="3"/>
            <w:vMerge w:val="continue"/>
          </w:tcPr>
          <w:p>
            <w:pPr>
              <w:spacing w:after="0"/>
              <w:rPr>
                <w:sz w:val="5"/>
                <w:szCs w:val="5"/>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8"/>
                <w:szCs w:val="8"/>
                <w:color w:val="auto"/>
              </w:rPr>
              <w:t>7.2%</w:t>
            </w:r>
          </w:p>
        </w:tc>
        <w:tc>
          <w:tcPr>
            <w:tcW w:w="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0" w:type="dxa"/>
            <w:vAlign w:val="bottom"/>
            <w:vMerge w:val="restart"/>
            <w:textDirection w:val="tbRl"/>
          </w:tcPr>
          <w:p>
            <w:pPr>
              <w:jc w:val="right"/>
              <w:ind w:left="14"/>
              <w:spacing w:after="0"/>
              <w:rPr>
                <w:sz w:val="20"/>
                <w:szCs w:val="20"/>
                <w:color w:val="auto"/>
              </w:rPr>
            </w:pPr>
            <w:r>
              <w:rPr>
                <w:rFonts w:ascii="Arial" w:cs="Arial" w:eastAsia="Arial" w:hAnsi="Arial"/>
                <w:sz w:val="11"/>
                <w:szCs w:val="11"/>
                <w:color w:val="auto"/>
                <w:w w:val="93"/>
              </w:rPr>
              <w:t>Adjusted</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8B8683"/>
            </w:tcBorders>
          </w:tcPr>
          <w:p>
            <w:pPr>
              <w:spacing w:after="0"/>
              <w:rPr>
                <w:sz w:val="14"/>
                <w:szCs w:val="14"/>
                <w:color w:val="auto"/>
              </w:rPr>
            </w:pPr>
          </w:p>
        </w:tc>
        <w:tc>
          <w:tcPr>
            <w:tcW w:w="40" w:type="dxa"/>
            <w:vAlign w:val="bottom"/>
            <w:tcBorders>
              <w:bottom w:val="single" w:sz="8" w:color="8B8683"/>
            </w:tcBorders>
          </w:tcPr>
          <w:p>
            <w:pPr>
              <w:spacing w:after="0"/>
              <w:rPr>
                <w:sz w:val="14"/>
                <w:szCs w:val="14"/>
                <w:color w:val="auto"/>
              </w:rPr>
            </w:pPr>
          </w:p>
        </w:tc>
        <w:tc>
          <w:tcPr>
            <w:tcW w:w="140" w:type="dxa"/>
            <w:vAlign w:val="bottom"/>
            <w:tcBorders>
              <w:bottom w:val="single" w:sz="8" w:color="C9C8C2"/>
            </w:tcBorders>
          </w:tcPr>
          <w:p>
            <w:pPr>
              <w:spacing w:after="0"/>
              <w:rPr>
                <w:sz w:val="14"/>
                <w:szCs w:val="14"/>
                <w:color w:val="auto"/>
              </w:rPr>
            </w:pPr>
          </w:p>
        </w:tc>
        <w:tc>
          <w:tcPr>
            <w:tcW w:w="180" w:type="dxa"/>
            <w:vAlign w:val="bottom"/>
            <w:tcBorders>
              <w:bottom w:val="single" w:sz="8" w:color="C9C8C2"/>
            </w:tcBorders>
          </w:tcPr>
          <w:p>
            <w:pPr>
              <w:spacing w:after="0"/>
              <w:rPr>
                <w:sz w:val="14"/>
                <w:szCs w:val="14"/>
                <w:color w:val="auto"/>
              </w:rPr>
            </w:pPr>
          </w:p>
        </w:tc>
        <w:tc>
          <w:tcPr>
            <w:tcW w:w="280" w:type="dxa"/>
            <w:vAlign w:val="bottom"/>
            <w:tcBorders>
              <w:bottom w:val="single" w:sz="8" w:color="C9C8C2"/>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C9C8C2"/>
            </w:tcBorders>
          </w:tcPr>
          <w:p>
            <w:pPr>
              <w:spacing w:after="0"/>
              <w:rPr>
                <w:sz w:val="14"/>
                <w:szCs w:val="14"/>
                <w:color w:val="auto"/>
              </w:rPr>
            </w:pPr>
          </w:p>
        </w:tc>
        <w:tc>
          <w:tcPr>
            <w:tcW w:w="140" w:type="dxa"/>
            <w:vAlign w:val="bottom"/>
            <w:tcBorders>
              <w:bottom w:val="single" w:sz="8" w:color="C9C8C2"/>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C9C8C2"/>
            </w:tcBorders>
          </w:tcPr>
          <w:p>
            <w:pPr>
              <w:spacing w:after="0"/>
              <w:rPr>
                <w:sz w:val="14"/>
                <w:szCs w:val="14"/>
                <w:color w:val="auto"/>
              </w:rPr>
            </w:pPr>
          </w:p>
        </w:tc>
        <w:tc>
          <w:tcPr>
            <w:tcW w:w="140" w:type="dxa"/>
            <w:vAlign w:val="bottom"/>
            <w:tcBorders>
              <w:bottom w:val="single" w:sz="8" w:color="C9C8C2"/>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C9C8C2"/>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5"/>
            <w:vMerge w:val="restart"/>
          </w:tcPr>
          <w:p>
            <w:pPr>
              <w:jc w:val="right"/>
              <w:spacing w:after="0"/>
              <w:rPr>
                <w:sz w:val="20"/>
                <w:szCs w:val="20"/>
                <w:color w:val="auto"/>
              </w:rPr>
            </w:pPr>
            <w:r>
              <w:rPr>
                <w:rFonts w:ascii="Arial" w:cs="Arial" w:eastAsia="Arial" w:hAnsi="Arial"/>
                <w:sz w:val="8"/>
                <w:szCs w:val="8"/>
                <w:color w:val="auto"/>
              </w:rPr>
              <w:t>5.8%</w:t>
            </w:r>
          </w:p>
        </w:tc>
        <w:tc>
          <w:tcPr>
            <w:tcW w:w="140" w:type="dxa"/>
            <w:vAlign w:val="bottom"/>
          </w:tcPr>
          <w:p>
            <w:pPr>
              <w:spacing w:after="0"/>
              <w:rPr>
                <w:sz w:val="5"/>
                <w:szCs w:val="5"/>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8"/>
                <w:szCs w:val="8"/>
                <w:color w:val="auto"/>
              </w:rPr>
              <w:t>6.3%</w:t>
            </w:r>
          </w:p>
        </w:tc>
        <w:tc>
          <w:tcPr>
            <w:tcW w:w="140" w:type="dxa"/>
            <w:vAlign w:val="bottom"/>
          </w:tcPr>
          <w:p>
            <w:pPr>
              <w:spacing w:after="0"/>
              <w:rPr>
                <w:sz w:val="5"/>
                <w:szCs w:val="5"/>
                <w:color w:val="auto"/>
              </w:rPr>
            </w:pPr>
          </w:p>
        </w:tc>
        <w:tc>
          <w:tcPr>
            <w:tcW w:w="880" w:type="dxa"/>
            <w:vAlign w:val="bottom"/>
            <w:gridSpan w:val="4"/>
            <w:vMerge w:val="restart"/>
          </w:tcPr>
          <w:p>
            <w:pPr>
              <w:jc w:val="right"/>
              <w:ind w:right="2"/>
              <w:spacing w:after="0"/>
              <w:rPr>
                <w:sz w:val="20"/>
                <w:szCs w:val="20"/>
                <w:color w:val="auto"/>
              </w:rPr>
            </w:pPr>
            <w:r>
              <w:rPr>
                <w:rFonts w:ascii="Arial" w:cs="Arial" w:eastAsia="Arial" w:hAnsi="Arial"/>
                <w:sz w:val="12"/>
                <w:szCs w:val="12"/>
                <w:color w:val="auto"/>
              </w:rPr>
              <w:t>6.0%</w:t>
            </w:r>
          </w:p>
        </w:tc>
        <w:tc>
          <w:tcPr>
            <w:tcW w:w="140" w:type="dxa"/>
            <w:vAlign w:val="bottom"/>
            <w:vMerge w:val="restart"/>
            <w:textDirection w:val="tbRl"/>
          </w:tcPr>
          <w:p>
            <w:pPr>
              <w:jc w:val="right"/>
              <w:ind w:left="14"/>
              <w:spacing w:after="0"/>
              <w:rPr>
                <w:sz w:val="20"/>
                <w:szCs w:val="20"/>
                <w:color w:val="auto"/>
              </w:rPr>
            </w:pPr>
            <w:r>
              <w:rPr>
                <w:rFonts w:ascii="Arial" w:cs="Arial" w:eastAsia="Arial" w:hAnsi="Arial"/>
                <w:sz w:val="11"/>
                <w:szCs w:val="11"/>
                <w:color w:val="auto"/>
                <w:w w:val="80"/>
              </w:rPr>
              <w:t>EBITDA</w:t>
            </w:r>
          </w:p>
        </w:tc>
        <w:tc>
          <w:tcPr>
            <w:tcW w:w="0" w:type="dxa"/>
            <w:vAlign w:val="bottom"/>
          </w:tcPr>
          <w:p>
            <w:pPr>
              <w:spacing w:after="0"/>
              <w:rPr>
                <w:sz w:val="1"/>
                <w:szCs w:val="1"/>
                <w:color w:val="auto"/>
              </w:rPr>
            </w:pPr>
          </w:p>
        </w:tc>
      </w:tr>
      <w:tr>
        <w:trPr>
          <w:trHeight w:val="254"/>
        </w:trPr>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4"/>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$25</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gridSpan w:val="3"/>
          </w:tcPr>
          <w:p>
            <w:pPr>
              <w:jc w:val="right"/>
              <w:ind w:right="20"/>
              <w:spacing w:after="0" w:line="69" w:lineRule="exact"/>
              <w:rPr>
                <w:sz w:val="20"/>
                <w:szCs w:val="20"/>
                <w:color w:val="auto"/>
              </w:rPr>
            </w:pPr>
            <w:r>
              <w:rPr>
                <w:rFonts w:ascii="Arial" w:cs="Arial" w:eastAsia="Arial" w:hAnsi="Arial"/>
                <w:sz w:val="8"/>
                <w:szCs w:val="8"/>
                <w:color w:val="FFFFFF"/>
              </w:rPr>
              <w:t>5.7%</w:t>
            </w: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60" w:type="dxa"/>
            <w:vAlign w:val="bottom"/>
            <w:vMerge w:val="continue"/>
          </w:tcPr>
          <w:p>
            <w:pPr>
              <w:spacing w:after="0"/>
              <w:rPr>
                <w:sz w:val="2"/>
                <w:szCs w:val="2"/>
                <w:color w:val="auto"/>
              </w:rPr>
            </w:pPr>
          </w:p>
        </w:tc>
        <w:tc>
          <w:tcPr>
            <w:tcW w:w="20" w:type="dxa"/>
            <w:vAlign w:val="bottom"/>
            <w:tcBorders>
              <w:bottom w:val="single" w:sz="8" w:color="8B8683"/>
            </w:tcBorders>
          </w:tcPr>
          <w:p>
            <w:pPr>
              <w:spacing w:after="0"/>
              <w:rPr>
                <w:sz w:val="2"/>
                <w:szCs w:val="2"/>
                <w:color w:val="auto"/>
              </w:rPr>
            </w:pPr>
          </w:p>
        </w:tc>
        <w:tc>
          <w:tcPr>
            <w:tcW w:w="20" w:type="dxa"/>
            <w:vAlign w:val="bottom"/>
            <w:tcBorders>
              <w:bottom w:val="single" w:sz="8" w:color="8B8683"/>
            </w:tcBorders>
          </w:tcPr>
          <w:p>
            <w:pPr>
              <w:spacing w:after="0"/>
              <w:rPr>
                <w:sz w:val="2"/>
                <w:szCs w:val="2"/>
                <w:color w:val="auto"/>
              </w:rPr>
            </w:pPr>
          </w:p>
        </w:tc>
        <w:tc>
          <w:tcPr>
            <w:tcW w:w="20" w:type="dxa"/>
            <w:vAlign w:val="bottom"/>
            <w:tcBorders>
              <w:bottom w:val="single" w:sz="8" w:color="8B8683"/>
            </w:tcBorders>
          </w:tcPr>
          <w:p>
            <w:pPr>
              <w:spacing w:after="0"/>
              <w:rPr>
                <w:sz w:val="2"/>
                <w:szCs w:val="2"/>
                <w:color w:val="auto"/>
              </w:rPr>
            </w:pPr>
          </w:p>
        </w:tc>
        <w:tc>
          <w:tcPr>
            <w:tcW w:w="40" w:type="dxa"/>
            <w:vAlign w:val="bottom"/>
            <w:tcBorders>
              <w:bottom w:val="single" w:sz="8" w:color="8B8683"/>
            </w:tcBorders>
          </w:tcPr>
          <w:p>
            <w:pPr>
              <w:spacing w:after="0"/>
              <w:rPr>
                <w:sz w:val="2"/>
                <w:szCs w:val="2"/>
                <w:color w:val="auto"/>
              </w:rPr>
            </w:pPr>
          </w:p>
        </w:tc>
        <w:tc>
          <w:tcPr>
            <w:tcW w:w="600" w:type="dxa"/>
            <w:vAlign w:val="bottom"/>
            <w:gridSpan w:val="3"/>
            <w:vMerge w:val="restart"/>
          </w:tcPr>
          <w:p>
            <w:pPr>
              <w:jc w:val="right"/>
              <w:ind w:right="280"/>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40" w:type="dxa"/>
            <w:vAlign w:val="bottom"/>
            <w:tcBorders>
              <w:bottom w:val="single" w:sz="8" w:color="C9C8C2"/>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C9C8C2"/>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8"/>
                <w:szCs w:val="8"/>
                <w:color w:val="FFFFFF"/>
              </w:rPr>
              <w:t>4.8%</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vMerge w:val="restart"/>
            <w:textDirection w:val="tbRl"/>
          </w:tcPr>
          <w:p>
            <w:pPr>
              <w:jc w:val="right"/>
              <w:ind w:left="32"/>
              <w:spacing w:after="0" w:line="204" w:lineRule="auto"/>
              <w:rPr>
                <w:sz w:val="20"/>
                <w:szCs w:val="20"/>
                <w:color w:val="auto"/>
              </w:rPr>
            </w:pPr>
            <w:r>
              <w:rPr>
                <w:rFonts w:ascii="Arial" w:cs="Arial" w:eastAsia="Arial" w:hAnsi="Arial"/>
                <w:sz w:val="11"/>
                <w:szCs w:val="11"/>
                <w:color w:val="auto"/>
                <w:w w:val="95"/>
              </w:rPr>
              <w:t>margin</w:t>
            </w:r>
          </w:p>
        </w:tc>
        <w:tc>
          <w:tcPr>
            <w:tcW w:w="0" w:type="dxa"/>
            <w:vAlign w:val="bottom"/>
          </w:tcPr>
          <w:p>
            <w:pPr>
              <w:spacing w:after="0"/>
              <w:rPr>
                <w:sz w:val="1"/>
                <w:szCs w:val="1"/>
                <w:color w:val="auto"/>
              </w:rPr>
            </w:pPr>
          </w:p>
        </w:tc>
      </w:tr>
      <w:tr>
        <w:trPr>
          <w:trHeight w:val="193"/>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$20</w:t>
            </w:r>
          </w:p>
        </w:tc>
        <w:tc>
          <w:tcPr>
            <w:tcW w:w="20" w:type="dxa"/>
            <w:vAlign w:val="bottom"/>
            <w:vMerge w:val="restart"/>
          </w:tcPr>
          <w:p>
            <w:pPr>
              <w:spacing w:after="0"/>
              <w:rPr>
                <w:sz w:val="16"/>
                <w:szCs w:val="16"/>
                <w:color w:val="auto"/>
              </w:rPr>
            </w:pPr>
          </w:p>
        </w:tc>
        <w:tc>
          <w:tcPr>
            <w:tcW w:w="20" w:type="dxa"/>
            <w:vAlign w:val="bottom"/>
            <w:tcBorders>
              <w:bottom w:val="single" w:sz="8" w:color="8B8683"/>
            </w:tcBorders>
          </w:tcPr>
          <w:p>
            <w:pPr>
              <w:spacing w:after="0"/>
              <w:rPr>
                <w:sz w:val="16"/>
                <w:szCs w:val="16"/>
                <w:color w:val="auto"/>
              </w:rPr>
            </w:pPr>
          </w:p>
        </w:tc>
        <w:tc>
          <w:tcPr>
            <w:tcW w:w="20" w:type="dxa"/>
            <w:vAlign w:val="bottom"/>
            <w:tcBorders>
              <w:bottom w:val="single" w:sz="8" w:color="8B8683"/>
            </w:tcBorders>
          </w:tcPr>
          <w:p>
            <w:pPr>
              <w:spacing w:after="0"/>
              <w:rPr>
                <w:sz w:val="16"/>
                <w:szCs w:val="16"/>
                <w:color w:val="auto"/>
              </w:rPr>
            </w:pPr>
          </w:p>
        </w:tc>
        <w:tc>
          <w:tcPr>
            <w:tcW w:w="40" w:type="dxa"/>
            <w:vAlign w:val="bottom"/>
            <w:tcBorders>
              <w:bottom w:val="single" w:sz="8" w:color="8B8683"/>
            </w:tcBorders>
          </w:tcPr>
          <w:p>
            <w:pPr>
              <w:spacing w:after="0"/>
              <w:rPr>
                <w:sz w:val="16"/>
                <w:szCs w:val="16"/>
                <w:color w:val="auto"/>
              </w:rPr>
            </w:pPr>
          </w:p>
        </w:tc>
        <w:tc>
          <w:tcPr>
            <w:tcW w:w="140" w:type="dxa"/>
            <w:vAlign w:val="bottom"/>
            <w:tcBorders>
              <w:bottom w:val="single" w:sz="8" w:color="C9C8C2"/>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C9C8C2"/>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C9C8C2"/>
            </w:tcBorders>
          </w:tcPr>
          <w:p>
            <w:pPr>
              <w:spacing w:after="0"/>
              <w:rPr>
                <w:sz w:val="16"/>
                <w:szCs w:val="16"/>
                <w:color w:val="auto"/>
              </w:rPr>
            </w:pPr>
          </w:p>
        </w:tc>
        <w:tc>
          <w:tcPr>
            <w:tcW w:w="140" w:type="dxa"/>
            <w:vAlign w:val="bottom"/>
            <w:tcBorders>
              <w:bottom w:val="single" w:sz="8" w:color="C9C8C2"/>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C9C8C2"/>
            </w:tcBorders>
          </w:tcPr>
          <w:p>
            <w:pPr>
              <w:spacing w:after="0"/>
              <w:rPr>
                <w:sz w:val="16"/>
                <w:szCs w:val="16"/>
                <w:color w:val="auto"/>
              </w:rPr>
            </w:pPr>
          </w:p>
        </w:tc>
        <w:tc>
          <w:tcPr>
            <w:tcW w:w="140" w:type="dxa"/>
            <w:vAlign w:val="bottom"/>
            <w:tcBorders>
              <w:bottom w:val="single" w:sz="8" w:color="C9C8C2"/>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C9C8C2"/>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4"/>
            <w:vMerge w:val="restart"/>
          </w:tcPr>
          <w:p>
            <w:pPr>
              <w:jc w:val="right"/>
              <w:ind w:right="2"/>
              <w:spacing w:after="0"/>
              <w:rPr>
                <w:sz w:val="20"/>
                <w:szCs w:val="20"/>
                <w:color w:val="auto"/>
              </w:rPr>
            </w:pPr>
            <w:r>
              <w:rPr>
                <w:rFonts w:ascii="Arial" w:cs="Arial" w:eastAsia="Arial" w:hAnsi="Arial"/>
                <w:sz w:val="12"/>
                <w:szCs w:val="12"/>
                <w:color w:val="auto"/>
              </w:rPr>
              <w:t>4.0%</w:t>
            </w:r>
          </w:p>
        </w:tc>
        <w:tc>
          <w:tcPr>
            <w:tcW w:w="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60" w:type="dxa"/>
            <w:vAlign w:val="bottom"/>
            <w:vMerge w:val="restart"/>
          </w:tcPr>
          <w:p>
            <w:pPr>
              <w:jc w:val="right"/>
              <w:ind w:right="22"/>
              <w:spacing w:after="0"/>
              <w:rPr>
                <w:sz w:val="20"/>
                <w:szCs w:val="20"/>
                <w:color w:val="auto"/>
              </w:rPr>
            </w:pPr>
            <w:r>
              <w:rPr>
                <w:rFonts w:ascii="Arial" w:cs="Arial" w:eastAsia="Arial" w:hAnsi="Arial"/>
                <w:sz w:val="12"/>
                <w:szCs w:val="12"/>
                <w:color w:val="auto"/>
                <w:w w:val="79"/>
              </w:rPr>
              <w:t>$15</w:t>
            </w: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C9C8C2"/>
            </w:tcBorders>
          </w:tcPr>
          <w:p>
            <w:pPr>
              <w:spacing w:after="0"/>
              <w:rPr>
                <w:sz w:val="20"/>
                <w:szCs w:val="20"/>
                <w:color w:val="auto"/>
              </w:rPr>
            </w:pPr>
          </w:p>
        </w:tc>
        <w:tc>
          <w:tcPr>
            <w:tcW w:w="140" w:type="dxa"/>
            <w:vAlign w:val="bottom"/>
            <w:tcBorders>
              <w:bottom w:val="single" w:sz="8" w:color="C9C8C2"/>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C9C8C2"/>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C9C8C2"/>
            </w:tcBorders>
          </w:tcPr>
          <w:p>
            <w:pPr>
              <w:spacing w:after="0"/>
              <w:rPr>
                <w:sz w:val="20"/>
                <w:szCs w:val="20"/>
                <w:color w:val="auto"/>
              </w:rPr>
            </w:pPr>
          </w:p>
        </w:tc>
        <w:tc>
          <w:tcPr>
            <w:tcW w:w="140" w:type="dxa"/>
            <w:vAlign w:val="bottom"/>
            <w:tcBorders>
              <w:bottom w:val="single" w:sz="8" w:color="C9C8C2"/>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C9C8C2"/>
            </w:tcBorders>
          </w:tcPr>
          <w:p>
            <w:pPr>
              <w:spacing w:after="0"/>
              <w:rPr>
                <w:sz w:val="20"/>
                <w:szCs w:val="20"/>
                <w:color w:val="auto"/>
              </w:rPr>
            </w:pPr>
          </w:p>
        </w:tc>
        <w:tc>
          <w:tcPr>
            <w:tcW w:w="140" w:type="dxa"/>
            <w:vAlign w:val="bottom"/>
            <w:tcBorders>
              <w:bottom w:val="single" w:sz="8" w:color="C9C8C2"/>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C9C8C2"/>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Borders>
              <w:top w:val="single" w:sz="8" w:color="8B8683"/>
            </w:tcBorders>
          </w:tcPr>
          <w:p>
            <w:pPr>
              <w:spacing w:after="0"/>
              <w:rPr>
                <w:sz w:val="2"/>
                <w:szCs w:val="2"/>
                <w:color w:val="auto"/>
              </w:rPr>
            </w:pPr>
          </w:p>
        </w:tc>
        <w:tc>
          <w:tcPr>
            <w:tcW w:w="40" w:type="dxa"/>
            <w:vAlign w:val="bottom"/>
            <w:tcBorders>
              <w:top w:val="single" w:sz="8" w:color="8B8683"/>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C9C8C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40" w:type="dxa"/>
            <w:vAlign w:val="bottom"/>
            <w:tcBorders>
              <w:top w:val="single" w:sz="8" w:color="C9C8C2"/>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C9C8C2"/>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194945</wp:posOffset>
                </wp:positionH>
                <wp:positionV relativeFrom="paragraph">
                  <wp:posOffset>-43180</wp:posOffset>
                </wp:positionV>
                <wp:extent cx="12249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3.3999pt" to="111.8pt,-3.3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-316865</wp:posOffset>
                </wp:positionV>
                <wp:extent cx="12249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24.9499pt" to="111.8pt,-24.94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-590550</wp:posOffset>
                </wp:positionV>
                <wp:extent cx="12249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46.4999pt" to="111.8pt,-46.4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-864870</wp:posOffset>
                </wp:positionV>
                <wp:extent cx="122491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68.0999pt" to="111.8pt,-68.09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-1138555</wp:posOffset>
                </wp:positionV>
                <wp:extent cx="122491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89.6499pt" to="111.8pt,-89.6499pt" o:allowincell="f" strokecolor="#E0E4D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-1412875</wp:posOffset>
                </wp:positionV>
                <wp:extent cx="12249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915" cy="4763"/>
                        </a:xfrm>
                        <a:prstGeom prst="line">
                          <a:avLst/>
                        </a:prstGeom>
                        <a:solidFill>
                          <a:srgbClr val="FFFFFF"/>
                        </a:solidFill>
                        <a:ln w="0">
                          <a:solidFill>
                            <a:srgbClr val="E0E4DD"/>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111.2499pt" to="111.8pt,-111.2499pt" o:allowincell="f" strokecolor="#E0E4DD" strokeweight="0pt"/>
            </w:pict>
          </mc:Fallback>
        </mc:AlternateConten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$10  </w:t>
      </w:r>
      <w:r>
        <w:rPr>
          <w:sz w:val="1"/>
          <w:szCs w:val="1"/>
          <w:color w:val="auto"/>
        </w:rPr>
        <w:drawing>
          <wp:inline distT="0" distB="0" distL="0" distR="0">
            <wp:extent cx="1249680" cy="482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1249680" cy="48260"/>
                    </a:xfrm>
                    <a:prstGeom prst="rect">
                      <a:avLst/>
                    </a:prstGeom>
                    <a:noFill/>
                    <a:ln>
                      <a:noFill/>
                    </a:ln>
                  </pic:spPr>
                </pic:pic>
              </a:graphicData>
            </a:graphic>
          </wp:inline>
        </w:drawing>
      </w:r>
      <w:r>
        <w:rPr>
          <w:rFonts w:ascii="Arial" w:cs="Arial" w:eastAsia="Arial" w:hAnsi="Arial"/>
          <w:sz w:val="12"/>
          <w:szCs w:val="12"/>
          <w:color w:val="auto"/>
        </w:rPr>
        <w:t xml:space="preserve">  2.0%</w:t>
      </w:r>
    </w:p>
    <w:p>
      <w:pPr>
        <w:spacing w:after="0" w:line="66" w:lineRule="exact"/>
        <w:rPr>
          <w:sz w:val="20"/>
          <w:szCs w:val="20"/>
          <w:color w:val="auto"/>
        </w:rPr>
      </w:pPr>
    </w:p>
    <w:p>
      <w:pPr>
        <w:ind w:left="460"/>
        <w:spacing w:after="0"/>
        <w:tabs>
          <w:tab w:leader="none" w:pos="900" w:val="left"/>
          <w:tab w:leader="none" w:pos="1360" w:val="left"/>
          <w:tab w:leader="none" w:pos="1800" w:val="left"/>
        </w:tabs>
        <w:rPr>
          <w:sz w:val="20"/>
          <w:szCs w:val="20"/>
          <w:color w:val="auto"/>
        </w:rPr>
      </w:pPr>
      <w:r>
        <w:rPr>
          <w:rFonts w:ascii="Arial" w:cs="Arial" w:eastAsia="Arial" w:hAnsi="Arial"/>
          <w:sz w:val="12"/>
          <w:szCs w:val="12"/>
          <w:color w:val="auto"/>
        </w:rPr>
        <w:t>2022</w:t>
      </w:r>
      <w:r>
        <w:rPr>
          <w:sz w:val="20"/>
          <w:szCs w:val="20"/>
          <w:color w:val="auto"/>
        </w:rPr>
        <w:tab/>
      </w:r>
      <w:r>
        <w:rPr>
          <w:rFonts w:ascii="Arial" w:cs="Arial" w:eastAsia="Arial" w:hAnsi="Arial"/>
          <w:sz w:val="12"/>
          <w:szCs w:val="12"/>
          <w:color w:val="auto"/>
        </w:rPr>
        <w:t>2023</w:t>
      </w:r>
      <w:r>
        <w:rPr>
          <w:sz w:val="20"/>
          <w:szCs w:val="20"/>
          <w:color w:val="auto"/>
        </w:rPr>
        <w:tab/>
      </w:r>
      <w:r>
        <w:rPr>
          <w:rFonts w:ascii="Arial" w:cs="Arial" w:eastAsia="Arial" w:hAnsi="Arial"/>
          <w:sz w:val="12"/>
          <w:szCs w:val="12"/>
          <w:color w:val="auto"/>
        </w:rPr>
        <w:t>2024</w:t>
      </w:r>
      <w:r>
        <w:rPr>
          <w:sz w:val="20"/>
          <w:szCs w:val="20"/>
          <w:color w:val="auto"/>
        </w:rPr>
        <w:tab/>
      </w:r>
      <w:r>
        <w:rPr>
          <w:rFonts w:ascii="Arial" w:cs="Arial" w:eastAsia="Arial" w:hAnsi="Arial"/>
          <w:sz w:val="10"/>
          <w:szCs w:val="10"/>
          <w:color w:val="auto"/>
        </w:rPr>
        <w:t>2025</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2846"/>
        <w:spacing w:after="0"/>
        <w:rPr>
          <w:sz w:val="20"/>
          <w:szCs w:val="20"/>
          <w:color w:val="auto"/>
        </w:rPr>
      </w:pPr>
      <w:r>
        <w:rPr>
          <w:rFonts w:ascii="Arial" w:cs="Arial" w:eastAsia="Arial" w:hAnsi="Arial"/>
          <w:sz w:val="25"/>
          <w:szCs w:val="25"/>
          <w:color w:val="C00015"/>
        </w:rPr>
        <w:t>Revenue</w:t>
      </w:r>
    </w:p>
    <w:p>
      <w:pPr>
        <w:spacing w:after="0" w:line="191" w:lineRule="exact"/>
        <w:rPr>
          <w:sz w:val="20"/>
          <w:szCs w:val="20"/>
          <w:color w:val="auto"/>
        </w:rPr>
      </w:pPr>
    </w:p>
    <w:p>
      <w:pPr>
        <w:ind w:left="1146"/>
        <w:spacing w:after="0"/>
        <w:rPr>
          <w:sz w:val="20"/>
          <w:szCs w:val="20"/>
          <w:color w:val="auto"/>
        </w:rPr>
      </w:pPr>
      <w:r>
        <w:rPr>
          <w:rFonts w:ascii="Arial" w:cs="Arial" w:eastAsia="Arial" w:hAnsi="Arial"/>
          <w:sz w:val="68"/>
          <w:szCs w:val="68"/>
          <w:color w:val="auto"/>
        </w:rPr>
        <w:t>$189.3m</w:t>
      </w:r>
    </w:p>
    <w:p>
      <w:pPr>
        <w:spacing w:after="0" w:line="150" w:lineRule="exact"/>
        <w:rPr>
          <w:sz w:val="20"/>
          <w:szCs w:val="20"/>
          <w:color w:val="auto"/>
        </w:rPr>
      </w:pPr>
    </w:p>
    <w:p>
      <w:pPr>
        <w:ind w:left="2746"/>
        <w:spacing w:after="0"/>
        <w:rPr>
          <w:sz w:val="20"/>
          <w:szCs w:val="20"/>
          <w:color w:val="auto"/>
        </w:rPr>
      </w:pPr>
      <w:r>
        <w:rPr>
          <w:rFonts w:ascii="Arial" w:cs="Arial" w:eastAsia="Arial" w:hAnsi="Arial"/>
          <w:sz w:val="25"/>
          <w:szCs w:val="25"/>
          <w:color w:val="C00015"/>
        </w:rPr>
        <w:t>Backlog</w:t>
      </w:r>
      <w:r>
        <w:rPr>
          <w:rFonts w:ascii="Arial" w:cs="Arial" w:eastAsia="Arial" w:hAnsi="Arial"/>
          <w:sz w:val="25"/>
          <w:szCs w:val="25"/>
          <w:color w:val="C00015"/>
          <w:vertAlign w:val="superscript"/>
        </w:rPr>
        <w:t>(1)</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68"/>
          <w:szCs w:val="68"/>
          <w:color w:val="auto"/>
        </w:rPr>
        <w:t>$21.9m</w:t>
      </w:r>
    </w:p>
    <w:p>
      <w:pPr>
        <w:spacing w:after="0" w:line="150" w:lineRule="exact"/>
        <w:rPr>
          <w:sz w:val="20"/>
          <w:szCs w:val="20"/>
          <w:color w:val="auto"/>
        </w:rPr>
      </w:pPr>
    </w:p>
    <w:p>
      <w:pPr>
        <w:jc w:val="right"/>
        <w:spacing w:after="0" w:line="328" w:lineRule="exact"/>
        <w:rPr>
          <w:sz w:val="20"/>
          <w:szCs w:val="20"/>
          <w:color w:val="auto"/>
        </w:rPr>
      </w:pPr>
      <w:r>
        <w:rPr>
          <w:rFonts w:ascii="Arial" w:cs="Arial" w:eastAsia="Arial" w:hAnsi="Arial"/>
          <w:sz w:val="27"/>
          <w:szCs w:val="27"/>
          <w:color w:val="C00015"/>
        </w:rPr>
        <w:t>3TIVEXMRK</w:t>
      </w:r>
      <w:r>
        <w:rPr>
          <w:rFonts w:ascii="PMingLiU" w:cs="PMingLiU" w:eastAsia="PMingLiU" w:hAnsi="PMingLiU"/>
          <w:sz w:val="27"/>
          <w:szCs w:val="27"/>
          <w:color w:val="C00015"/>
        </w:rPr>
        <w:t/>
      </w:r>
      <w:r>
        <w:rPr>
          <w:rFonts w:ascii="Arial" w:cs="Arial" w:eastAsia="Arial" w:hAnsi="Arial"/>
          <w:sz w:val="27"/>
          <w:szCs w:val="27"/>
          <w:color w:val="C00015"/>
        </w:rPr>
        <w:t>4VSǖX</w:t>
      </w:r>
    </w:p>
    <w:p>
      <w:pPr>
        <w:spacing w:after="0" w:line="151" w:lineRule="exact"/>
        <w:rPr>
          <w:sz w:val="20"/>
          <w:szCs w:val="20"/>
          <w:color w:val="auto"/>
        </w:rPr>
      </w:pPr>
    </w:p>
    <w:p>
      <w:pPr>
        <w:ind w:left="1546"/>
        <w:spacing w:after="0"/>
        <w:rPr>
          <w:sz w:val="20"/>
          <w:szCs w:val="20"/>
          <w:color w:val="auto"/>
        </w:rPr>
      </w:pPr>
      <w:r>
        <w:rPr>
          <w:rFonts w:ascii="Arial" w:cs="Arial" w:eastAsia="Arial" w:hAnsi="Arial"/>
          <w:sz w:val="68"/>
          <w:szCs w:val="68"/>
          <w:color w:val="auto"/>
        </w:rPr>
        <w:t>$39.1m</w:t>
      </w:r>
    </w:p>
    <w:p>
      <w:pPr>
        <w:spacing w:after="0" w:line="150" w:lineRule="exact"/>
        <w:rPr>
          <w:sz w:val="20"/>
          <w:szCs w:val="20"/>
          <w:color w:val="auto"/>
        </w:rPr>
      </w:pPr>
    </w:p>
    <w:p>
      <w:pPr>
        <w:ind w:left="1686"/>
        <w:spacing w:after="0"/>
        <w:rPr>
          <w:sz w:val="20"/>
          <w:szCs w:val="20"/>
          <w:color w:val="auto"/>
        </w:rPr>
      </w:pPr>
      <w:r>
        <w:rPr>
          <w:rFonts w:ascii="Arial" w:cs="Arial" w:eastAsia="Arial" w:hAnsi="Arial"/>
          <w:sz w:val="25"/>
          <w:szCs w:val="25"/>
          <w:color w:val="C00015"/>
        </w:rPr>
        <w:t>Adjusted EBITDA</w:t>
      </w:r>
      <w:r>
        <w:rPr>
          <w:rFonts w:ascii="Arial" w:cs="Arial" w:eastAsia="Arial" w:hAnsi="Arial"/>
          <w:sz w:val="25"/>
          <w:szCs w:val="25"/>
          <w:color w:val="C00015"/>
          <w:vertAlign w:val="superscript"/>
        </w:rPr>
        <w:t>(1)</w:t>
      </w:r>
    </w:p>
    <w:p>
      <w:pPr>
        <w:spacing w:after="0" w:line="200" w:lineRule="exact"/>
        <w:rPr>
          <w:sz w:val="20"/>
          <w:szCs w:val="20"/>
          <w:color w:val="auto"/>
        </w:rPr>
      </w:pPr>
    </w:p>
    <w:p>
      <w:pPr>
        <w:spacing w:after="0" w:line="351" w:lineRule="exact"/>
        <w:rPr>
          <w:sz w:val="20"/>
          <w:szCs w:val="20"/>
          <w:color w:val="auto"/>
        </w:rPr>
      </w:pPr>
    </w:p>
    <w:p>
      <w:pPr>
        <w:ind w:left="1146"/>
        <w:spacing w:after="0"/>
        <w:rPr>
          <w:sz w:val="20"/>
          <w:szCs w:val="20"/>
          <w:color w:val="auto"/>
        </w:rPr>
      </w:pPr>
      <w:r>
        <w:rPr>
          <w:rFonts w:ascii="Arial" w:cs="Arial" w:eastAsia="Arial" w:hAnsi="Arial"/>
          <w:sz w:val="68"/>
          <w:szCs w:val="68"/>
          <w:color w:val="auto"/>
        </w:rPr>
        <w:t>$540.9m</w:t>
      </w:r>
    </w:p>
    <w:p>
      <w:pPr>
        <w:spacing w:after="0" w:line="150" w:lineRule="exact"/>
        <w:rPr>
          <w:sz w:val="20"/>
          <w:szCs w:val="20"/>
          <w:color w:val="auto"/>
        </w:rPr>
      </w:pPr>
    </w:p>
    <w:p>
      <w:pPr>
        <w:ind w:left="1766"/>
        <w:spacing w:after="0"/>
        <w:rPr>
          <w:sz w:val="20"/>
          <w:szCs w:val="20"/>
          <w:color w:val="auto"/>
        </w:rPr>
      </w:pPr>
      <w:r>
        <w:rPr>
          <w:rFonts w:ascii="Arial" w:cs="Arial" w:eastAsia="Arial" w:hAnsi="Arial"/>
          <w:sz w:val="25"/>
          <w:szCs w:val="25"/>
          <w:color w:val="C00015"/>
        </w:rPr>
        <w:t>New Orders, Net</w:t>
      </w:r>
      <w:r>
        <w:rPr>
          <w:rFonts w:ascii="Arial" w:cs="Arial" w:eastAsia="Arial" w:hAnsi="Arial"/>
          <w:sz w:val="25"/>
          <w:szCs w:val="25"/>
          <w:color w:val="C00015"/>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6" w:right="140" w:hanging="346"/>
        <w:spacing w:after="0" w:line="388" w:lineRule="auto"/>
        <w:tabs>
          <w:tab w:leader="none" w:pos="346" w:val="left"/>
        </w:tabs>
        <w:numPr>
          <w:ilvl w:val="0"/>
          <w:numId w:val="1"/>
        </w:numPr>
        <w:rPr>
          <w:rFonts w:ascii="Arial" w:cs="Arial" w:eastAsia="Arial" w:hAnsi="Arial"/>
          <w:sz w:val="7"/>
          <w:szCs w:val="7"/>
          <w:color w:val="auto"/>
        </w:rPr>
      </w:pPr>
      <w:r>
        <w:rPr>
          <w:rFonts w:ascii="Arial" w:cs="Arial" w:eastAsia="Arial" w:hAnsi="Arial"/>
          <w:sz w:val="12"/>
          <w:szCs w:val="12"/>
          <w:color w:val="auto"/>
        </w:rPr>
        <w:t>See “Non-GAAP Disclosures” on page 8 for a further description and additional information regarding adjusted EBITDA, new orders, net, backlog, and sales and gross profit adjusted for non-routine items, and related reconciliations to comparable GAAP financial measures.</w:t>
      </w:r>
    </w:p>
    <w:p>
      <w:pPr>
        <w:spacing w:after="0" w:line="200" w:lineRule="exact"/>
        <w:rPr>
          <w:sz w:val="20"/>
          <w:szCs w:val="20"/>
          <w:color w:val="auto"/>
        </w:rPr>
      </w:pPr>
    </w:p>
    <w:p>
      <w:pPr>
        <w:sectPr>
          <w:pgSz w:w="11880" w:h="15480" w:orient="portrait"/>
          <w:cols w:equalWidth="0" w:num="4">
            <w:col w:w="2969" w:space="720"/>
            <w:col w:w="122" w:space="89"/>
            <w:col w:w="2880" w:space="94"/>
            <w:col w:w="3866"/>
          </w:cols>
          <w:pgMar w:left="420" w:top="537"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160"/>
        <w:spacing w:after="0"/>
        <w:rPr>
          <w:sz w:val="20"/>
          <w:szCs w:val="20"/>
          <w:color w:val="auto"/>
        </w:rPr>
      </w:pPr>
      <w:r>
        <w:rPr>
          <w:rFonts w:ascii="Arial" w:cs="Arial" w:eastAsia="Arial" w:hAnsi="Arial"/>
          <w:sz w:val="23"/>
          <w:szCs w:val="23"/>
          <w:b w:val="1"/>
          <w:bCs w:val="1"/>
          <w:color w:val="FFFFFF"/>
        </w:rPr>
        <w:t>Bill Thalman</w:t>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21"/>
          <w:szCs w:val="21"/>
          <w:color w:val="FFFFFF"/>
        </w:rPr>
        <w:t>Executive VP &amp; CFO</w:t>
      </w:r>
    </w:p>
    <w:p>
      <w:pPr>
        <w:sectPr>
          <w:pgSz w:w="11880" w:h="15480" w:orient="portrait"/>
          <w:cols w:equalWidth="0" w:num="1">
            <w:col w:w="10740"/>
          </w:cols>
          <w:pgMar w:left="420" w:top="537" w:right="720"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FFFFFF"/>
        </w:rPr>
        <w:t>4</w:t>
      </w:r>
    </w:p>
    <w:p>
      <w:pPr>
        <w:sectPr>
          <w:pgSz w:w="11880" w:h="15480" w:orient="portrait"/>
          <w:cols w:equalWidth="0" w:num="1">
            <w:col w:w="10740"/>
          </w:cols>
          <w:pgMar w:left="420" w:top="537" w:right="720" w:bottom="0" w:gutter="0" w:footer="0" w:header="0"/>
          <w:type w:val="continuous"/>
        </w:sectPr>
      </w:pPr>
    </w:p>
    <w:bookmarkStart w:id="4" w:name="page5"/>
    <w:bookmarkEnd w:id="4"/>
    <w:p>
      <w:pPr>
        <w:ind w:left="5180"/>
        <w:spacing w:after="0"/>
        <w:rPr>
          <w:sz w:val="20"/>
          <w:szCs w:val="20"/>
          <w:color w:val="auto"/>
        </w:rPr>
      </w:pPr>
      <w:r>
        <w:rPr>
          <w:rFonts w:ascii="Arial" w:cs="Arial" w:eastAsia="Arial" w:hAnsi="Arial"/>
          <w:sz w:val="59"/>
          <w:szCs w:val="59"/>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FOSTER </w:t>
      </w:r>
      <w:r>
        <w:rPr>
          <w:rFonts w:ascii="Arial" w:cs="Arial" w:eastAsia="Arial" w:hAnsi="Arial"/>
          <w:sz w:val="59"/>
          <w:szCs w:val="59"/>
          <w:color w:val="FFFFFF"/>
        </w:rPr>
        <w:t>FACES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left="1000" w:right="300"/>
        <w:spacing w:after="0" w:line="312" w:lineRule="auto"/>
        <w:rPr>
          <w:sz w:val="20"/>
          <w:szCs w:val="20"/>
          <w:color w:val="auto"/>
        </w:rPr>
      </w:pPr>
      <w:r>
        <w:rPr>
          <w:rFonts w:ascii="Arial" w:cs="Arial" w:eastAsia="Arial" w:hAnsi="Arial"/>
          <w:sz w:val="19"/>
          <w:szCs w:val="19"/>
          <w:color w:val="auto"/>
        </w:rPr>
        <w:t>In 2025, we introduced an internal initiative celebrating the people who drive our success: Foster Faces. Built to highlight the dedication, expertise, and character of our team, the campaign quickly became a meaningful way to recognize the individuals behind our work. This year, we’re proud to extend that spirit even further by featuring more of the faces that make L.B. Foster who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left="6180" w:right="300"/>
        <w:spacing w:after="0" w:line="276" w:lineRule="auto"/>
        <w:rPr>
          <w:sz w:val="20"/>
          <w:szCs w:val="20"/>
          <w:color w:val="auto"/>
        </w:rPr>
      </w:pPr>
      <w:r>
        <w:rPr>
          <w:rFonts w:ascii="Arial" w:cs="Arial" w:eastAsia="Arial" w:hAnsi="Arial"/>
          <w:sz w:val="27"/>
          <w:szCs w:val="27"/>
          <w:b w:val="1"/>
          <w:bCs w:val="1"/>
          <w:color w:val="FFFFFF"/>
        </w:rPr>
        <w:t xml:space="preserve">Sarah Thornton </w:t>
      </w:r>
      <w:r>
        <w:rPr>
          <w:rFonts w:ascii="Arial" w:cs="Arial" w:eastAsia="Arial" w:hAnsi="Arial"/>
          <w:sz w:val="27"/>
          <w:szCs w:val="27"/>
          <w:color w:val="FFFFFF"/>
        </w:rPr>
        <w:t>Vice President, Steel Products</w:t>
      </w:r>
    </w:p>
    <w:p>
      <w:pPr>
        <w:spacing w:after="0" w:line="71" w:lineRule="exact"/>
        <w:rPr>
          <w:sz w:val="20"/>
          <w:szCs w:val="20"/>
          <w:color w:val="auto"/>
        </w:rPr>
      </w:pPr>
    </w:p>
    <w:p>
      <w:pPr>
        <w:jc w:val="right"/>
        <w:ind w:left="4780" w:right="300"/>
        <w:spacing w:after="0" w:line="333" w:lineRule="auto"/>
        <w:rPr>
          <w:sz w:val="20"/>
          <w:szCs w:val="20"/>
          <w:color w:val="auto"/>
        </w:rPr>
      </w:pPr>
      <w:r>
        <w:rPr>
          <w:rFonts w:ascii="Arial" w:cs="Arial" w:eastAsia="Arial" w:hAnsi="Arial"/>
          <w:sz w:val="17"/>
          <w:szCs w:val="17"/>
          <w:b w:val="1"/>
          <w:bCs w:val="1"/>
          <w:color w:val="FCFCFB"/>
        </w:rPr>
        <w:t xml:space="preserve">Sarah Thornton </w:t>
      </w:r>
      <w:r>
        <w:rPr>
          <w:rFonts w:ascii="Arial" w:cs="Arial" w:eastAsia="Arial" w:hAnsi="Arial"/>
          <w:sz w:val="17"/>
          <w:szCs w:val="17"/>
          <w:color w:val="FCFCFB"/>
        </w:rPr>
        <w:t>joined the Company in 2014 and since then has</w:t>
      </w:r>
      <w:r>
        <w:rPr>
          <w:rFonts w:ascii="Arial" w:cs="Arial" w:eastAsia="Arial" w:hAnsi="Arial"/>
          <w:sz w:val="17"/>
          <w:szCs w:val="17"/>
          <w:b w:val="1"/>
          <w:bCs w:val="1"/>
          <w:color w:val="FCFCFB"/>
        </w:rPr>
        <w:t xml:space="preserve"> </w:t>
      </w:r>
      <w:r>
        <w:rPr>
          <w:rFonts w:ascii="Arial" w:cs="Arial" w:eastAsia="Arial" w:hAnsi="Arial"/>
          <w:sz w:val="17"/>
          <w:szCs w:val="17"/>
          <w:color w:val="FCFCFB"/>
        </w:rPr>
        <w:t>driven innovation and commercial momentum across the Steel Products division. As VP, she leads strategy, portfolio growth, and cross-functional execution to strengthen competitiveness in core and emerging markets. In 2025, her leadership fueled the rollout of high-impact product initiatives that accelerated revenue and expanded customer reach. With deep expertise in industrial product management and operational excellence,</w:t>
      </w:r>
    </w:p>
    <w:p>
      <w:pPr>
        <w:spacing w:after="0" w:line="5" w:lineRule="exact"/>
        <w:rPr>
          <w:sz w:val="20"/>
          <w:szCs w:val="20"/>
          <w:color w:val="auto"/>
        </w:rPr>
      </w:pPr>
    </w:p>
    <w:p>
      <w:pPr>
        <w:jc w:val="both"/>
        <w:ind w:left="5820" w:right="300" w:hanging="1158"/>
        <w:spacing w:after="0" w:line="376" w:lineRule="auto"/>
        <w:rPr>
          <w:sz w:val="20"/>
          <w:szCs w:val="20"/>
          <w:color w:val="auto"/>
        </w:rPr>
      </w:pPr>
      <w:r>
        <w:rPr>
          <w:rFonts w:ascii="Arial" w:cs="Arial" w:eastAsia="Arial" w:hAnsi="Arial"/>
          <w:sz w:val="17"/>
          <w:szCs w:val="17"/>
          <w:color w:val="FCFCFB"/>
        </w:rPr>
        <w:t>Sarah is known for energizing teams, elevating performance, and delivering results that move the business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300"/>
        <w:spacing w:after="0"/>
        <w:rPr>
          <w:sz w:val="20"/>
          <w:szCs w:val="20"/>
          <w:color w:val="auto"/>
        </w:rPr>
      </w:pPr>
      <w:r>
        <w:rPr>
          <w:rFonts w:ascii="Arial" w:cs="Arial" w:eastAsia="Arial" w:hAnsi="Arial"/>
          <w:sz w:val="27"/>
          <w:szCs w:val="27"/>
          <w:color w:val="FFFFFF"/>
        </w:rPr>
        <w:t>Sara Hansel, P.E.</w:t>
      </w:r>
    </w:p>
    <w:p>
      <w:pPr>
        <w:spacing w:after="0" w:line="34" w:lineRule="exact"/>
        <w:rPr>
          <w:sz w:val="20"/>
          <w:szCs w:val="20"/>
          <w:color w:val="auto"/>
        </w:rPr>
      </w:pPr>
    </w:p>
    <w:p>
      <w:pPr>
        <w:jc w:val="right"/>
        <w:ind w:right="300"/>
        <w:spacing w:after="0"/>
        <w:rPr>
          <w:sz w:val="20"/>
          <w:szCs w:val="20"/>
          <w:color w:val="auto"/>
        </w:rPr>
      </w:pPr>
      <w:r>
        <w:rPr>
          <w:rFonts w:ascii="Arial" w:cs="Arial" w:eastAsia="Arial" w:hAnsi="Arial"/>
          <w:sz w:val="27"/>
          <w:szCs w:val="27"/>
          <w:color w:val="FFFFFF"/>
        </w:rPr>
        <w:t>Senior Engineering Manager, Envirocast</w:t>
      </w:r>
      <w:r>
        <w:rPr>
          <w:rFonts w:ascii="Arial" w:cs="Arial" w:eastAsia="Arial" w:hAnsi="Arial"/>
          <w:sz w:val="15"/>
          <w:szCs w:val="15"/>
          <w:color w:val="FFFFFF"/>
        </w:rPr>
        <w:t>®</w:t>
      </w:r>
    </w:p>
    <w:p>
      <w:pPr>
        <w:spacing w:after="0" w:line="163" w:lineRule="exact"/>
        <w:rPr>
          <w:sz w:val="20"/>
          <w:szCs w:val="20"/>
          <w:color w:val="auto"/>
        </w:rPr>
      </w:pPr>
    </w:p>
    <w:p>
      <w:pPr>
        <w:jc w:val="right"/>
        <w:ind w:left="4420" w:right="300"/>
        <w:spacing w:after="0" w:line="333" w:lineRule="auto"/>
        <w:rPr>
          <w:sz w:val="20"/>
          <w:szCs w:val="20"/>
          <w:color w:val="auto"/>
        </w:rPr>
      </w:pPr>
      <w:r>
        <w:rPr>
          <w:rFonts w:ascii="Arial" w:cs="Arial" w:eastAsia="Arial" w:hAnsi="Arial"/>
          <w:sz w:val="17"/>
          <w:szCs w:val="17"/>
          <w:b w:val="1"/>
          <w:bCs w:val="1"/>
          <w:color w:val="FCFCFB"/>
        </w:rPr>
        <w:t xml:space="preserve">Sara Hansel </w:t>
      </w:r>
      <w:r>
        <w:rPr>
          <w:rFonts w:ascii="Arial" w:cs="Arial" w:eastAsia="Arial" w:hAnsi="Arial"/>
          <w:sz w:val="17"/>
          <w:szCs w:val="17"/>
          <w:color w:val="FCFCFB"/>
        </w:rPr>
        <w:t>began her career with L.B. Foster as a project manager,</w:t>
      </w:r>
      <w:r>
        <w:rPr>
          <w:rFonts w:ascii="Arial" w:cs="Arial" w:eastAsia="Arial" w:hAnsi="Arial"/>
          <w:sz w:val="17"/>
          <w:szCs w:val="17"/>
          <w:b w:val="1"/>
          <w:bCs w:val="1"/>
          <w:color w:val="FCFCFB"/>
        </w:rPr>
        <w:t xml:space="preserve"> </w:t>
      </w:r>
      <w:r>
        <w:rPr>
          <w:rFonts w:ascii="Arial" w:cs="Arial" w:eastAsia="Arial" w:hAnsi="Arial"/>
          <w:sz w:val="17"/>
          <w:szCs w:val="17"/>
          <w:color w:val="FCFCFB"/>
        </w:rPr>
        <w:t>engineer, and sales support for the Bridge Products group. She focused on grid deck, railing, and bridge forms, with an emphasis on weld distortion and steel barrier design. She has recently moved forward to focus her efforts on the Envirocast</w:t>
      </w:r>
      <w:r>
        <w:rPr>
          <w:rFonts w:ascii="Arial" w:cs="Arial" w:eastAsia="Arial" w:hAnsi="Arial"/>
          <w:sz w:val="10"/>
          <w:szCs w:val="10"/>
          <w:color w:val="FCFCFB"/>
        </w:rPr>
        <w:t>®</w:t>
      </w:r>
      <w:r>
        <w:rPr>
          <w:rFonts w:ascii="Arial" w:cs="Arial" w:eastAsia="Arial" w:hAnsi="Arial"/>
          <w:sz w:val="17"/>
          <w:szCs w:val="17"/>
          <w:color w:val="FCFCFB"/>
        </w:rPr>
        <w:t xml:space="preserve"> product line, where she supports the team with wall panel design, product development, and installation process refinement. She led the development of the 8” thick wall panel and the ASTM E119 Two-Hour Fire Rating</w:t>
      </w:r>
    </w:p>
    <w:p>
      <w:pPr>
        <w:spacing w:after="0" w:line="5" w:lineRule="exact"/>
        <w:rPr>
          <w:sz w:val="20"/>
          <w:szCs w:val="20"/>
          <w:color w:val="auto"/>
        </w:rPr>
      </w:pPr>
    </w:p>
    <w:p>
      <w:pPr>
        <w:jc w:val="right"/>
        <w:ind w:left="4380" w:right="300"/>
        <w:spacing w:after="0" w:line="347" w:lineRule="auto"/>
        <w:rPr>
          <w:sz w:val="20"/>
          <w:szCs w:val="20"/>
          <w:color w:val="auto"/>
        </w:rPr>
      </w:pPr>
      <w:r>
        <w:rPr>
          <w:rFonts w:ascii="Arial" w:cs="Arial" w:eastAsia="Arial" w:hAnsi="Arial"/>
          <w:sz w:val="17"/>
          <w:szCs w:val="17"/>
          <w:color w:val="FCFCFB"/>
        </w:rPr>
        <w:t>certification. Sara has over 19 years of bridge construction and steel fabrication experience, along with one year of concrete design. She earned her bachelor’s degree in civil engineering at the University of Pittsburgh, and her MBA at Penn State University.</w:t>
      </w:r>
    </w:p>
    <w:p>
      <w:pPr>
        <w:sectPr>
          <w:pgSz w:w="11880" w:h="15480" w:orient="portrait"/>
          <w:cols w:equalWidth="0" w:num="1">
            <w:col w:w="10020"/>
          </w:cols>
          <w:pgMar w:left="1440" w:top="537"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10020"/>
          </w:cols>
          <w:pgMar w:left="1440" w:top="537" w:right="420" w:bottom="0" w:gutter="0" w:footer="0" w:header="0"/>
          <w:type w:val="continuous"/>
        </w:sectPr>
      </w:pPr>
    </w:p>
    <w:bookmarkStart w:id="5" w:name="page6"/>
    <w:bookmarkEnd w:id="5"/>
    <w:p>
      <w:pPr>
        <w:ind w:left="300"/>
        <w:spacing w:after="0"/>
        <w:rPr>
          <w:sz w:val="20"/>
          <w:szCs w:val="20"/>
          <w:color w:val="auto"/>
        </w:rPr>
      </w:pPr>
      <w:r>
        <w:rPr>
          <w:rFonts w:ascii="Arial" w:cs="Arial" w:eastAsia="Arial" w:hAnsi="Arial"/>
          <w:sz w:val="66"/>
          <w:szCs w:val="6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FOSTER </w:t>
      </w:r>
      <w:r>
        <w:rPr>
          <w:rFonts w:ascii="Arial" w:cs="Arial" w:eastAsia="Arial" w:hAnsi="Arial"/>
          <w:sz w:val="66"/>
          <w:szCs w:val="66"/>
          <w:color w:val="FFFFFF"/>
        </w:rPr>
        <w:t>FACES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right="680"/>
        <w:spacing w:after="0" w:line="321" w:lineRule="auto"/>
        <w:rPr>
          <w:sz w:val="20"/>
          <w:szCs w:val="20"/>
          <w:color w:val="auto"/>
        </w:rPr>
      </w:pPr>
      <w:r>
        <w:rPr>
          <w:rFonts w:ascii="Arial" w:cs="Arial" w:eastAsia="Arial" w:hAnsi="Arial"/>
          <w:sz w:val="19"/>
          <w:szCs w:val="19"/>
          <w:color w:val="auto"/>
        </w:rPr>
        <w:t>We’re proud to highlight the people whose dedication and expertise drive our work forward. Showcasing the faces behind L.B. Foster reflects our ongoing commitment to celebrating the individuals who strengthen our culture, support our customers, and help deliver the solutions our stakeholders rely on every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27"/>
          <w:szCs w:val="27"/>
          <w:color w:val="FFFFFF"/>
        </w:rPr>
        <w:t>Victor Gonzalez</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27"/>
          <w:szCs w:val="27"/>
          <w:color w:val="FFFFFF"/>
        </w:rPr>
        <w:t>Director, International Rail Sales</w:t>
      </w:r>
    </w:p>
    <w:p>
      <w:pPr>
        <w:spacing w:after="0" w:line="172" w:lineRule="exact"/>
        <w:rPr>
          <w:sz w:val="20"/>
          <w:szCs w:val="20"/>
          <w:color w:val="auto"/>
        </w:rPr>
      </w:pPr>
    </w:p>
    <w:p>
      <w:pPr>
        <w:ind w:left="300" w:right="4760"/>
        <w:spacing w:after="0" w:line="338" w:lineRule="auto"/>
        <w:rPr>
          <w:sz w:val="20"/>
          <w:szCs w:val="20"/>
          <w:color w:val="auto"/>
        </w:rPr>
      </w:pPr>
      <w:r>
        <w:rPr>
          <w:rFonts w:ascii="Arial" w:cs="Arial" w:eastAsia="Arial" w:hAnsi="Arial"/>
          <w:sz w:val="17"/>
          <w:szCs w:val="17"/>
          <w:b w:val="1"/>
          <w:bCs w:val="1"/>
          <w:color w:val="FCFCFB"/>
        </w:rPr>
        <w:t xml:space="preserve">Victor Gonzalez </w:t>
      </w:r>
      <w:r>
        <w:rPr>
          <w:rFonts w:ascii="Arial" w:cs="Arial" w:eastAsia="Arial" w:hAnsi="Arial"/>
          <w:sz w:val="17"/>
          <w:szCs w:val="17"/>
          <w:color w:val="FCFCFB"/>
        </w:rPr>
        <w:t>leads International Rail Sales across Latin</w:t>
      </w:r>
      <w:r>
        <w:rPr>
          <w:rFonts w:ascii="Arial" w:cs="Arial" w:eastAsia="Arial" w:hAnsi="Arial"/>
          <w:sz w:val="17"/>
          <w:szCs w:val="17"/>
          <w:b w:val="1"/>
          <w:bCs w:val="1"/>
          <w:color w:val="FCFCFB"/>
        </w:rPr>
        <w:t xml:space="preserve"> </w:t>
      </w:r>
      <w:r>
        <w:rPr>
          <w:rFonts w:ascii="Arial" w:cs="Arial" w:eastAsia="Arial" w:hAnsi="Arial"/>
          <w:sz w:val="17"/>
          <w:szCs w:val="17"/>
          <w:color w:val="FCFCFB"/>
        </w:rPr>
        <w:t>America, managing key Class I, freight, and transit rail accounts while advancing cross-border growth initiatives. In 2025, he secured strategic partnerships and high-value contracts in L.B. Foster’s Total Track Monitoring and Total Friction Management portfolios, strengthening international revenue performance. With experience in global sales and market development, and supported by engineering, MBA, and Ph.D. credentials, Victor drives regional growth and delivers customer-centric rail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27"/>
          <w:szCs w:val="27"/>
          <w:color w:val="auto"/>
        </w:rPr>
        <w:t>Louisa Stanlake</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27"/>
          <w:szCs w:val="27"/>
          <w:color w:val="auto"/>
        </w:rPr>
        <w:t>Senior Global Product Manager, Consumables</w:t>
      </w:r>
    </w:p>
    <w:p>
      <w:pPr>
        <w:spacing w:after="0" w:line="163" w:lineRule="exact"/>
        <w:rPr>
          <w:sz w:val="20"/>
          <w:szCs w:val="20"/>
          <w:color w:val="auto"/>
        </w:rPr>
      </w:pPr>
    </w:p>
    <w:p>
      <w:pPr>
        <w:ind w:left="300" w:right="4140"/>
        <w:spacing w:after="0" w:line="337" w:lineRule="auto"/>
        <w:rPr>
          <w:sz w:val="20"/>
          <w:szCs w:val="20"/>
          <w:color w:val="auto"/>
        </w:rPr>
      </w:pPr>
      <w:r>
        <w:rPr>
          <w:rFonts w:ascii="Arial" w:cs="Arial" w:eastAsia="Arial" w:hAnsi="Arial"/>
          <w:sz w:val="17"/>
          <w:szCs w:val="17"/>
          <w:b w:val="1"/>
          <w:bCs w:val="1"/>
          <w:color w:val="auto"/>
        </w:rPr>
        <w:t xml:space="preserve">Louisa Stanlake </w:t>
      </w:r>
      <w:r>
        <w:rPr>
          <w:rFonts w:ascii="Arial" w:cs="Arial" w:eastAsia="Arial" w:hAnsi="Arial"/>
          <w:sz w:val="17"/>
          <w:szCs w:val="17"/>
          <w:color w:val="auto"/>
        </w:rPr>
        <w:t>drives the global vision and innovation pipeline for L.B.</w:t>
      </w:r>
      <w:r>
        <w:rPr>
          <w:rFonts w:ascii="Arial" w:cs="Arial" w:eastAsia="Arial" w:hAnsi="Arial"/>
          <w:sz w:val="17"/>
          <w:szCs w:val="17"/>
          <w:b w:val="1"/>
          <w:bCs w:val="1"/>
          <w:color w:val="auto"/>
        </w:rPr>
        <w:t xml:space="preserve"> </w:t>
      </w:r>
      <w:r>
        <w:rPr>
          <w:rFonts w:ascii="Arial" w:cs="Arial" w:eastAsia="Arial" w:hAnsi="Arial"/>
          <w:sz w:val="17"/>
          <w:szCs w:val="17"/>
          <w:color w:val="auto"/>
        </w:rPr>
        <w:t>Foster‘s Friction Management consumable portfolio, strengthening product performance and competitive positioning across the friction management market. Over 15 years, she has led major advancements in top-of-rail friction modifiers, solid lubricant, and grease technologies, elevating reliability and field results for customers worldwide. Her technical leadership—spanning research, product development, and portfolio strategy—has shaped multiple high-performing friction management solutions. A recipient of the RT&amp;S Women in Railroad Engineering Award, Louisa holds a B.Sc. from the University of Victoria and a Ph.D. in Chemistry from the University of British Columbia.</w:t>
      </w:r>
    </w:p>
    <w:p>
      <w:pPr>
        <w:sectPr>
          <w:pgSz w:w="11880" w:h="15480" w:orient="portrait"/>
          <w:cols w:equalWidth="0" w:num="1">
            <w:col w:w="10020"/>
          </w:cols>
          <w:pgMar w:left="420" w:top="5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10020"/>
          </w:cols>
          <w:pgMar w:left="420" w:top="537" w:right="1440" w:bottom="0" w:gutter="0" w:footer="0" w:header="0"/>
          <w:type w:val="continuous"/>
        </w:sectPr>
      </w:pPr>
    </w:p>
    <w:bookmarkStart w:id="6" w:name="page7"/>
    <w:bookmarkEnd w:id="6"/>
    <w:p>
      <w:pPr>
        <w:ind w:left="5000"/>
        <w:spacing w:after="0"/>
        <w:rPr>
          <w:sz w:val="20"/>
          <w:szCs w:val="20"/>
          <w:color w:val="auto"/>
        </w:rPr>
      </w:pPr>
      <w:r>
        <w:rPr>
          <w:rFonts w:ascii="Arial" w:cs="Arial" w:eastAsia="Arial" w:hAnsi="Arial"/>
          <w:sz w:val="61"/>
          <w:szCs w:val="6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FOSTER </w:t>
      </w:r>
      <w:r>
        <w:rPr>
          <w:rFonts w:ascii="Arial" w:cs="Arial" w:eastAsia="Arial" w:hAnsi="Arial"/>
          <w:sz w:val="61"/>
          <w:szCs w:val="61"/>
          <w:color w:val="FFFFFF"/>
        </w:rPr>
        <w:t>FACES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00"/>
        <w:spacing w:after="0"/>
        <w:rPr>
          <w:sz w:val="20"/>
          <w:szCs w:val="20"/>
          <w:color w:val="auto"/>
        </w:rPr>
      </w:pPr>
      <w:r>
        <w:rPr>
          <w:rFonts w:ascii="Arial" w:cs="Arial" w:eastAsia="Arial" w:hAnsi="Arial"/>
          <w:sz w:val="27"/>
          <w:szCs w:val="27"/>
          <w:color w:val="auto"/>
        </w:rPr>
        <w:t>Joel VanderMarel</w:t>
      </w:r>
    </w:p>
    <w:p>
      <w:pPr>
        <w:spacing w:after="0" w:line="34" w:lineRule="exact"/>
        <w:rPr>
          <w:sz w:val="20"/>
          <w:szCs w:val="20"/>
          <w:color w:val="auto"/>
        </w:rPr>
      </w:pPr>
    </w:p>
    <w:p>
      <w:pPr>
        <w:jc w:val="right"/>
        <w:ind w:right="300"/>
        <w:spacing w:after="0"/>
        <w:rPr>
          <w:sz w:val="20"/>
          <w:szCs w:val="20"/>
          <w:color w:val="auto"/>
        </w:rPr>
      </w:pPr>
      <w:r>
        <w:rPr>
          <w:rFonts w:ascii="Arial" w:cs="Arial" w:eastAsia="Arial" w:hAnsi="Arial"/>
          <w:sz w:val="26"/>
          <w:szCs w:val="26"/>
          <w:color w:val="auto"/>
        </w:rPr>
        <w:t>Senior Product Manager, Asset Intelligence</w:t>
      </w:r>
    </w:p>
    <w:p>
      <w:pPr>
        <w:spacing w:after="0" w:line="175" w:lineRule="exact"/>
        <w:rPr>
          <w:sz w:val="20"/>
          <w:szCs w:val="20"/>
          <w:color w:val="auto"/>
        </w:rPr>
      </w:pPr>
    </w:p>
    <w:p>
      <w:pPr>
        <w:jc w:val="right"/>
        <w:ind w:left="4680" w:right="300"/>
        <w:spacing w:after="0" w:line="337" w:lineRule="auto"/>
        <w:rPr>
          <w:sz w:val="20"/>
          <w:szCs w:val="20"/>
          <w:color w:val="auto"/>
        </w:rPr>
      </w:pPr>
      <w:r>
        <w:rPr>
          <w:rFonts w:ascii="Arial" w:cs="Arial" w:eastAsia="Arial" w:hAnsi="Arial"/>
          <w:sz w:val="17"/>
          <w:szCs w:val="17"/>
          <w:b w:val="1"/>
          <w:bCs w:val="1"/>
          <w:color w:val="auto"/>
        </w:rPr>
        <w:t xml:space="preserve">Joel VanderMarel </w:t>
      </w:r>
      <w:r>
        <w:rPr>
          <w:rFonts w:ascii="Arial" w:cs="Arial" w:eastAsia="Arial" w:hAnsi="Arial"/>
          <w:sz w:val="17"/>
          <w:szCs w:val="17"/>
          <w:color w:val="auto"/>
        </w:rPr>
        <w:t>leads product management for L.B. Foster’s</w:t>
      </w:r>
      <w:r>
        <w:rPr>
          <w:rFonts w:ascii="Arial" w:cs="Arial" w:eastAsia="Arial" w:hAnsi="Arial"/>
          <w:sz w:val="17"/>
          <w:szCs w:val="17"/>
          <w:b w:val="1"/>
          <w:bCs w:val="1"/>
          <w:color w:val="auto"/>
        </w:rPr>
        <w:t xml:space="preserve"> </w:t>
      </w:r>
      <w:r>
        <w:rPr>
          <w:rFonts w:ascii="Arial" w:cs="Arial" w:eastAsia="Arial" w:hAnsi="Arial"/>
          <w:sz w:val="17"/>
          <w:szCs w:val="17"/>
          <w:color w:val="auto"/>
        </w:rPr>
        <w:t>Anatomy asset management system, a growing global platform that powers more than 2,600 connected devices across over a dozen countries. Anatomy is a strategic enabler of L.B. Foster’s Total Friction Management programs, delivering measurable performance outcomes for several North American Class I railroads. Joel is driving platform scalability and interoperability by expanding Anatomy across L.B. Foster’s full portfolio of connected products and integrating adjacent third-party devices. Joel brings more than 17 years of experience in product management and research &amp; development, supported by a background in mechanical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00"/>
        <w:spacing w:after="0"/>
        <w:rPr>
          <w:sz w:val="20"/>
          <w:szCs w:val="20"/>
          <w:color w:val="auto"/>
        </w:rPr>
      </w:pPr>
      <w:r>
        <w:rPr>
          <w:rFonts w:ascii="Arial" w:cs="Arial" w:eastAsia="Arial" w:hAnsi="Arial"/>
          <w:sz w:val="27"/>
          <w:szCs w:val="27"/>
          <w:color w:val="FFFFFF"/>
        </w:rPr>
        <w:t>Will Becker</w:t>
      </w:r>
    </w:p>
    <w:p>
      <w:pPr>
        <w:spacing w:after="0" w:line="47" w:lineRule="exact"/>
        <w:rPr>
          <w:sz w:val="20"/>
          <w:szCs w:val="20"/>
          <w:color w:val="auto"/>
        </w:rPr>
      </w:pPr>
    </w:p>
    <w:p>
      <w:pPr>
        <w:jc w:val="right"/>
        <w:ind w:right="300"/>
        <w:spacing w:after="0"/>
        <w:rPr>
          <w:sz w:val="20"/>
          <w:szCs w:val="20"/>
          <w:color w:val="auto"/>
        </w:rPr>
      </w:pPr>
      <w:r>
        <w:rPr>
          <w:rFonts w:ascii="Arial" w:cs="Arial" w:eastAsia="Arial" w:hAnsi="Arial"/>
          <w:sz w:val="27"/>
          <w:szCs w:val="27"/>
          <w:color w:val="FFFFFF"/>
        </w:rPr>
        <w:t>Product Manager, Rockfall Monitoring</w:t>
      </w:r>
    </w:p>
    <w:p>
      <w:pPr>
        <w:spacing w:after="0" w:line="150" w:lineRule="exact"/>
        <w:rPr>
          <w:sz w:val="20"/>
          <w:szCs w:val="20"/>
          <w:color w:val="auto"/>
        </w:rPr>
      </w:pPr>
    </w:p>
    <w:p>
      <w:pPr>
        <w:jc w:val="center"/>
        <w:ind w:left="6300" w:right="20"/>
        <w:spacing w:after="0" w:line="357" w:lineRule="auto"/>
        <w:rPr>
          <w:sz w:val="20"/>
          <w:szCs w:val="20"/>
          <w:color w:val="auto"/>
        </w:rPr>
      </w:pPr>
      <w:r>
        <w:rPr>
          <w:rFonts w:ascii="Arial" w:cs="Arial" w:eastAsia="Arial" w:hAnsi="Arial"/>
          <w:sz w:val="17"/>
          <w:szCs w:val="17"/>
          <w:b w:val="1"/>
          <w:bCs w:val="1"/>
          <w:color w:val="FCFCFB"/>
        </w:rPr>
        <w:t xml:space="preserve">Will Becker </w:t>
      </w:r>
      <w:r>
        <w:rPr>
          <w:rFonts w:ascii="Arial" w:cs="Arial" w:eastAsia="Arial" w:hAnsi="Arial"/>
          <w:sz w:val="17"/>
          <w:szCs w:val="17"/>
          <w:color w:val="FCFCFB"/>
        </w:rPr>
        <w:t>is the Product Manager for Rockfall Monitoring at</w:t>
      </w:r>
      <w:r>
        <w:rPr>
          <w:rFonts w:ascii="Arial" w:cs="Arial" w:eastAsia="Arial" w:hAnsi="Arial"/>
          <w:sz w:val="17"/>
          <w:szCs w:val="17"/>
          <w:b w:val="1"/>
          <w:bCs w:val="1"/>
          <w:color w:val="FCFCFB"/>
        </w:rPr>
        <w:t xml:space="preserve"> </w:t>
      </w:r>
      <w:r>
        <w:rPr>
          <w:rFonts w:ascii="Arial" w:cs="Arial" w:eastAsia="Arial" w:hAnsi="Arial"/>
          <w:sz w:val="17"/>
          <w:szCs w:val="17"/>
          <w:color w:val="FCFCFB"/>
        </w:rPr>
        <w:t>L.B. Foster, where he leads the development and deployment of LiDAR-based direct track monitoring systems. Since joining L.B. Foster in 2020, he has overseen the growth of the product line and developed the evaluation framework used for system approval at Class 1 railroads. Previously, Will worked in both</w:t>
      </w:r>
    </w:p>
    <w:p>
      <w:pPr>
        <w:spacing w:after="0" w:line="3" w:lineRule="exact"/>
        <w:rPr>
          <w:sz w:val="20"/>
          <w:szCs w:val="20"/>
          <w:color w:val="auto"/>
        </w:rPr>
      </w:pPr>
    </w:p>
    <w:p>
      <w:pPr>
        <w:jc w:val="right"/>
        <w:ind w:left="4660" w:right="300"/>
        <w:spacing w:after="0" w:line="368" w:lineRule="auto"/>
        <w:rPr>
          <w:sz w:val="20"/>
          <w:szCs w:val="20"/>
          <w:color w:val="auto"/>
        </w:rPr>
      </w:pPr>
      <w:r>
        <w:rPr>
          <w:rFonts w:ascii="Arial" w:cs="Arial" w:eastAsia="Arial" w:hAnsi="Arial"/>
          <w:sz w:val="17"/>
          <w:szCs w:val="17"/>
          <w:color w:val="FCFCFB"/>
        </w:rPr>
        <w:t>research &amp; development and operations, focusing on technology evaluation, field testing, and mainline performance. He holds a bachelor’s degree in mechanical engineering from the University of Dayton and focuses on applying practical monitoring solutions to improve safety and capacity.</w:t>
      </w:r>
    </w:p>
    <w:p>
      <w:pPr>
        <w:sectPr>
          <w:pgSz w:w="11880" w:h="15480" w:orient="portrait"/>
          <w:cols w:equalWidth="0" w:num="1">
            <w:col w:w="10020"/>
          </w:cols>
          <w:pgMar w:left="1440" w:top="537" w:right="420" w:bottom="0" w:gutter="0" w:footer="0" w:header="0"/>
        </w:sectPr>
      </w:pPr>
    </w:p>
    <w:p>
      <w:pPr>
        <w:spacing w:after="0" w:line="200" w:lineRule="exact"/>
        <w:rPr>
          <w:sz w:val="20"/>
          <w:szCs w:val="20"/>
          <w:color w:val="auto"/>
        </w:rPr>
      </w:pPr>
    </w:p>
    <w:p>
      <w:pPr>
        <w:spacing w:after="0" w:line="363"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10020"/>
          </w:cols>
          <w:pgMar w:left="1440" w:top="537" w:right="420" w:bottom="0" w:gutter="0" w:footer="0" w:header="0"/>
          <w:type w:val="continuous"/>
        </w:sectPr>
      </w:pPr>
    </w:p>
    <w:bookmarkStart w:id="7" w:name="page8"/>
    <w:bookmarkEnd w:id="7"/>
    <w:p>
      <w:pPr>
        <w:ind w:left="300"/>
        <w:spacing w:after="0"/>
        <w:rPr>
          <w:sz w:val="20"/>
          <w:szCs w:val="20"/>
          <w:color w:val="auto"/>
        </w:rPr>
      </w:pPr>
      <w:r>
        <w:rPr>
          <w:rFonts w:ascii="Arial" w:cs="Arial" w:eastAsia="Arial" w:hAnsi="Arial"/>
          <w:sz w:val="60"/>
          <w:szCs w:val="6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 xml:space="preserve">NON-GAAP </w:t>
      </w:r>
      <w:r>
        <w:rPr>
          <w:rFonts w:ascii="Arial" w:cs="Arial" w:eastAsia="Arial" w:hAnsi="Arial"/>
          <w:sz w:val="60"/>
          <w:szCs w:val="60"/>
          <w:color w:val="FFFFFF"/>
        </w:rPr>
        <w:t>DISCLOSURES</w:t>
      </w:r>
    </w:p>
    <w:p>
      <w:pPr>
        <w:sectPr>
          <w:pgSz w:w="11880" w:h="15480" w:orient="portrait"/>
          <w:cols w:equalWidth="0" w:num="1">
            <w:col w:w="10740"/>
          </w:cols>
          <w:pgMar w:left="420" w:top="537" w:right="720" w:bottom="0" w:gutter="0" w:footer="0" w:header="0"/>
        </w:sectPr>
      </w:pPr>
    </w:p>
    <w:p>
      <w:pPr>
        <w:spacing w:after="0" w:line="25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Non-GAAP Financial Measures</w:t>
      </w:r>
    </w:p>
    <w:p>
      <w:pPr>
        <w:spacing w:after="0" w:line="10" w:lineRule="exact"/>
        <w:rPr>
          <w:sz w:val="20"/>
          <w:szCs w:val="20"/>
          <w:color w:val="auto"/>
        </w:rPr>
      </w:pPr>
    </w:p>
    <w:p>
      <w:pPr>
        <w:ind w:left="300" w:right="260"/>
        <w:spacing w:after="0" w:line="236" w:lineRule="auto"/>
        <w:rPr>
          <w:sz w:val="20"/>
          <w:szCs w:val="20"/>
          <w:color w:val="auto"/>
        </w:rPr>
      </w:pPr>
      <w:r>
        <w:rPr>
          <w:rFonts w:ascii="Arial" w:cs="Arial" w:eastAsia="Arial" w:hAnsi="Arial"/>
          <w:sz w:val="14"/>
          <w:szCs w:val="14"/>
          <w:color w:val="auto"/>
        </w:rPr>
        <w:t>This annual report discloses earnings before interest, taxes, depreciation, and amortization (“EBITDA”), earnings before interest, taxes, depreciation, amortization, and certain charges (“Adjusted EBITDA”), new orders, net, backlog, and other certain metrics, as indicated, adjusted for non-routine items.</w:t>
      </w:r>
    </w:p>
    <w:p>
      <w:pPr>
        <w:spacing w:after="0" w:line="88" w:lineRule="exact"/>
        <w:rPr>
          <w:sz w:val="20"/>
          <w:szCs w:val="20"/>
          <w:color w:val="auto"/>
        </w:rPr>
      </w:pPr>
    </w:p>
    <w:p>
      <w:pPr>
        <w:jc w:val="both"/>
        <w:ind w:left="300"/>
        <w:spacing w:after="0" w:line="275" w:lineRule="auto"/>
        <w:rPr>
          <w:sz w:val="20"/>
          <w:szCs w:val="20"/>
          <w:color w:val="auto"/>
        </w:rPr>
      </w:pPr>
      <w:r>
        <w:rPr>
          <w:rFonts w:ascii="Arial" w:cs="Arial" w:eastAsia="Arial" w:hAnsi="Arial"/>
          <w:sz w:val="12"/>
          <w:szCs w:val="12"/>
          <w:color w:val="auto"/>
        </w:rPr>
        <w:t>The Company believes that EBITDA is useful to investors as a supplemental way to evaluate the ongoing operations of the Company’s business since EBITDA may enhance investors’ ability to compare historical periods as it adjusts for the impact of financing methods, tax law and strategy changes, and depreciation and amortization. In addition, EBITDA is a financial measure that management and the Company’s Board of Directors use in their financial and operational decision-making and in the determination of certain compensation programs. Adjusted EBITDA adjusts for certain charges to EBITDA that the Company believes are unusual, non-recurring, unpredictable, or non-cash. The Company also discloses Adjusted EBITDA margin, which is Adjusted EBITDA as a percent of adjusted net sales, which is useful to demonstrate Adjusted EBITDA levels and growth relative to adjusted net sales. The Company also excluded the impact of non-routine items from certain metrics as indicated, in order to provide insight to the Company performance on a base level without these non-routine items, which is useful to investors to better understand performance. The Company adjusted for non-routine items in the twelve months ended 2022 and 2023. 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 Non-GAAP financial measures are not a substitute for GAAP financial results and should only be considered in conjunction with the Company’s financial information that is presented in accordance with GAAP. Quantitative reconciliations of EBITDA, Adjusted EBITDA, and results adjusted for non-routine items are included below.</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0" w:type="dxa"/>
            <w:vAlign w:val="bottom"/>
          </w:tcPr>
          <w:p>
            <w:pPr>
              <w:spacing w:after="0"/>
              <w:rPr>
                <w:sz w:val="13"/>
                <w:szCs w:val="13"/>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FFFFFF"/>
              </w:rPr>
              <w:t>Non-GAAP Measure: Adjusted Results for Non-Routine Items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3"/>
          </w:tcPr>
          <w:p>
            <w:pPr>
              <w:jc w:val="right"/>
              <w:ind w:right="222"/>
              <w:spacing w:after="0"/>
              <w:rPr>
                <w:sz w:val="20"/>
                <w:szCs w:val="20"/>
                <w:color w:val="auto"/>
              </w:rPr>
            </w:pPr>
            <w:r>
              <w:rPr>
                <w:rFonts w:ascii="Arial" w:cs="Arial" w:eastAsia="Arial" w:hAnsi="Arial"/>
                <w:sz w:val="12"/>
                <w:szCs w:val="12"/>
                <w:color w:val="FFFFFF"/>
              </w:rPr>
              <w:t>12 Months Ended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12"/>
                <w:szCs w:val="12"/>
                <w:b w:val="1"/>
                <w:bCs w:val="1"/>
                <w:color w:val="auto"/>
              </w:rPr>
              <w:t>($ in millions)</w:t>
            </w: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gridSpan w:val="3"/>
          </w:tcPr>
          <w:p>
            <w:pPr>
              <w:ind w:left="280"/>
              <w:spacing w:after="0"/>
              <w:rPr>
                <w:sz w:val="20"/>
                <w:szCs w:val="20"/>
                <w:color w:val="auto"/>
              </w:rPr>
            </w:pPr>
            <w:r>
              <w:rPr>
                <w:rFonts w:ascii="Arial" w:cs="Arial" w:eastAsia="Arial" w:hAnsi="Arial"/>
                <w:sz w:val="12"/>
                <w:szCs w:val="12"/>
                <w:color w:val="FFFFFF"/>
              </w:rPr>
              <w:t>December 31, 2022</w:t>
            </w:r>
          </w:p>
        </w:tc>
        <w:tc>
          <w:tcPr>
            <w:tcW w:w="1340" w:type="dxa"/>
            <w:vAlign w:val="bottom"/>
            <w:gridSpan w:val="4"/>
          </w:tcPr>
          <w:p>
            <w:pPr>
              <w:ind w:left="260"/>
              <w:spacing w:after="0"/>
              <w:rPr>
                <w:sz w:val="20"/>
                <w:szCs w:val="20"/>
                <w:color w:val="auto"/>
              </w:rPr>
            </w:pPr>
            <w:r>
              <w:rPr>
                <w:rFonts w:ascii="Arial" w:cs="Arial" w:eastAsia="Arial" w:hAnsi="Arial"/>
                <w:sz w:val="12"/>
                <w:szCs w:val="12"/>
                <w:color w:val="FFFFFF"/>
              </w:rPr>
              <w:t>December 31, 2023</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00" w:type="dxa"/>
            <w:vAlign w:val="bottom"/>
          </w:tcPr>
          <w:p>
            <w:pPr>
              <w:spacing w:after="0"/>
              <w:rPr>
                <w:sz w:val="24"/>
                <w:szCs w:val="24"/>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Net sales, as reported</w:t>
            </w:r>
          </w:p>
        </w:tc>
        <w:tc>
          <w:tcPr>
            <w:tcW w:w="360" w:type="dxa"/>
            <w:vAlign w:val="bottom"/>
          </w:tcPr>
          <w:p>
            <w:pPr>
              <w:spacing w:after="0"/>
              <w:rPr>
                <w:sz w:val="24"/>
                <w:szCs w:val="24"/>
                <w:color w:val="auto"/>
              </w:rPr>
            </w:pPr>
          </w:p>
        </w:tc>
        <w:tc>
          <w:tcPr>
            <w:tcW w:w="1400" w:type="dxa"/>
            <w:vAlign w:val="bottom"/>
            <w:gridSpan w:val="2"/>
          </w:tcPr>
          <w:p>
            <w:pPr>
              <w:jc w:val="right"/>
              <w:ind w:right="46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497.5</w:t>
            </w:r>
          </w:p>
        </w:tc>
        <w:tc>
          <w:tcPr>
            <w:tcW w:w="360" w:type="dxa"/>
            <w:vAlign w:val="bottom"/>
          </w:tcPr>
          <w:p>
            <w:pPr>
              <w:spacing w:after="0"/>
              <w:rPr>
                <w:sz w:val="24"/>
                <w:szCs w:val="24"/>
                <w:color w:val="auto"/>
              </w:rPr>
            </w:pPr>
          </w:p>
        </w:tc>
        <w:tc>
          <w:tcPr>
            <w:tcW w:w="74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543.7</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520" w:type="dxa"/>
            <w:vAlign w:val="bottom"/>
            <w:tcBorders>
              <w:bottom w:val="single" w:sz="8" w:color="DFE5DF"/>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Bridge grid deck exit impact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3520" w:type="dxa"/>
            <w:vAlign w:val="bottom"/>
            <w:tcBorders>
              <w:bottom w:val="single" w:sz="8" w:color="DFE5DF"/>
            </w:tcBorders>
          </w:tcPr>
          <w:p>
            <w:pPr>
              <w:spacing w:after="0"/>
              <w:rPr>
                <w:sz w:val="3"/>
                <w:szCs w:val="3"/>
                <w:color w:val="auto"/>
              </w:rPr>
            </w:pPr>
          </w:p>
        </w:tc>
        <w:tc>
          <w:tcPr>
            <w:tcW w:w="360" w:type="dxa"/>
            <w:vAlign w:val="bottom"/>
            <w:tcBorders>
              <w:bottom w:val="single" w:sz="8" w:color="DFE5DF"/>
            </w:tcBorders>
          </w:tcPr>
          <w:p>
            <w:pPr>
              <w:spacing w:after="0"/>
              <w:rPr>
                <w:sz w:val="3"/>
                <w:szCs w:val="3"/>
                <w:color w:val="auto"/>
              </w:rPr>
            </w:pPr>
          </w:p>
        </w:tc>
        <w:tc>
          <w:tcPr>
            <w:tcW w:w="520" w:type="dxa"/>
            <w:vAlign w:val="bottom"/>
            <w:tcBorders>
              <w:bottom w:val="single" w:sz="8" w:color="DFE5DF"/>
            </w:tcBorders>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Crossrail settlement adjustment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4.0</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520" w:type="dxa"/>
            <w:vAlign w:val="bottom"/>
          </w:tcPr>
          <w:p>
            <w:pPr>
              <w:ind w:left="380"/>
              <w:spacing w:after="0"/>
              <w:rPr>
                <w:sz w:val="20"/>
                <w:szCs w:val="20"/>
                <w:color w:val="auto"/>
              </w:rPr>
            </w:pPr>
            <w:r>
              <w:rPr>
                <w:rFonts w:ascii="Arial" w:cs="Arial" w:eastAsia="Arial" w:hAnsi="Arial"/>
                <w:sz w:val="12"/>
                <w:szCs w:val="12"/>
                <w:color w:val="auto"/>
              </w:rPr>
              <w:t>Net sales, as adjusted</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shd w:val="clear" w:color="auto" w:fill="ABB8AF"/>
          </w:tcPr>
          <w:p>
            <w:pPr>
              <w:jc w:val="right"/>
              <w:ind w:right="462"/>
              <w:spacing w:after="0"/>
              <w:rPr>
                <w:sz w:val="20"/>
                <w:szCs w:val="20"/>
                <w:color w:val="auto"/>
              </w:rPr>
            </w:pPr>
            <w:r>
              <w:rPr>
                <w:rFonts w:ascii="Arial" w:cs="Arial" w:eastAsia="Arial" w:hAnsi="Arial"/>
                <w:sz w:val="12"/>
                <w:szCs w:val="12"/>
                <w:color w:val="auto"/>
              </w:rPr>
              <w:t>$</w:t>
            </w:r>
          </w:p>
        </w:tc>
        <w:tc>
          <w:tcPr>
            <w:tcW w:w="320" w:type="dxa"/>
            <w:vAlign w:val="bottom"/>
            <w:shd w:val="clear" w:color="auto" w:fill="ABB8AF"/>
          </w:tcPr>
          <w:p>
            <w:pPr>
              <w:jc w:val="right"/>
              <w:spacing w:after="0"/>
              <w:rPr>
                <w:sz w:val="20"/>
                <w:szCs w:val="20"/>
                <w:color w:val="auto"/>
              </w:rPr>
            </w:pPr>
            <w:r>
              <w:rPr>
                <w:rFonts w:ascii="Arial" w:cs="Arial" w:eastAsia="Arial" w:hAnsi="Arial"/>
                <w:sz w:val="12"/>
                <w:szCs w:val="12"/>
                <w:color w:val="auto"/>
                <w:w w:val="93"/>
              </w:rPr>
              <w:t>501.5</w:t>
            </w:r>
          </w:p>
        </w:tc>
        <w:tc>
          <w:tcPr>
            <w:tcW w:w="360" w:type="dxa"/>
            <w:vAlign w:val="bottom"/>
            <w:tcBorders>
              <w:left w:val="single" w:sz="8" w:color="ABB8AF"/>
            </w:tcBorders>
          </w:tcPr>
          <w:p>
            <w:pPr>
              <w:spacing w:after="0"/>
              <w:rPr>
                <w:sz w:val="18"/>
                <w:szCs w:val="18"/>
                <w:color w:val="auto"/>
              </w:rPr>
            </w:pPr>
          </w:p>
        </w:tc>
        <w:tc>
          <w:tcPr>
            <w:tcW w:w="74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545.7</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shd w:val="clear" w:color="auto" w:fill="ABB8AF"/>
          </w:tcPr>
          <w:p>
            <w:pPr>
              <w:spacing w:after="0"/>
              <w:rPr>
                <w:sz w:val="5"/>
                <w:szCs w:val="5"/>
                <w:color w:val="auto"/>
              </w:rPr>
            </w:pPr>
          </w:p>
        </w:tc>
        <w:tc>
          <w:tcPr>
            <w:tcW w:w="320" w:type="dxa"/>
            <w:vAlign w:val="bottom"/>
            <w:shd w:val="clear" w:color="auto" w:fill="ABB8AF"/>
          </w:tcPr>
          <w:p>
            <w:pPr>
              <w:spacing w:after="0"/>
              <w:rPr>
                <w:sz w:val="5"/>
                <w:szCs w:val="5"/>
                <w:color w:val="auto"/>
              </w:rPr>
            </w:pPr>
          </w:p>
        </w:tc>
        <w:tc>
          <w:tcPr>
            <w:tcW w:w="360" w:type="dxa"/>
            <w:vAlign w:val="bottom"/>
            <w:tcBorders>
              <w:left w:val="single" w:sz="8" w:color="ABB8AF"/>
            </w:tcBorders>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520" w:type="dxa"/>
            <w:vAlign w:val="bottom"/>
          </w:tcPr>
          <w:p>
            <w:pPr>
              <w:ind w:left="80"/>
              <w:spacing w:after="0" w:line="146" w:lineRule="exact"/>
              <w:rPr>
                <w:sz w:val="20"/>
                <w:szCs w:val="20"/>
                <w:color w:val="auto"/>
              </w:rPr>
            </w:pPr>
            <w:r>
              <w:rPr>
                <w:rFonts w:ascii="Arial" w:cs="Arial" w:eastAsia="Arial" w:hAnsi="Arial"/>
                <w:sz w:val="12"/>
                <w:szCs w:val="12"/>
                <w:color w:val="auto"/>
              </w:rPr>
              <w:t>+VSWW</w:t>
            </w:r>
            <w:r>
              <w:rPr>
                <w:rFonts w:ascii="PMingLiU" w:cs="PMingLiU" w:eastAsia="PMingLiU" w:hAnsi="PMingLiU"/>
                <w:sz w:val="12"/>
                <w:szCs w:val="12"/>
                <w:color w:val="auto"/>
              </w:rPr>
              <w:t/>
            </w:r>
            <w:r>
              <w:rPr>
                <w:rFonts w:ascii="Arial" w:cs="Arial" w:eastAsia="Arial" w:hAnsi="Arial"/>
                <w:sz w:val="12"/>
                <w:szCs w:val="12"/>
                <w:color w:val="auto"/>
              </w:rPr>
              <w:t>TVSƼX</w:t>
            </w:r>
            <w:r>
              <w:rPr>
                <w:rFonts w:ascii="PMingLiU" w:cs="PMingLiU" w:eastAsia="PMingLiU" w:hAnsi="PMingLiU"/>
                <w:sz w:val="12"/>
                <w:szCs w:val="12"/>
                <w:color w:val="auto"/>
              </w:rPr>
              <w:t/>
            </w:r>
            <w:r>
              <w:rPr>
                <w:rFonts w:ascii="Arial" w:cs="Arial" w:eastAsia="Arial" w:hAnsi="Arial"/>
                <w:sz w:val="12"/>
                <w:szCs w:val="12"/>
                <w:color w:val="auto"/>
              </w:rPr>
              <w:t>EW</w:t>
            </w:r>
            <w:r>
              <w:rPr>
                <w:rFonts w:ascii="PMingLiU" w:cs="PMingLiU" w:eastAsia="PMingLiU" w:hAnsi="PMingLiU"/>
                <w:sz w:val="12"/>
                <w:szCs w:val="12"/>
                <w:color w:val="auto"/>
              </w:rPr>
              <w:t/>
            </w:r>
            <w:r>
              <w:rPr>
                <w:rFonts w:ascii="Arial" w:cs="Arial" w:eastAsia="Arial" w:hAnsi="Arial"/>
                <w:sz w:val="12"/>
                <w:szCs w:val="12"/>
                <w:color w:val="auto"/>
              </w:rPr>
              <w:t>VITSVXIH</w:t>
            </w:r>
          </w:p>
        </w:tc>
        <w:tc>
          <w:tcPr>
            <w:tcW w:w="360" w:type="dxa"/>
            <w:vAlign w:val="bottom"/>
          </w:tcPr>
          <w:p>
            <w:pPr>
              <w:spacing w:after="0"/>
              <w:rPr>
                <w:sz w:val="18"/>
                <w:szCs w:val="18"/>
                <w:color w:val="auto"/>
              </w:rPr>
            </w:pPr>
          </w:p>
        </w:tc>
        <w:tc>
          <w:tcPr>
            <w:tcW w:w="1400" w:type="dxa"/>
            <w:vAlign w:val="bottom"/>
            <w:gridSpan w:val="2"/>
          </w:tcPr>
          <w:p>
            <w:pPr>
              <w:jc w:val="right"/>
              <w:ind w:right="46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89.6</w:t>
            </w:r>
          </w:p>
        </w:tc>
        <w:tc>
          <w:tcPr>
            <w:tcW w:w="360" w:type="dxa"/>
            <w:vAlign w:val="bottom"/>
          </w:tcPr>
          <w:p>
            <w:pPr>
              <w:spacing w:after="0"/>
              <w:rPr>
                <w:sz w:val="18"/>
                <w:szCs w:val="18"/>
                <w:color w:val="auto"/>
              </w:rPr>
            </w:pPr>
          </w:p>
        </w:tc>
        <w:tc>
          <w:tcPr>
            <w:tcW w:w="74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112.0</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520" w:type="dxa"/>
            <w:vAlign w:val="bottom"/>
            <w:tcBorders>
              <w:bottom w:val="single" w:sz="8" w:color="DFE5DF"/>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Bridge grid deck exit impact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3.9</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520" w:type="dxa"/>
            <w:vAlign w:val="bottom"/>
            <w:tcBorders>
              <w:bottom w:val="single" w:sz="8" w:color="DFE5DF"/>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Crossrail settlement adjustment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4.0</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520" w:type="dxa"/>
            <w:vAlign w:val="bottom"/>
            <w:tcBorders>
              <w:bottom w:val="single" w:sz="8" w:color="DFE5DF"/>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VanHooseCo inventory adjustment to fair value amortization</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0.9</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520" w:type="dxa"/>
            <w:vAlign w:val="bottom"/>
          </w:tcPr>
          <w:p>
            <w:pPr>
              <w:ind w:left="340"/>
              <w:spacing w:after="0" w:line="146" w:lineRule="exact"/>
              <w:rPr>
                <w:sz w:val="20"/>
                <w:szCs w:val="20"/>
                <w:color w:val="auto"/>
              </w:rPr>
            </w:pPr>
            <w:r>
              <w:rPr>
                <w:rFonts w:ascii="Arial" w:cs="Arial" w:eastAsia="Arial" w:hAnsi="Arial"/>
                <w:sz w:val="12"/>
                <w:szCs w:val="12"/>
                <w:color w:val="auto"/>
              </w:rPr>
              <w:t>+VSWW</w:t>
            </w:r>
            <w:r>
              <w:rPr>
                <w:rFonts w:ascii="PMingLiU" w:cs="PMingLiU" w:eastAsia="PMingLiU" w:hAnsi="PMingLiU"/>
                <w:sz w:val="12"/>
                <w:szCs w:val="12"/>
                <w:color w:val="auto"/>
              </w:rPr>
              <w:t/>
            </w:r>
            <w:r>
              <w:rPr>
                <w:rFonts w:ascii="Arial" w:cs="Arial" w:eastAsia="Arial" w:hAnsi="Arial"/>
                <w:sz w:val="12"/>
                <w:szCs w:val="12"/>
                <w:color w:val="auto"/>
              </w:rPr>
              <w:t>TVSǖX</w:t>
            </w:r>
            <w:r>
              <w:rPr>
                <w:rFonts w:ascii="PMingLiU" w:cs="PMingLiU" w:eastAsia="PMingLiU" w:hAnsi="PMingLiU"/>
                <w:sz w:val="12"/>
                <w:szCs w:val="12"/>
                <w:color w:val="auto"/>
              </w:rPr>
              <w:t/>
            </w:r>
            <w:r>
              <w:rPr>
                <w:rFonts w:ascii="Arial" w:cs="Arial" w:eastAsia="Arial" w:hAnsi="Arial"/>
                <w:sz w:val="12"/>
                <w:szCs w:val="12"/>
                <w:color w:val="auto"/>
              </w:rPr>
              <w:t>EW</w:t>
            </w:r>
            <w:r>
              <w:rPr>
                <w:rFonts w:ascii="PMingLiU" w:cs="PMingLiU" w:eastAsia="PMingLiU" w:hAnsi="PMingLiU"/>
                <w:sz w:val="12"/>
                <w:szCs w:val="12"/>
                <w:color w:val="auto"/>
              </w:rPr>
              <w:t/>
            </w:r>
            <w:r>
              <w:rPr>
                <w:rFonts w:ascii="Arial" w:cs="Arial" w:eastAsia="Arial" w:hAnsi="Arial"/>
                <w:sz w:val="12"/>
                <w:szCs w:val="12"/>
                <w:color w:val="auto"/>
              </w:rPr>
              <w:t>EHNYWXIH</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shd w:val="clear" w:color="auto" w:fill="ABB8AF"/>
          </w:tcPr>
          <w:p>
            <w:pPr>
              <w:jc w:val="right"/>
              <w:ind w:right="462"/>
              <w:spacing w:after="0"/>
              <w:rPr>
                <w:sz w:val="20"/>
                <w:szCs w:val="20"/>
                <w:color w:val="auto"/>
              </w:rPr>
            </w:pPr>
            <w:r>
              <w:rPr>
                <w:rFonts w:ascii="Arial" w:cs="Arial" w:eastAsia="Arial" w:hAnsi="Arial"/>
                <w:sz w:val="12"/>
                <w:szCs w:val="12"/>
                <w:color w:val="auto"/>
              </w:rPr>
              <w:t>$</w:t>
            </w:r>
          </w:p>
        </w:tc>
        <w:tc>
          <w:tcPr>
            <w:tcW w:w="320" w:type="dxa"/>
            <w:vAlign w:val="bottom"/>
            <w:shd w:val="clear" w:color="auto" w:fill="ABB8AF"/>
          </w:tcPr>
          <w:p>
            <w:pPr>
              <w:jc w:val="right"/>
              <w:spacing w:after="0"/>
              <w:rPr>
                <w:sz w:val="20"/>
                <w:szCs w:val="20"/>
                <w:color w:val="auto"/>
              </w:rPr>
            </w:pPr>
            <w:r>
              <w:rPr>
                <w:rFonts w:ascii="Arial" w:cs="Arial" w:eastAsia="Arial" w:hAnsi="Arial"/>
                <w:sz w:val="12"/>
                <w:szCs w:val="12"/>
                <w:color w:val="auto"/>
              </w:rPr>
              <w:t>94.4</w:t>
            </w:r>
          </w:p>
        </w:tc>
        <w:tc>
          <w:tcPr>
            <w:tcW w:w="360" w:type="dxa"/>
            <w:vAlign w:val="bottom"/>
            <w:tcBorders>
              <w:left w:val="single" w:sz="8" w:color="ABB8AF"/>
            </w:tcBorders>
          </w:tcPr>
          <w:p>
            <w:pPr>
              <w:spacing w:after="0"/>
              <w:rPr>
                <w:sz w:val="18"/>
                <w:szCs w:val="18"/>
                <w:color w:val="auto"/>
              </w:rPr>
            </w:pPr>
          </w:p>
        </w:tc>
        <w:tc>
          <w:tcPr>
            <w:tcW w:w="740" w:type="dxa"/>
            <w:vAlign w:val="bottom"/>
            <w:shd w:val="clear" w:color="auto" w:fill="ABB8AF"/>
          </w:tcPr>
          <w:p>
            <w:pPr>
              <w:jc w:val="right"/>
              <w:ind w:right="32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ABB8AF"/>
          </w:tcPr>
          <w:p>
            <w:pPr>
              <w:jc w:val="right"/>
              <w:ind w:right="22"/>
              <w:spacing w:after="0"/>
              <w:rPr>
                <w:sz w:val="20"/>
                <w:szCs w:val="20"/>
                <w:color w:val="auto"/>
              </w:rPr>
            </w:pPr>
            <w:r>
              <w:rPr>
                <w:rFonts w:ascii="Arial" w:cs="Arial" w:eastAsia="Arial" w:hAnsi="Arial"/>
                <w:sz w:val="12"/>
                <w:szCs w:val="12"/>
                <w:color w:val="auto"/>
              </w:rPr>
              <w:t>115.9</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shd w:val="clear" w:color="auto" w:fill="ABB8AF"/>
          </w:tcPr>
          <w:p>
            <w:pPr>
              <w:spacing w:after="0"/>
              <w:rPr>
                <w:sz w:val="5"/>
                <w:szCs w:val="5"/>
                <w:color w:val="auto"/>
              </w:rPr>
            </w:pPr>
          </w:p>
        </w:tc>
        <w:tc>
          <w:tcPr>
            <w:tcW w:w="320" w:type="dxa"/>
            <w:vAlign w:val="bottom"/>
            <w:shd w:val="clear" w:color="auto" w:fill="ABB8AF"/>
          </w:tcPr>
          <w:p>
            <w:pPr>
              <w:spacing w:after="0"/>
              <w:rPr>
                <w:sz w:val="5"/>
                <w:szCs w:val="5"/>
                <w:color w:val="auto"/>
              </w:rPr>
            </w:pPr>
          </w:p>
        </w:tc>
        <w:tc>
          <w:tcPr>
            <w:tcW w:w="360" w:type="dxa"/>
            <w:vAlign w:val="bottom"/>
            <w:tcBorders>
              <w:left w:val="single" w:sz="8" w:color="ABB8AF"/>
            </w:tcBorders>
          </w:tcPr>
          <w:p>
            <w:pPr>
              <w:spacing w:after="0"/>
              <w:rPr>
                <w:sz w:val="5"/>
                <w:szCs w:val="5"/>
                <w:color w:val="auto"/>
              </w:rPr>
            </w:pPr>
          </w:p>
        </w:tc>
        <w:tc>
          <w:tcPr>
            <w:tcW w:w="740" w:type="dxa"/>
            <w:vAlign w:val="bottom"/>
            <w:shd w:val="clear" w:color="auto" w:fill="ABB8AF"/>
          </w:tcPr>
          <w:p>
            <w:pPr>
              <w:spacing w:after="0"/>
              <w:rPr>
                <w:sz w:val="5"/>
                <w:szCs w:val="5"/>
                <w:color w:val="auto"/>
              </w:rPr>
            </w:pPr>
          </w:p>
        </w:tc>
        <w:tc>
          <w:tcPr>
            <w:tcW w:w="280" w:type="dxa"/>
            <w:vAlign w:val="bottom"/>
            <w:shd w:val="clear" w:color="auto" w:fill="ABB8AF"/>
          </w:tcPr>
          <w:p>
            <w:pPr>
              <w:spacing w:after="0"/>
              <w:rPr>
                <w:sz w:val="5"/>
                <w:szCs w:val="5"/>
                <w:color w:val="auto"/>
              </w:rPr>
            </w:pPr>
          </w:p>
        </w:tc>
        <w:tc>
          <w:tcPr>
            <w:tcW w:w="260" w:type="dxa"/>
            <w:vAlign w:val="bottom"/>
            <w:shd w:val="clear" w:color="auto" w:fill="ABB8AF"/>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520" w:type="dxa"/>
            <w:vAlign w:val="bottom"/>
          </w:tcPr>
          <w:p>
            <w:pPr>
              <w:ind w:left="80"/>
              <w:spacing w:after="0" w:line="146" w:lineRule="exact"/>
              <w:rPr>
                <w:sz w:val="20"/>
                <w:szCs w:val="20"/>
                <w:color w:val="auto"/>
              </w:rPr>
            </w:pPr>
            <w:r>
              <w:rPr>
                <w:rFonts w:ascii="Arial" w:cs="Arial" w:eastAsia="Arial" w:hAnsi="Arial"/>
                <w:sz w:val="12"/>
                <w:szCs w:val="12"/>
                <w:color w:val="auto"/>
              </w:rPr>
              <w:t>+VSWW</w:t>
            </w:r>
            <w:r>
              <w:rPr>
                <w:rFonts w:ascii="PMingLiU" w:cs="PMingLiU" w:eastAsia="PMingLiU" w:hAnsi="PMingLiU"/>
                <w:sz w:val="12"/>
                <w:szCs w:val="12"/>
                <w:color w:val="auto"/>
              </w:rPr>
              <w:t/>
            </w:r>
            <w:r>
              <w:rPr>
                <w:rFonts w:ascii="Arial" w:cs="Arial" w:eastAsia="Arial" w:hAnsi="Arial"/>
                <w:sz w:val="12"/>
                <w:szCs w:val="12"/>
                <w:color w:val="auto"/>
              </w:rPr>
              <w:t>TVSƼX</w:t>
            </w:r>
            <w:r>
              <w:rPr>
                <w:rFonts w:ascii="PMingLiU" w:cs="PMingLiU" w:eastAsia="PMingLiU" w:hAnsi="PMingLiU"/>
                <w:sz w:val="12"/>
                <w:szCs w:val="12"/>
                <w:color w:val="auto"/>
              </w:rPr>
              <w:t/>
            </w:r>
            <w:r>
              <w:rPr>
                <w:rFonts w:ascii="Arial" w:cs="Arial" w:eastAsia="Arial" w:hAnsi="Arial"/>
                <w:sz w:val="12"/>
                <w:szCs w:val="12"/>
                <w:color w:val="auto"/>
              </w:rPr>
              <w:t>QEVKMR</w:t>
            </w:r>
            <w:r>
              <w:rPr>
                <w:rFonts w:ascii="PMingLiU" w:cs="PMingLiU" w:eastAsia="PMingLiU" w:hAnsi="PMingLiU"/>
                <w:sz w:val="12"/>
                <w:szCs w:val="12"/>
                <w:color w:val="auto"/>
              </w:rPr>
              <w:t/>
            </w:r>
            <w:r>
              <w:rPr>
                <w:rFonts w:ascii="Arial" w:cs="Arial" w:eastAsia="Arial" w:hAnsi="Arial"/>
                <w:sz w:val="12"/>
                <w:szCs w:val="12"/>
                <w:color w:val="auto"/>
              </w:rPr>
              <w:t>EW</w:t>
            </w:r>
            <w:r>
              <w:rPr>
                <w:rFonts w:ascii="PMingLiU" w:cs="PMingLiU" w:eastAsia="PMingLiU" w:hAnsi="PMingLiU"/>
                <w:sz w:val="12"/>
                <w:szCs w:val="12"/>
                <w:color w:val="auto"/>
              </w:rPr>
              <w:t/>
            </w:r>
            <w:r>
              <w:rPr>
                <w:rFonts w:ascii="Arial" w:cs="Arial" w:eastAsia="Arial" w:hAnsi="Arial"/>
                <w:sz w:val="12"/>
                <w:szCs w:val="12"/>
                <w:color w:val="auto"/>
              </w:rPr>
              <w:t>VITSVXIH</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8"/>
              </w:rPr>
              <w:t>18.0%</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20.6%</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520" w:type="dxa"/>
            <w:vAlign w:val="bottom"/>
            <w:tcBorders>
              <w:bottom w:val="single" w:sz="8" w:color="DFE5DF"/>
            </w:tcBorders>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3520" w:type="dxa"/>
            <w:vAlign w:val="bottom"/>
          </w:tcPr>
          <w:p>
            <w:pPr>
              <w:ind w:left="80"/>
              <w:spacing w:after="0" w:line="146" w:lineRule="exact"/>
              <w:rPr>
                <w:sz w:val="20"/>
                <w:szCs w:val="20"/>
                <w:color w:val="auto"/>
              </w:rPr>
            </w:pPr>
            <w:r>
              <w:rPr>
                <w:rFonts w:ascii="Arial" w:cs="Arial" w:eastAsia="Arial" w:hAnsi="Arial"/>
                <w:sz w:val="12"/>
                <w:szCs w:val="12"/>
                <w:color w:val="auto"/>
              </w:rPr>
              <w:t>+VSWW</w:t>
            </w:r>
            <w:r>
              <w:rPr>
                <w:rFonts w:ascii="PMingLiU" w:cs="PMingLiU" w:eastAsia="PMingLiU" w:hAnsi="PMingLiU"/>
                <w:sz w:val="12"/>
                <w:szCs w:val="12"/>
                <w:color w:val="auto"/>
              </w:rPr>
              <w:t/>
            </w:r>
            <w:r>
              <w:rPr>
                <w:rFonts w:ascii="Arial" w:cs="Arial" w:eastAsia="Arial" w:hAnsi="Arial"/>
                <w:sz w:val="12"/>
                <w:szCs w:val="12"/>
                <w:color w:val="auto"/>
              </w:rPr>
              <w:t>TVSƼX</w:t>
            </w:r>
            <w:r>
              <w:rPr>
                <w:rFonts w:ascii="PMingLiU" w:cs="PMingLiU" w:eastAsia="PMingLiU" w:hAnsi="PMingLiU"/>
                <w:sz w:val="12"/>
                <w:szCs w:val="12"/>
                <w:color w:val="auto"/>
              </w:rPr>
              <w:t/>
            </w:r>
            <w:r>
              <w:rPr>
                <w:rFonts w:ascii="Arial" w:cs="Arial" w:eastAsia="Arial" w:hAnsi="Arial"/>
                <w:sz w:val="12"/>
                <w:szCs w:val="12"/>
                <w:color w:val="auto"/>
              </w:rPr>
              <w:t>QEVKMR</w:t>
            </w:r>
            <w:r>
              <w:rPr>
                <w:rFonts w:ascii="PMingLiU" w:cs="PMingLiU" w:eastAsia="PMingLiU" w:hAnsi="PMingLiU"/>
                <w:sz w:val="12"/>
                <w:szCs w:val="12"/>
                <w:color w:val="auto"/>
              </w:rPr>
              <w:t/>
            </w:r>
            <w:r>
              <w:rPr>
                <w:rFonts w:ascii="Arial" w:cs="Arial" w:eastAsia="Arial" w:hAnsi="Arial"/>
                <w:sz w:val="12"/>
                <w:szCs w:val="12"/>
                <w:color w:val="auto"/>
              </w:rPr>
              <w:t>EW</w:t>
            </w:r>
            <w:r>
              <w:rPr>
                <w:rFonts w:ascii="PMingLiU" w:cs="PMingLiU" w:eastAsia="PMingLiU" w:hAnsi="PMingLiU"/>
                <w:sz w:val="12"/>
                <w:szCs w:val="12"/>
                <w:color w:val="auto"/>
              </w:rPr>
              <w:t/>
            </w:r>
            <w:r>
              <w:rPr>
                <w:rFonts w:ascii="Arial" w:cs="Arial" w:eastAsia="Arial" w:hAnsi="Arial"/>
                <w:sz w:val="12"/>
                <w:szCs w:val="12"/>
                <w:color w:val="auto"/>
              </w:rPr>
              <w:t>EHNYWXIH</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8"/>
              </w:rPr>
              <w:t>18.8%</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2"/>
                <w:szCs w:val="12"/>
                <w:color w:val="auto"/>
              </w:rPr>
              <w:t>21.2%</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FFFFFF"/>
              </w:rPr>
              <w:t>Non-GAAP Measure: Adjusted EBITDA</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20" w:type="dxa"/>
            <w:vAlign w:val="bottom"/>
            <w:gridSpan w:val="6"/>
          </w:tcPr>
          <w:p>
            <w:pPr>
              <w:ind w:left="540"/>
              <w:spacing w:after="0"/>
              <w:rPr>
                <w:sz w:val="20"/>
                <w:szCs w:val="20"/>
                <w:color w:val="auto"/>
              </w:rPr>
            </w:pPr>
            <w:r>
              <w:rPr>
                <w:rFonts w:ascii="Arial" w:cs="Arial" w:eastAsia="Arial" w:hAnsi="Arial"/>
                <w:sz w:val="12"/>
                <w:szCs w:val="12"/>
                <w:color w:val="FFFFFF"/>
              </w:rPr>
              <w:t>12 Months Ended</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12"/>
                <w:szCs w:val="12"/>
                <w:b w:val="1"/>
                <w:bCs w:val="1"/>
                <w:color w:val="auto"/>
              </w:rPr>
              <w:t>($ in millions)</w:t>
            </w:r>
          </w:p>
        </w:tc>
        <w:tc>
          <w:tcPr>
            <w:tcW w:w="360" w:type="dxa"/>
            <w:vAlign w:val="bottom"/>
          </w:tcPr>
          <w:p>
            <w:pPr>
              <w:spacing w:after="0"/>
              <w:rPr>
                <w:sz w:val="22"/>
                <w:szCs w:val="22"/>
                <w:color w:val="auto"/>
              </w:rPr>
            </w:pPr>
          </w:p>
        </w:tc>
        <w:tc>
          <w:tcPr>
            <w:tcW w:w="1400" w:type="dxa"/>
            <w:vAlign w:val="bottom"/>
            <w:gridSpan w:val="2"/>
          </w:tcPr>
          <w:p>
            <w:pPr>
              <w:jc w:val="right"/>
              <w:ind w:right="322"/>
              <w:spacing w:after="0"/>
              <w:rPr>
                <w:sz w:val="20"/>
                <w:szCs w:val="20"/>
                <w:color w:val="auto"/>
              </w:rPr>
            </w:pPr>
            <w:r>
              <w:rPr>
                <w:rFonts w:ascii="Arial" w:cs="Arial" w:eastAsia="Arial" w:hAnsi="Arial"/>
                <w:sz w:val="12"/>
                <w:szCs w:val="12"/>
                <w:color w:val="FFFFFF"/>
                <w:w w:val="94"/>
              </w:rPr>
              <w:t>December 31, 2022</w:t>
            </w:r>
          </w:p>
        </w:tc>
        <w:tc>
          <w:tcPr>
            <w:tcW w:w="320" w:type="dxa"/>
            <w:vAlign w:val="bottom"/>
          </w:tcPr>
          <w:p>
            <w:pPr>
              <w:spacing w:after="0"/>
              <w:rPr>
                <w:sz w:val="22"/>
                <w:szCs w:val="22"/>
                <w:color w:val="auto"/>
              </w:rPr>
            </w:pP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FFFFFF"/>
                <w:w w:val="96"/>
              </w:rPr>
              <w:t>December 31, 2023</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FFFFFF"/>
              </w:rPr>
              <w:t>December 31, 2024</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FFFFFF"/>
                <w:w w:val="94"/>
              </w:rPr>
              <w:t>December 31, 2025</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Net (loss) income, as reported</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(45.7)</w:t>
            </w:r>
          </w:p>
        </w:tc>
        <w:tc>
          <w:tcPr>
            <w:tcW w:w="3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2"/>
                <w:szCs w:val="2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42.8</w:t>
            </w:r>
          </w:p>
        </w:tc>
        <w:tc>
          <w:tcPr>
            <w:tcW w:w="280" w:type="dxa"/>
            <w:vAlign w:val="bottom"/>
          </w:tcPr>
          <w:p>
            <w:pPr>
              <w:spacing w:after="0"/>
              <w:rPr>
                <w:sz w:val="22"/>
                <w:szCs w:val="22"/>
                <w:color w:val="auto"/>
              </w:rPr>
            </w:pPr>
          </w:p>
        </w:tc>
        <w:tc>
          <w:tcPr>
            <w:tcW w:w="3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3.3</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line="146" w:lineRule="exact"/>
              <w:rPr>
                <w:sz w:val="20"/>
                <w:szCs w:val="20"/>
                <w:color w:val="auto"/>
              </w:rPr>
            </w:pPr>
            <w:r>
              <w:rPr>
                <w:rFonts w:ascii="Arial" w:cs="Arial" w:eastAsia="Arial" w:hAnsi="Arial"/>
                <w:sz w:val="12"/>
                <w:szCs w:val="12"/>
                <w:color w:val="auto"/>
              </w:rPr>
              <w:t>-RGSQI</w:t>
            </w:r>
            <w:r>
              <w:rPr>
                <w:rFonts w:ascii="PMingLiU" w:cs="PMingLiU" w:eastAsia="PMingLiU" w:hAnsi="PMingLiU"/>
                <w:sz w:val="12"/>
                <w:szCs w:val="12"/>
                <w:color w:val="auto"/>
              </w:rPr>
              <w:t/>
            </w:r>
            <w:r>
              <w:rPr>
                <w:rFonts w:ascii="Arial" w:cs="Arial" w:eastAsia="Arial" w:hAnsi="Arial"/>
                <w:sz w:val="12"/>
                <w:szCs w:val="12"/>
                <w:color w:val="auto"/>
              </w:rPr>
              <w:t>XE\</w:t>
            </w:r>
            <w:r>
              <w:rPr>
                <w:rFonts w:ascii="PMingLiU" w:cs="PMingLiU" w:eastAsia="PMingLiU" w:hAnsi="PMingLiU"/>
                <w:sz w:val="12"/>
                <w:szCs w:val="12"/>
                <w:color w:val="auto"/>
              </w:rPr>
              <w:t/>
            </w:r>
            <w:r>
              <w:rPr>
                <w:rFonts w:ascii="Arial" w:cs="Arial" w:eastAsia="Arial" w:hAnsi="Arial"/>
                <w:sz w:val="12"/>
                <w:szCs w:val="12"/>
                <w:color w:val="auto"/>
              </w:rPr>
              <w:t>I\TIRWI</w:t>
            </w:r>
            <w:r>
              <w:rPr>
                <w:rFonts w:ascii="PMingLiU" w:cs="PMingLiU" w:eastAsia="PMingLiU" w:hAnsi="PMingLiU"/>
                <w:sz w:val="12"/>
                <w:szCs w:val="12"/>
                <w:color w:val="auto"/>
              </w:rPr>
              <w:t/>
            </w:r>
            <w:r>
              <w:rPr>
                <w:rFonts w:ascii="Arial" w:cs="Arial" w:eastAsia="Arial" w:hAnsi="Arial"/>
                <w:sz w:val="12"/>
                <w:szCs w:val="12"/>
                <w:color w:val="auto"/>
              </w:rPr>
              <w:t>FIRIƼX</w:t>
            </w:r>
            <w:r>
              <w:rPr>
                <w:rFonts w:ascii="PMingLiU" w:cs="PMingLiU" w:eastAsia="PMingLiU" w:hAnsi="PMingLiU"/>
                <w:sz w:val="12"/>
                <w:szCs w:val="12"/>
                <w:color w:val="auto"/>
              </w:rPr>
              <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36.7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(0.4)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(28.4)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Depreciation expense</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8.6</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9.9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Amortization expense</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6.1</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3520" w:type="dxa"/>
            <w:vAlign w:val="bottom"/>
          </w:tcPr>
          <w:p>
            <w:pPr>
              <w:ind w:left="380"/>
              <w:spacing w:after="0"/>
              <w:rPr>
                <w:sz w:val="20"/>
                <w:szCs w:val="20"/>
                <w:color w:val="auto"/>
              </w:rPr>
            </w:pPr>
            <w:r>
              <w:rPr>
                <w:rFonts w:ascii="Arial" w:cs="Arial" w:eastAsia="Arial" w:hAnsi="Arial"/>
                <w:sz w:val="12"/>
                <w:szCs w:val="12"/>
                <w:color w:val="auto"/>
              </w:rPr>
              <w:t>Total EBITDA</w:t>
            </w:r>
          </w:p>
        </w:tc>
        <w:tc>
          <w:tcPr>
            <w:tcW w:w="360" w:type="dxa"/>
            <w:vAlign w:val="bottom"/>
            <w:shd w:val="clear" w:color="auto" w:fill="ABB8AF"/>
          </w:tcPr>
          <w:p>
            <w:pPr>
              <w:jc w:val="right"/>
              <w:ind w:right="2"/>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9.1</w:t>
            </w:r>
          </w:p>
        </w:tc>
        <w:tc>
          <w:tcPr>
            <w:tcW w:w="320" w:type="dxa"/>
            <w:vAlign w:val="bottom"/>
            <w:shd w:val="clear" w:color="auto" w:fill="ABB8AF"/>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21.7</w:t>
            </w:r>
          </w:p>
        </w:tc>
        <w:tc>
          <w:tcPr>
            <w:tcW w:w="280" w:type="dxa"/>
            <w:vAlign w:val="bottom"/>
          </w:tcPr>
          <w:p>
            <w:pPr>
              <w:spacing w:after="0"/>
              <w:rPr>
                <w:sz w:val="18"/>
                <w:szCs w:val="18"/>
                <w:color w:val="auto"/>
              </w:rPr>
            </w:pPr>
          </w:p>
        </w:tc>
        <w:tc>
          <w:tcPr>
            <w:tcW w:w="260" w:type="dxa"/>
            <w:vAlign w:val="bottom"/>
            <w:shd w:val="clear" w:color="auto" w:fill="ABB8A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ABB8AF"/>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33.5</w:t>
            </w:r>
          </w:p>
        </w:tc>
        <w:tc>
          <w:tcPr>
            <w:tcW w:w="280" w:type="dxa"/>
            <w:vAlign w:val="bottom"/>
          </w:tcPr>
          <w:p>
            <w:pPr>
              <w:spacing w:after="0"/>
              <w:rPr>
                <w:sz w:val="18"/>
                <w:szCs w:val="18"/>
                <w:color w:val="auto"/>
              </w:rPr>
            </w:pPr>
          </w:p>
        </w:tc>
        <w:tc>
          <w:tcPr>
            <w:tcW w:w="340" w:type="dxa"/>
            <w:vAlign w:val="bottom"/>
            <w:shd w:val="clear" w:color="auto" w:fill="ABB8AF"/>
          </w:tcPr>
          <w:p>
            <w:pPr>
              <w:jc w:val="right"/>
              <w:ind w:right="2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34.7</w:t>
            </w: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3520" w:type="dxa"/>
            <w:vAlign w:val="bottom"/>
            <w:vMerge w:val="restart"/>
          </w:tcPr>
          <w:p>
            <w:pPr>
              <w:ind w:left="80"/>
              <w:spacing w:after="0"/>
              <w:rPr>
                <w:sz w:val="20"/>
                <w:szCs w:val="20"/>
                <w:color w:val="auto"/>
              </w:rPr>
            </w:pPr>
            <w:r>
              <w:rPr>
                <w:rFonts w:ascii="Arial" w:cs="Arial" w:eastAsia="Arial" w:hAnsi="Arial"/>
                <w:sz w:val="12"/>
                <w:szCs w:val="12"/>
                <w:color w:val="auto"/>
              </w:rPr>
              <w:t>AMH Exit costs</w:t>
            </w:r>
          </w:p>
        </w:tc>
        <w:tc>
          <w:tcPr>
            <w:tcW w:w="360" w:type="dxa"/>
            <w:vAlign w:val="bottom"/>
            <w:shd w:val="clear" w:color="auto" w:fill="ABB8AF"/>
          </w:tcPr>
          <w:p>
            <w:pPr>
              <w:spacing w:after="0"/>
              <w:rPr>
                <w:sz w:val="5"/>
                <w:szCs w:val="5"/>
                <w:color w:val="auto"/>
              </w:rPr>
            </w:pPr>
          </w:p>
        </w:tc>
        <w:tc>
          <w:tcPr>
            <w:tcW w:w="1400" w:type="dxa"/>
            <w:vAlign w:val="bottom"/>
            <w:gridSpan w:val="2"/>
            <w:vMerge w:val="restart"/>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shd w:val="clear" w:color="auto" w:fill="ABB8AF"/>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5"/>
                <w:szCs w:val="5"/>
                <w:color w:val="auto"/>
              </w:rPr>
            </w:pPr>
          </w:p>
        </w:tc>
        <w:tc>
          <w:tcPr>
            <w:tcW w:w="260" w:type="dxa"/>
            <w:vAlign w:val="bottom"/>
            <w:shd w:val="clear" w:color="auto" w:fill="ABB8AF"/>
          </w:tcPr>
          <w:p>
            <w:pPr>
              <w:spacing w:after="0"/>
              <w:rPr>
                <w:sz w:val="5"/>
                <w:szCs w:val="5"/>
                <w:color w:val="auto"/>
              </w:rPr>
            </w:pPr>
          </w:p>
        </w:tc>
        <w:tc>
          <w:tcPr>
            <w:tcW w:w="60" w:type="dxa"/>
            <w:vAlign w:val="bottom"/>
            <w:shd w:val="clear" w:color="auto" w:fill="ABB8AF"/>
          </w:tcPr>
          <w:p>
            <w:pPr>
              <w:spacing w:after="0"/>
              <w:rPr>
                <w:sz w:val="5"/>
                <w:szCs w:val="5"/>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5"/>
                <w:szCs w:val="5"/>
                <w:color w:val="auto"/>
              </w:rPr>
            </w:pPr>
          </w:p>
        </w:tc>
        <w:tc>
          <w:tcPr>
            <w:tcW w:w="340" w:type="dxa"/>
            <w:vAlign w:val="bottom"/>
            <w:shd w:val="clear" w:color="auto" w:fill="ABB8AF"/>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3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Gain on asset sales</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Pension termination costs</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Borders>
              <w:bottom w:val="single" w:sz="8" w:color="DFE5DF"/>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Borders>
              <w:bottom w:val="single" w:sz="8" w:color="DFE5DF"/>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Loss on divestitures</w:t>
            </w:r>
          </w:p>
        </w:tc>
        <w:tc>
          <w:tcPr>
            <w:tcW w:w="360" w:type="dxa"/>
            <w:vAlign w:val="bottom"/>
            <w:shd w:val="clear" w:color="auto" w:fill="DFE5DF"/>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3.1</w:t>
            </w:r>
          </w:p>
        </w:tc>
        <w:tc>
          <w:tcPr>
            <w:tcW w:w="280" w:type="dxa"/>
            <w:vAlign w:val="bottom"/>
            <w:shd w:val="clear" w:color="auto" w:fill="DFE5DF"/>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DFE5DF"/>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Borders>
              <w:bottom w:val="single" w:sz="8" w:color="DFE5DF"/>
            </w:tcBorders>
            <w:shd w:val="clear" w:color="auto" w:fill="DFE5DF"/>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Borders>
              <w:bottom w:val="single" w:sz="8" w:color="DFE5DF"/>
            </w:tcBorders>
            <w:shd w:val="clear" w:color="auto" w:fill="DFE5DF"/>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Borders>
              <w:bottom w:val="single" w:sz="8" w:color="DFE5DF"/>
            </w:tcBorders>
            <w:shd w:val="clear" w:color="auto" w:fill="DFE5DF"/>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Impairment expense</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8.0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9"/>
        </w:trPr>
        <w:tc>
          <w:tcPr>
            <w:tcW w:w="300" w:type="dxa"/>
            <w:vAlign w:val="bottom"/>
          </w:tcPr>
          <w:p>
            <w:pPr>
              <w:spacing w:after="0"/>
              <w:rPr>
                <w:sz w:val="5"/>
                <w:szCs w:val="5"/>
                <w:color w:val="auto"/>
              </w:rPr>
            </w:pPr>
          </w:p>
        </w:tc>
        <w:tc>
          <w:tcPr>
            <w:tcW w:w="3520" w:type="dxa"/>
            <w:vAlign w:val="bottom"/>
            <w:tcBorders>
              <w:bottom w:val="single" w:sz="8" w:color="DFE5DF"/>
            </w:tcBorders>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Legal expense</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9"/>
        </w:trPr>
        <w:tc>
          <w:tcPr>
            <w:tcW w:w="300" w:type="dxa"/>
            <w:vAlign w:val="bottom"/>
          </w:tcPr>
          <w:p>
            <w:pPr>
              <w:spacing w:after="0"/>
              <w:rPr>
                <w:sz w:val="5"/>
                <w:szCs w:val="5"/>
                <w:color w:val="auto"/>
              </w:rPr>
            </w:pPr>
          </w:p>
        </w:tc>
        <w:tc>
          <w:tcPr>
            <w:tcW w:w="3520" w:type="dxa"/>
            <w:vAlign w:val="bottom"/>
            <w:tcBorders>
              <w:bottom w:val="single" w:sz="8" w:color="DFE5DF"/>
            </w:tcBorders>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Acquisition and divestiture costs</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2.2</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Commercial contract settlement</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4.0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Insurance proceeds</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(0.8)</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VanHooseCo inventory adjustment to fair value amortization</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1.1</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VanHooseCo contingent consideration</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0.5</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Bridge grid deck exit impact</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Bad debt provision</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9"/>
        </w:trPr>
        <w:tc>
          <w:tcPr>
            <w:tcW w:w="300" w:type="dxa"/>
            <w:vAlign w:val="bottom"/>
          </w:tcPr>
          <w:p>
            <w:pPr>
              <w:spacing w:after="0"/>
              <w:rPr>
                <w:sz w:val="4"/>
                <w:szCs w:val="4"/>
                <w:color w:val="auto"/>
              </w:rPr>
            </w:pPr>
          </w:p>
        </w:tc>
        <w:tc>
          <w:tcPr>
            <w:tcW w:w="3520" w:type="dxa"/>
            <w:vAlign w:val="bottom"/>
            <w:tcBorders>
              <w:bottom w:val="single" w:sz="8" w:color="DFE5DF"/>
            </w:tcBorders>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Restructuring and other costs</w:t>
            </w:r>
          </w:p>
        </w:tc>
        <w:tc>
          <w:tcPr>
            <w:tcW w:w="360" w:type="dxa"/>
            <w:vAlign w:val="bottom"/>
          </w:tcPr>
          <w:p>
            <w:pPr>
              <w:spacing w:after="0"/>
              <w:rPr>
                <w:sz w:val="17"/>
                <w:szCs w:val="17"/>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0.7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3520" w:type="dxa"/>
            <w:vAlign w:val="bottom"/>
          </w:tcPr>
          <w:p>
            <w:pPr>
              <w:ind w:left="340"/>
              <w:spacing w:after="0"/>
              <w:rPr>
                <w:sz w:val="20"/>
                <w:szCs w:val="20"/>
                <w:color w:val="auto"/>
              </w:rPr>
            </w:pPr>
            <w:r>
              <w:rPr>
                <w:rFonts w:ascii="Arial" w:cs="Arial" w:eastAsia="Arial" w:hAnsi="Arial"/>
                <w:sz w:val="12"/>
                <w:szCs w:val="12"/>
                <w:color w:val="auto"/>
              </w:rPr>
              <w:t>Adjusted EBITDA</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24.2</w:t>
            </w:r>
          </w:p>
        </w:tc>
        <w:tc>
          <w:tcPr>
            <w:tcW w:w="3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31.8</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2"/>
                <w:szCs w:val="2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33.6</w:t>
            </w:r>
          </w:p>
        </w:tc>
        <w:tc>
          <w:tcPr>
            <w:tcW w:w="280" w:type="dxa"/>
            <w:vAlign w:val="bottom"/>
          </w:tcPr>
          <w:p>
            <w:pPr>
              <w:spacing w:after="0"/>
              <w:rPr>
                <w:sz w:val="22"/>
                <w:szCs w:val="22"/>
                <w:color w:val="auto"/>
              </w:rPr>
            </w:pPr>
          </w:p>
        </w:tc>
        <w:tc>
          <w:tcPr>
            <w:tcW w:w="3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39.1</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Arial" w:cs="Arial" w:eastAsia="Arial" w:hAnsi="Arial"/>
                <w:sz w:val="12"/>
                <w:szCs w:val="12"/>
                <w:color w:val="auto"/>
              </w:rPr>
              <w:t>Adjusted Net Sales</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501.5</w:t>
            </w:r>
          </w:p>
        </w:tc>
        <w:tc>
          <w:tcPr>
            <w:tcW w:w="3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545.7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2"/>
                <w:szCs w:val="2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530.8</w:t>
            </w:r>
          </w:p>
        </w:tc>
        <w:tc>
          <w:tcPr>
            <w:tcW w:w="280" w:type="dxa"/>
            <w:vAlign w:val="bottom"/>
          </w:tcPr>
          <w:p>
            <w:pPr>
              <w:spacing w:after="0"/>
              <w:rPr>
                <w:sz w:val="22"/>
                <w:szCs w:val="22"/>
                <w:color w:val="auto"/>
              </w:rPr>
            </w:pPr>
          </w:p>
        </w:tc>
        <w:tc>
          <w:tcPr>
            <w:tcW w:w="3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265"/>
        </w:trPr>
        <w:tc>
          <w:tcPr>
            <w:tcW w:w="300" w:type="dxa"/>
            <w:vAlign w:val="bottom"/>
            <w:vMerge w:val="restart"/>
          </w:tcPr>
          <w:p>
            <w:pPr>
              <w:jc w:val="right"/>
              <w:ind w:right="80"/>
              <w:spacing w:after="0"/>
              <w:rPr>
                <w:sz w:val="20"/>
                <w:szCs w:val="20"/>
                <w:color w:val="auto"/>
              </w:rPr>
            </w:pPr>
            <w:r>
              <w:rPr>
                <w:rFonts w:ascii="Arial" w:cs="Arial" w:eastAsia="Arial" w:hAnsi="Arial"/>
                <w:sz w:val="20"/>
                <w:szCs w:val="20"/>
                <w:color w:val="auto"/>
                <w:w w:val="89"/>
              </w:rPr>
              <w:t>8</w:t>
            </w:r>
          </w:p>
        </w:tc>
        <w:tc>
          <w:tcPr>
            <w:tcW w:w="3520" w:type="dxa"/>
            <w:vAlign w:val="bottom"/>
          </w:tcPr>
          <w:p>
            <w:pPr>
              <w:ind w:left="340"/>
              <w:spacing w:after="0"/>
              <w:rPr>
                <w:sz w:val="20"/>
                <w:szCs w:val="20"/>
                <w:color w:val="auto"/>
              </w:rPr>
            </w:pPr>
            <w:r>
              <w:rPr>
                <w:rFonts w:ascii="Arial" w:cs="Arial" w:eastAsia="Arial" w:hAnsi="Arial"/>
                <w:sz w:val="12"/>
                <w:szCs w:val="12"/>
                <w:color w:val="auto"/>
              </w:rPr>
              <w:t>Adjusted EBITDA margin</w:t>
            </w:r>
          </w:p>
        </w:tc>
        <w:tc>
          <w:tcPr>
            <w:tcW w:w="360" w:type="dxa"/>
            <w:vAlign w:val="bottom"/>
          </w:tcPr>
          <w:p>
            <w:pPr>
              <w:spacing w:after="0"/>
              <w:rPr>
                <w:sz w:val="23"/>
                <w:szCs w:val="23"/>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2"/>
                <w:szCs w:val="12"/>
                <w:color w:val="auto"/>
              </w:rPr>
              <w:t>4.8%</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5.8%</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6.3%</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98"/>
        </w:trPr>
        <w:tc>
          <w:tcPr>
            <w:tcW w:w="30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880" w:h="15480" w:orient="portrait"/>
          <w:cols w:equalWidth="0" w:num="1">
            <w:col w:w="10740"/>
          </w:cols>
          <w:pgMar w:left="420" w:top="537" w:right="720"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jc w:val="center"/>
        <w:spacing w:after="0" w:line="213"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8" w:lineRule="exact"/>
        <w:rPr>
          <w:sz w:val="20"/>
          <w:szCs w:val="20"/>
          <w:color w:val="auto"/>
        </w:rPr>
      </w:pPr>
    </w:p>
    <w:p>
      <w:pPr>
        <w:ind w:left="800" w:right="5600" w:hanging="470"/>
        <w:spacing w:after="0" w:line="242" w:lineRule="auto"/>
        <w:tabs>
          <w:tab w:leader="none" w:pos="80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7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For the fiscal year ended December 31,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44" w:lineRule="exact"/>
        <w:rPr>
          <w:sz w:val="20"/>
          <w:szCs w:val="20"/>
          <w:color w:val="auto"/>
        </w:rPr>
      </w:pPr>
    </w:p>
    <w:p>
      <w:pPr>
        <w:ind w:left="800" w:right="5320" w:hanging="470"/>
        <w:spacing w:after="0" w:line="242" w:lineRule="auto"/>
        <w:rPr>
          <w:sz w:val="20"/>
          <w:szCs w:val="20"/>
          <w:color w:val="auto"/>
        </w:rPr>
      </w:pPr>
      <w:r>
        <w:rPr>
          <w:rFonts w:ascii="Arial" w:cs="Arial" w:eastAsia="Arial" w:hAnsi="Arial"/>
          <w:sz w:val="22"/>
          <w:szCs w:val="22"/>
          <w:color w:val="auto"/>
        </w:rPr>
        <w:t xml:space="preserve">‘ </w:t>
      </w:r>
      <w:r>
        <w:rPr>
          <w:rFonts w:ascii="Times New Roman" w:cs="Times New Roman" w:eastAsia="Times New Roman" w:hAnsi="Times New Roman"/>
          <w:sz w:val="22"/>
          <w:szCs w:val="22"/>
          <w:b w:val="1"/>
          <w:bCs w:val="1"/>
          <w:color w:val="auto"/>
        </w:rPr>
        <w:t>Transition Report Pursuant to Section 13 or 15(d)</w:t>
      </w:r>
      <w:r>
        <w:rPr>
          <w:rFonts w:ascii="Arial" w:cs="Arial" w:eastAsia="Arial" w:hAnsi="Arial"/>
          <w:sz w:val="22"/>
          <w:szCs w:val="22"/>
          <w:color w:val="auto"/>
        </w:rPr>
        <w:t xml:space="preserve"> </w:t>
      </w:r>
      <w:r>
        <w:rPr>
          <w:rFonts w:ascii="Times New Roman" w:cs="Times New Roman" w:eastAsia="Times New Roman" w:hAnsi="Times New Roman"/>
          <w:sz w:val="22"/>
          <w:szCs w:val="22"/>
          <w:b w:val="1"/>
          <w:bCs w:val="1"/>
          <w:color w:val="auto"/>
        </w:rPr>
        <w:t>of the Securities Exchange Act of 1934</w:t>
      </w:r>
    </w:p>
    <w:p>
      <w:pPr>
        <w:spacing w:after="0" w:line="69" w:lineRule="exact"/>
        <w:rPr>
          <w:sz w:val="20"/>
          <w:szCs w:val="20"/>
          <w:color w:val="auto"/>
        </w:rPr>
      </w:pPr>
    </w:p>
    <w:p>
      <w:pPr>
        <w:ind w:left="800"/>
        <w:spacing w:after="0"/>
        <w:tabs>
          <w:tab w:leader="none" w:pos="3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31115</wp:posOffset>
            </wp:positionV>
            <wp:extent cx="1945005" cy="389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1945005"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L.B. FOSTER COMPANY</w:t>
      </w:r>
    </w:p>
    <w:p>
      <w:pPr>
        <w:jc w:val="center"/>
        <w:spacing w:after="0" w:line="189" w:lineRule="auto"/>
        <w:rPr>
          <w:sz w:val="20"/>
          <w:szCs w:val="20"/>
          <w:color w:val="auto"/>
        </w:rPr>
      </w:pPr>
      <w:r>
        <w:rPr>
          <w:rFonts w:ascii="Times New Roman" w:cs="Times New Roman" w:eastAsia="Times New Roman" w:hAnsi="Times New Roman"/>
          <w:sz w:val="20"/>
          <w:szCs w:val="20"/>
          <w:i w:val="1"/>
          <w:iCs w:val="1"/>
          <w:color w:val="auto"/>
        </w:rPr>
        <w:t>(Exact name of registrant as specified in its charter)</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320" w:type="dxa"/>
            <w:vAlign w:val="bottom"/>
          </w:tcPr>
          <w:p>
            <w:pPr>
              <w:jc w:val="center"/>
              <w:ind w:right="1015"/>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80" w:type="dxa"/>
            <w:vAlign w:val="bottom"/>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96"/>
        </w:trPr>
        <w:tc>
          <w:tcPr>
            <w:tcW w:w="5320" w:type="dxa"/>
            <w:vAlign w:val="bottom"/>
          </w:tcPr>
          <w:p>
            <w:pPr>
              <w:jc w:val="center"/>
              <w:ind w:right="1015"/>
              <w:spacing w:after="0"/>
              <w:rPr>
                <w:sz w:val="20"/>
                <w:szCs w:val="20"/>
                <w:color w:val="auto"/>
              </w:rPr>
            </w:pPr>
            <w:r>
              <w:rPr>
                <w:rFonts w:ascii="Times New Roman" w:cs="Times New Roman" w:eastAsia="Times New Roman" w:hAnsi="Times New Roman"/>
                <w:sz w:val="16"/>
                <w:szCs w:val="16"/>
                <w:i w:val="1"/>
                <w:iCs w:val="1"/>
                <w:color w:val="auto"/>
              </w:rPr>
              <w:t>(State of Incorporation)</w:t>
            </w:r>
          </w:p>
        </w:tc>
        <w:tc>
          <w:tcPr>
            <w:tcW w:w="3380" w:type="dxa"/>
            <w:vAlign w:val="bottom"/>
          </w:tcPr>
          <w:p>
            <w:pPr>
              <w:jc w:val="center"/>
              <w:ind w:left="1015"/>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r>
      <w:tr>
        <w:trPr>
          <w:trHeight w:val="264"/>
        </w:trPr>
        <w:tc>
          <w:tcPr>
            <w:tcW w:w="5320" w:type="dxa"/>
            <w:vAlign w:val="bottom"/>
          </w:tcPr>
          <w:p>
            <w:pPr>
              <w:jc w:val="center"/>
              <w:ind w:right="1015"/>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380" w:type="dxa"/>
            <w:vAlign w:val="bottom"/>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96"/>
        </w:trPr>
        <w:tc>
          <w:tcPr>
            <w:tcW w:w="5320" w:type="dxa"/>
            <w:vAlign w:val="bottom"/>
          </w:tcPr>
          <w:p>
            <w:pPr>
              <w:jc w:val="center"/>
              <w:ind w:right="1015"/>
              <w:spacing w:after="0"/>
              <w:rPr>
                <w:sz w:val="20"/>
                <w:szCs w:val="20"/>
                <w:color w:val="auto"/>
              </w:rPr>
            </w:pPr>
            <w:r>
              <w:rPr>
                <w:rFonts w:ascii="Times New Roman" w:cs="Times New Roman" w:eastAsia="Times New Roman" w:hAnsi="Times New Roman"/>
                <w:sz w:val="16"/>
                <w:szCs w:val="16"/>
                <w:i w:val="1"/>
                <w:iCs w:val="1"/>
                <w:color w:val="auto"/>
                <w:w w:val="99"/>
              </w:rPr>
              <w:t>(Address of principal executive offices)</w:t>
            </w:r>
          </w:p>
        </w:tc>
        <w:tc>
          <w:tcPr>
            <w:tcW w:w="3380" w:type="dxa"/>
            <w:vAlign w:val="bottom"/>
          </w:tcPr>
          <w:p>
            <w:pPr>
              <w:jc w:val="center"/>
              <w:ind w:left="1015"/>
              <w:spacing w:after="0"/>
              <w:rPr>
                <w:sz w:val="20"/>
                <w:szCs w:val="20"/>
                <w:color w:val="auto"/>
              </w:rPr>
            </w:pPr>
            <w:r>
              <w:rPr>
                <w:rFonts w:ascii="Times New Roman" w:cs="Times New Roman" w:eastAsia="Times New Roman" w:hAnsi="Times New Roman"/>
                <w:sz w:val="16"/>
                <w:szCs w:val="16"/>
                <w:i w:val="1"/>
                <w:iCs w:val="1"/>
                <w:color w:val="auto"/>
                <w:w w:val="97"/>
              </w:rPr>
              <w:t>(Zip Code)</w:t>
            </w: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(412) 928-3400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880" w:h="15480" w:orient="portrait"/>
          <w:cols w:equalWidth="0" w:num="1">
            <w:col w:w="10800"/>
          </w:cols>
          <w:pgMar w:left="540" w:top="676" w:right="540" w:bottom="0" w:gutter="0" w:footer="0" w:header="0"/>
        </w:sectPr>
      </w:pPr>
    </w:p>
    <w:p>
      <w:pPr>
        <w:spacing w:after="0" w:line="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7" w:lineRule="exact"/>
        <w:rPr>
          <w:sz w:val="20"/>
          <w:szCs w:val="20"/>
          <w:color w:val="auto"/>
        </w:rPr>
      </w:pPr>
    </w:p>
    <w:p>
      <w:pPr>
        <w:sectPr>
          <w:pgSz w:w="11880" w:h="15480" w:orient="portrait"/>
          <w:cols w:equalWidth="0" w:num="3">
            <w:col w:w="4160" w:space="720"/>
            <w:col w:w="1920" w:space="720"/>
            <w:col w:w="3280"/>
          </w:cols>
          <w:pgMar w:left="540" w:top="676" w:right="540" w:bottom="0" w:gutter="0" w:footer="0" w:header="0"/>
          <w:type w:val="continuous"/>
        </w:sectPr>
      </w:pP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Par Value $0.01</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8"/>
          <w:szCs w:val="18"/>
          <w:color w:val="auto"/>
        </w:rPr>
        <w:t>FSTR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40" w:lineRule="exact"/>
        <w:rPr>
          <w:sz w:val="20"/>
          <w:szCs w:val="20"/>
          <w:color w:val="auto"/>
        </w:rPr>
      </w:pPr>
    </w:p>
    <w:p>
      <w:pPr>
        <w:sectPr>
          <w:pgSz w:w="11880" w:h="15480" w:orient="portrait"/>
          <w:cols w:equalWidth="0" w:num="3">
            <w:col w:w="4580" w:space="720"/>
            <w:col w:w="2040" w:space="720"/>
            <w:col w:w="2740"/>
          </w:cols>
          <w:pgMar w:left="540" w:top="676" w:right="54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jc w:val="center"/>
        <w:spacing w:after="0" w:line="203" w:lineRule="auto"/>
        <w:rPr>
          <w:sz w:val="20"/>
          <w:szCs w:val="20"/>
          <w:color w:val="auto"/>
        </w:rPr>
      </w:pPr>
      <w:r>
        <w:rPr>
          <w:rFonts w:ascii="Times New Roman" w:cs="Times New Roman" w:eastAsia="Times New Roman" w:hAnsi="Times New Roman"/>
          <w:sz w:val="16"/>
          <w:szCs w:val="16"/>
          <w:b w:val="1"/>
          <w:bCs w:val="1"/>
          <w:color w:val="auto"/>
        </w:rPr>
        <w:t>None</w:t>
      </w:r>
    </w:p>
    <w:p>
      <w:pPr>
        <w:sectPr>
          <w:pgSz w:w="11880" w:h="15480" w:orient="portrait"/>
          <w:cols w:equalWidth="0" w:num="1">
            <w:col w:w="10800"/>
          </w:cols>
          <w:pgMar w:left="540" w:top="676" w:right="540" w:bottom="0" w:gutter="0" w:footer="0" w:header="0"/>
          <w:type w:val="continuous"/>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È </w:t>
      </w:r>
      <w:r>
        <w:rPr>
          <w:rFonts w:ascii="Times New Roman" w:cs="Times New Roman" w:eastAsia="Times New Roman" w:hAnsi="Times New Roman"/>
          <w:sz w:val="17"/>
          <w:szCs w:val="17"/>
          <w:color w:val="auto"/>
        </w:rPr>
        <w:t>No</w:t>
      </w:r>
    </w:p>
    <w:p>
      <w:pPr>
        <w:spacing w:after="0" w:line="59" w:lineRule="exact"/>
        <w:rPr>
          <w:sz w:val="20"/>
          <w:szCs w:val="20"/>
          <w:color w:val="auto"/>
        </w:rPr>
      </w:pPr>
    </w:p>
    <w:p>
      <w:pPr>
        <w:sectPr>
          <w:pgSz w:w="11880" w:h="15480" w:orient="portrait"/>
          <w:cols w:equalWidth="0" w:num="3">
            <w:col w:w="8320" w:space="180"/>
            <w:col w:w="520" w:space="340"/>
            <w:col w:w="1440"/>
          </w:cols>
          <w:pgMar w:left="540" w:top="676" w:right="540" w:bottom="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È </w:t>
      </w:r>
      <w:r>
        <w:rPr>
          <w:rFonts w:ascii="Times New Roman" w:cs="Times New Roman" w:eastAsia="Times New Roman" w:hAnsi="Times New Roman"/>
          <w:sz w:val="17"/>
          <w:szCs w:val="17"/>
          <w:color w:val="auto"/>
        </w:rPr>
        <w:t>No</w:t>
      </w:r>
    </w:p>
    <w:p>
      <w:pPr>
        <w:spacing w:after="0" w:line="68" w:lineRule="exact"/>
        <w:rPr>
          <w:sz w:val="20"/>
          <w:szCs w:val="20"/>
          <w:color w:val="auto"/>
        </w:rPr>
      </w:pPr>
    </w:p>
    <w:p>
      <w:pPr>
        <w:sectPr>
          <w:pgSz w:w="11880" w:h="15480" w:orient="portrait"/>
          <w:cols w:equalWidth="0" w:num="3">
            <w:col w:w="8480" w:space="160"/>
            <w:col w:w="520" w:space="340"/>
            <w:col w:w="1300"/>
          </w:cols>
          <w:pgMar w:left="540" w:top="676" w:right="540" w:bottom="0" w:gutter="0" w:footer="0" w:header="0"/>
          <w:type w:val="continuous"/>
        </w:sect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È</w:t>
      </w:r>
      <w:r>
        <w:rPr>
          <w:rFonts w:ascii="Times New Roman" w:cs="Times New Roman" w:eastAsia="Times New Roman" w:hAnsi="Times New Roman"/>
          <w:sz w:val="17"/>
          <w:szCs w:val="17"/>
          <w:color w:val="auto"/>
        </w:rPr>
        <w:t xml:space="preserve">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w:t>
      </w:r>
    </w:p>
    <w:p>
      <w:pPr>
        <w:spacing w:after="0" w:line="70" w:lineRule="exact"/>
        <w:rPr>
          <w:sz w:val="20"/>
          <w:szCs w:val="20"/>
          <w:color w:val="auto"/>
        </w:r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7"/>
          <w:szCs w:val="17"/>
          <w:color w:val="auto"/>
        </w:rPr>
        <w:t>È</w:t>
      </w:r>
      <w:r>
        <w:rPr>
          <w:rFonts w:ascii="Times New Roman" w:cs="Times New Roman" w:eastAsia="Times New Roman" w:hAnsi="Times New Roman"/>
          <w:sz w:val="17"/>
          <w:szCs w:val="17"/>
          <w:color w:val="auto"/>
        </w:rPr>
        <w:t xml:space="preserve">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w:t>
      </w:r>
    </w:p>
    <w:p>
      <w:pPr>
        <w:spacing w:after="0" w:line="69" w:lineRule="exact"/>
        <w:rPr>
          <w:sz w:val="20"/>
          <w:szCs w:val="20"/>
          <w:color w:val="auto"/>
        </w:r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Arial" w:cs="Arial" w:eastAsia="Arial" w:hAnsi="Arial"/>
          <w:sz w:val="16"/>
          <w:szCs w:val="16"/>
          <w:color w:val="auto"/>
        </w:rPr>
        <w:t>È</w:t>
      </w:r>
      <w:r>
        <w:rPr>
          <w:rFonts w:ascii="Times New Roman" w:cs="Times New Roman" w:eastAsia="Times New Roman" w:hAnsi="Times New Roman"/>
          <w:sz w:val="16"/>
          <w:szCs w:val="16"/>
          <w:color w:val="auto"/>
        </w:rPr>
        <w:t xml:space="preserve"> Non-accelerated filer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Smaller reporting company </w:t>
      </w:r>
      <w:r>
        <w:rPr>
          <w:rFonts w:ascii="Arial" w:cs="Arial" w:eastAsia="Arial" w:hAnsi="Arial"/>
          <w:sz w:val="16"/>
          <w:szCs w:val="16"/>
          <w:color w:val="auto"/>
        </w:rPr>
        <w:t>È</w:t>
      </w:r>
      <w:r>
        <w:rPr>
          <w:rFonts w:ascii="Times New Roman" w:cs="Times New Roman" w:eastAsia="Times New Roman" w:hAnsi="Times New Roman"/>
          <w:sz w:val="16"/>
          <w:szCs w:val="16"/>
          <w:color w:val="auto"/>
        </w:rPr>
        <w:t xml:space="preserve"> Emerging growth company </w:t>
      </w:r>
      <w:r>
        <w:rPr>
          <w:rFonts w:ascii="Arial" w:cs="Arial" w:eastAsia="Arial" w:hAnsi="Arial"/>
          <w:sz w:val="16"/>
          <w:szCs w:val="16"/>
          <w:color w:val="auto"/>
        </w:rPr>
        <w:t>‘</w:t>
      </w:r>
    </w:p>
    <w:p>
      <w:pPr>
        <w:spacing w:after="0" w:line="135" w:lineRule="exact"/>
        <w:rPr>
          <w:sz w:val="20"/>
          <w:szCs w:val="20"/>
          <w:color w:val="auto"/>
        </w:rPr>
      </w:pPr>
    </w:p>
    <w:p>
      <w:pPr>
        <w:jc w:val="both"/>
        <w:ind w:firstLine="340"/>
        <w:spacing w:after="0" w:line="230"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w:t>
      </w:r>
    </w:p>
    <w:p>
      <w:pPr>
        <w:spacing w:after="0" w:line="70" w:lineRule="exact"/>
        <w:rPr>
          <w:sz w:val="20"/>
          <w:szCs w:val="20"/>
          <w:color w:val="auto"/>
        </w:r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7"/>
          <w:szCs w:val="17"/>
          <w:color w:val="auto"/>
        </w:rPr>
        <w:t>È</w:t>
      </w:r>
    </w:p>
    <w:p>
      <w:pPr>
        <w:spacing w:after="0" w:line="70" w:lineRule="exact"/>
        <w:rPr>
          <w:sz w:val="20"/>
          <w:szCs w:val="20"/>
          <w:color w:val="auto"/>
        </w:rPr>
      </w:pPr>
    </w:p>
    <w:p>
      <w:pPr>
        <w:jc w:val="both"/>
        <w:ind w:firstLine="340"/>
        <w:spacing w:after="0" w:line="230"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7"/>
          <w:szCs w:val="17"/>
          <w:color w:val="auto"/>
        </w:rPr>
        <w:t>‘</w:t>
      </w:r>
    </w:p>
    <w:p>
      <w:pPr>
        <w:spacing w:after="0" w:line="70" w:lineRule="exact"/>
        <w:rPr>
          <w:sz w:val="20"/>
          <w:szCs w:val="20"/>
          <w:color w:val="auto"/>
        </w:rPr>
      </w:pPr>
    </w:p>
    <w:p>
      <w:pPr>
        <w:ind w:firstLine="340"/>
        <w:spacing w:after="0" w:line="230"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color w:val="auto"/>
        </w:rPr>
        <w:t>‘</w:t>
      </w:r>
    </w:p>
    <w:p>
      <w:pPr>
        <w:sectPr>
          <w:pgSz w:w="11880" w:h="15480" w:orient="portrait"/>
          <w:cols w:equalWidth="0" w:num="1">
            <w:col w:w="10800"/>
          </w:cols>
          <w:pgMar w:left="540" w:top="676" w:right="540" w:bottom="0" w:gutter="0" w:footer="0" w:header="0"/>
          <w:type w:val="continuous"/>
        </w:sectPr>
      </w:pP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È</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t>
      </w:r>
    </w:p>
    <w:p>
      <w:pPr>
        <w:spacing w:after="0" w:line="68" w:lineRule="exact"/>
        <w:rPr>
          <w:sz w:val="20"/>
          <w:szCs w:val="20"/>
          <w:color w:val="auto"/>
        </w:rPr>
      </w:pPr>
    </w:p>
    <w:p>
      <w:pPr>
        <w:sectPr>
          <w:pgSz w:w="11880" w:h="15480" w:orient="portrait"/>
          <w:cols w:equalWidth="0" w:num="5">
            <w:col w:w="7340" w:space="180"/>
            <w:col w:w="160" w:space="100"/>
            <w:col w:w="260" w:space="500"/>
            <w:col w:w="180" w:space="80"/>
            <w:col w:w="2000"/>
          </w:cols>
          <w:pgMar w:left="540" w:top="676" w:right="540" w:bottom="0" w:gutter="0" w:footer="0" w:header="0"/>
          <w:type w:val="continuous"/>
        </w:sect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$213,944,609.</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February 27, 2026, there were 10,307,374 shares of the registrant’s common stock, par value $0.01 per share, outstanding.</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68" w:lineRule="exact"/>
        <w:rPr>
          <w:sz w:val="20"/>
          <w:szCs w:val="20"/>
          <w:color w:val="auto"/>
        </w:rPr>
      </w:pPr>
    </w:p>
    <w:p>
      <w:pPr>
        <w:jc w:val="both"/>
        <w:ind w:firstLine="340"/>
        <w:spacing w:after="0" w:line="231" w:lineRule="auto"/>
        <w:rPr>
          <w:sz w:val="20"/>
          <w:szCs w:val="20"/>
          <w:color w:val="auto"/>
        </w:rPr>
      </w:pPr>
      <w:r>
        <w:rPr>
          <w:rFonts w:ascii="Times New Roman" w:cs="Times New Roman" w:eastAsia="Times New Roman" w:hAnsi="Times New Roman"/>
          <w:sz w:val="17"/>
          <w:szCs w:val="17"/>
          <w:color w:val="auto"/>
        </w:rPr>
        <w:t>Portions of the Definitive Proxy Statement for the 2026 Annual Meeting of Shareholders (“2026 Proxy Statement”) are incorporated by reference in Items 10, 11, 12, 13 and 14 of Part III of this Form 10-K. The 2026 Proxy Statement will be filed with the US Securities and Exchange Commission within 120 days after the end of the fiscal year to which this Form 10-K relates.</w:t>
      </w:r>
    </w:p>
    <w:p>
      <w:pPr>
        <w:sectPr>
          <w:pgSz w:w="11880" w:h="15480" w:orient="portrait"/>
          <w:cols w:equalWidth="0" w:num="1">
            <w:col w:w="10800"/>
          </w:cols>
          <w:pgMar w:left="540" w:top="676" w:right="54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16.</w:t>
      </w:r>
    </w:p>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3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70" w:lineRule="exact"/>
        <w:rPr>
          <w:sz w:val="20"/>
          <w:szCs w:val="20"/>
          <w:color w:val="auto"/>
        </w:rPr>
      </w:pPr>
    </w:p>
    <w:p>
      <w:pPr>
        <w:spacing w:after="0"/>
        <w:tabs>
          <w:tab w:leader="none" w:pos="8080" w:val="left"/>
        </w:tabs>
        <w:rPr>
          <w:sz w:val="20"/>
          <w:szCs w:val="20"/>
          <w:color w:val="auto"/>
        </w:rPr>
      </w:pPr>
      <w:r>
        <w:rPr>
          <w:rFonts w:ascii="Times New Roman" w:cs="Times New Roman" w:eastAsia="Times New Roman" w:hAnsi="Times New Roman"/>
          <w:sz w:val="20"/>
          <w:szCs w:val="20"/>
          <w:color w:val="auto"/>
        </w:rPr>
        <w:t>Business  . . . . . . . . . . . . . . . . . . . . . . . . . . . . . . . . . . . . . . . . . . . . . . . . . . . . . . . . . . . . . . . . . . . . . .</w:t>
        <w:tab/>
        <w:t>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Risk Factors . . . . . . . . . . . . . . . . . . . . . . . . . . . . . . . . . . . . . . . . . . . . . . . . . . . . . . . . . . . . . . . . . . . .</w:t>
        <w:tab/>
        <w:t>12</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Unresolved Staff Comments . . . . . . . . . . . . . . . . . . . . . . . . . . . . . . . . . . . . . . . . . . . . . . . . . . . . . . .</w:t>
        <w:tab/>
        <w:t>21</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Cybersecurity  . . . . . . . . . . . . . . . . . . . . . . . . . . . . . . . . . . . . . . . . . . . . . . . . . . . . . . . . . . . . . . . . . .</w:t>
        <w:tab/>
        <w:t>21</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Properties  . . . . . . . . . . . . . . . . . . . . . . . . . . . . . . . . . . . . . . . . . . . . . . . . . . . . . . . . . . . . . . . . . . . . .</w:t>
        <w:tab/>
        <w:t>23</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Legal Proceedings . . . . . . . . . . . . . . . . . . . . . . . . . . . . . . . . . . . . . . . . . . . . . . . . . . . . . . . . . . . . . . .</w:t>
        <w:tab/>
        <w:t>24</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Mine Safety Disclosures . . . . . . . . . . . . . . . . . . . . . . . . . . . . . . . . . . . . . . . . . . . . . . . . . . . . . . . . . .</w:t>
        <w:tab/>
        <w:t>24</w:t>
      </w:r>
    </w:p>
    <w:p>
      <w:pPr>
        <w:spacing w:after="0" w:line="19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p>
      <w:pPr>
        <w:spacing w:after="0" w:line="1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Equity Securities . . . . . . . . . . . . . . . . . . . . . . . . . . . . . . . . . . . . . . . . . . . . . . . . . . . . . . . . . . . . . . . .</w:t>
        <w:tab/>
        <w:t>25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Reserved . . . . . . . . . . . . . . . . . . . . . . . . . . . . . . . . . . . . . . . . . . . . . . . . . . . . . . . . . . . . . . . . . . . . . .</w:t>
        <w:tab/>
        <w:t>26</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 . . . . .</w:t>
        <w:tab/>
        <w:t>26</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Quantitative and Qualitative Disclosures About Market Risk . . . . . . . . . . . . . . . . . . . . . . . . . . . . .</w:t>
        <w:tab/>
        <w:t>35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Financial Statements and Supplementary Data . . . . . . . . . . . . . . . . . . . . . . . . . . . . . . . . . . . . . . . . .</w:t>
        <w:tab/>
        <w:t>36</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 . . . . . .</w:t>
        <w:tab/>
        <w:t>73</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Controls and Procedures . . . . . . . . . . . . . . . . . . . . . . . . . . . . . . . . . . . . . . . . . . . . . . . . . . . . . . . . . .</w:t>
        <w:tab/>
        <w:t>73</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Other Information . . . . . . . . . . . . . . . . . . . . . . . . . . . . . . . . . . . . . . . . . . . . . . . . . . . . . . . . . . . . . . .</w:t>
        <w:tab/>
        <w:t>75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Disclosure Regarding Foreign Jurisdictions that Prevent Inspections . . . . . . . . . . . . . . . . . . . . . . .</w:t>
        <w:tab/>
        <w:t>75</w:t>
      </w:r>
    </w:p>
    <w:p>
      <w:pPr>
        <w:spacing w:after="0" w:line="19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Directors, Executive Officers, and Corporate Governance  . . . . . . . . . . . . . . . . . . . . . . . . . . . . . . .</w:t>
        <w:tab/>
        <w:t>75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Executive Compensation . . . . . . . . . . . . . . . . . . . . . . . . . . . . . . . . . . . . . . . . . . . . . . . . . . . . . . . . . .</w:t>
        <w:tab/>
        <w:t>75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p>
      <w:pPr>
        <w:spacing w:after="0" w:line="1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 . .</w:t>
        <w:tab/>
        <w:t>75</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Certain Relationships and Related Transactions, and Director Independence . . . . . . . . . . . . . . . . .</w:t>
        <w:tab/>
        <w:t>76</w:t>
      </w:r>
    </w:p>
    <w:p>
      <w:pPr>
        <w:spacing w:after="0" w:line="7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Principal Accountant Fees and Services . . . . . . . . . . . . . . . . . . . . . . . . . . . . . . . . . . . . . . . . . . . . . .</w:t>
        <w:tab/>
        <w:t>76</w:t>
      </w:r>
    </w:p>
    <w:p>
      <w:pPr>
        <w:spacing w:after="0" w:line="1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5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Exhibits and Financial Statement Schedules  . . . . . . . . . . . . . . . . . . . . . . . . . . . . . . . . . . . . . . . . . .</w:t>
        <w:tab/>
        <w:t>77</w:t>
      </w:r>
    </w:p>
    <w:p>
      <w:pPr>
        <w:spacing w:after="0" w:line="5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Form 10-K Summary  . . . . . . . . . . . . . . . . . . . . . . . . . . . . . . . . . . . . . . . . . . . . . . . . . . . . . . . . . . . .</w:t>
        <w:tab/>
        <w:t>78</w:t>
      </w:r>
    </w:p>
    <w:p>
      <w:pPr>
        <w:spacing w:after="0" w:line="50" w:lineRule="exact"/>
        <w:rPr>
          <w:sz w:val="20"/>
          <w:szCs w:val="20"/>
          <w:color w:val="auto"/>
        </w:rPr>
      </w:pPr>
    </w:p>
    <w:p>
      <w:pPr>
        <w:spacing w:after="0"/>
        <w:tabs>
          <w:tab w:leader="none" w:pos="79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w:t>
        <w:tab/>
        <w:t>83</w:t>
      </w:r>
    </w:p>
    <w:p>
      <w:pPr>
        <w:spacing w:after="0" w:line="200" w:lineRule="exact"/>
        <w:rPr>
          <w:sz w:val="20"/>
          <w:szCs w:val="20"/>
          <w:color w:val="auto"/>
        </w:rPr>
      </w:pPr>
    </w:p>
    <w:p>
      <w:pPr>
        <w:sectPr>
          <w:pgSz w:w="11880" w:h="15480" w:orient="portrait"/>
          <w:cols w:equalWidth="0" w:num="2">
            <w:col w:w="720" w:space="200"/>
            <w:col w:w="820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120"/>
          </w:cols>
          <w:pgMar w:left="1380" w:top="1432" w:right="1380" w:bottom="534"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42"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Forward-looking statements include any statement that does not directly relate to any historical or current fact. Sentences containing words such as “believe,” “intend,” “plan,” “may,”, “will,” “expect,” “should,” “could,” “continue,” “anticipate,” “estimate,” “predict,” “project,” or their negatives, or other similar expressions of a future or forward-looking nature generally should be considered forward-looking statements. Forward-looking statements in this Annual Report on Form 10-K are based on management’s current expectations and assumptions about future events that involve inherent risks and uncertainties and may concern, among other things, L.B. Foster Company’s (the “Company’s”)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w:t>
      </w:r>
    </w:p>
    <w:p>
      <w:pPr>
        <w:sectPr>
          <w:pgSz w:w="11880" w:h="15480" w:orient="portrait"/>
          <w:cols w:equalWidth="0" w:num="1">
            <w:col w:w="9120"/>
          </w:cols>
          <w:pgMar w:left="1380" w:top="1432" w:right="1380" w:bottom="534"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120"/>
          </w:cols>
          <w:pgMar w:left="1380" w:top="1432" w:right="1380" w:bottom="534" w:gutter="0" w:footer="0" w:header="0"/>
          <w:type w:val="continuous"/>
        </w:sectPr>
      </w:pPr>
    </w:p>
    <w:bookmarkStart w:id="11" w:name="page12"/>
    <w:bookmarkEnd w:id="11"/>
    <w:p>
      <w:pPr>
        <w:spacing w:after="0" w:line="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this Annual Report on Form 10-K and our other current or periodic filings with the Securities and Exchange Commission.</w:t>
      </w:r>
    </w:p>
    <w:p>
      <w:pPr>
        <w:spacing w:after="0" w:line="137" w:lineRule="exact"/>
        <w:rPr>
          <w:sz w:val="20"/>
          <w:szCs w:val="20"/>
          <w:color w:val="auto"/>
        </w:rPr>
      </w:pPr>
    </w:p>
    <w:p>
      <w:pPr>
        <w:jc w:val="both"/>
        <w:ind w:firstLine="400"/>
        <w:spacing w:after="0" w:line="244" w:lineRule="auto"/>
        <w:rPr>
          <w:sz w:val="20"/>
          <w:szCs w:val="20"/>
          <w:color w:val="auto"/>
        </w:rPr>
      </w:pPr>
      <w:r>
        <w:rPr>
          <w:rFonts w:ascii="Times New Roman" w:cs="Times New Roman" w:eastAsia="Times New Roman" w:hAnsi="Times New Roman"/>
          <w:sz w:val="20"/>
          <w:szCs w:val="20"/>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20"/>
          </w:cols>
          <w:pgMar w:left="1380" w:top="1440" w:right="1380" w:bottom="534" w:gutter="0" w:footer="0" w:header="0"/>
          <w:type w:val="continuous"/>
        </w:sectPr>
      </w:pPr>
    </w:p>
    <w:bookmarkStart w:id="12" w:name="page13"/>
    <w:bookmarkEnd w:id="12"/>
    <w:p>
      <w:pPr>
        <w:ind w:left="42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in thousands, except share data unless otherwise noted)</w:t>
      </w:r>
    </w:p>
    <w:p>
      <w:pPr>
        <w:spacing w:after="0" w:line="10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Description of Businesses</w:t>
      </w:r>
    </w:p>
    <w:p>
      <w:pPr>
        <w:spacing w:after="0" w:line="10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Founded in 1902, L.B. Foster Company is a Pennsylvania corporation with its principal office in Pittsburgh, PA.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As used herein, “L.B. Foster,” the “Company,” “we,” “us,” and “our” or similar references refer collectively to L.B. Foster Company and its subsidiaries, unless the context indicates otherwise.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operates under two reporting segments (1) Rail, Technologies, and Services (“Rail”) and</w:t>
      </w:r>
    </w:p>
    <w:p>
      <w:pPr>
        <w:spacing w:after="0" w:line="10" w:lineRule="exact"/>
        <w:rPr>
          <w:sz w:val="20"/>
          <w:szCs w:val="20"/>
          <w:color w:val="auto"/>
        </w:rPr>
      </w:pPr>
    </w:p>
    <w:p>
      <w:pPr>
        <w:jc w:val="both"/>
        <w:spacing w:after="0" w:line="237" w:lineRule="auto"/>
        <w:tabs>
          <w:tab w:leader="none" w:pos="29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Solutions (“Infrastructure”), each of which has certain business units, as described below. The Company’s reportable operating segments have been determined in accordance with the Company’s internal management structure, which is organized based on operating activities, the manner in which we organize segments for making operating and resource allocation decisions and assessing performance, and the availability of separate financial results.</w:t>
      </w:r>
    </w:p>
    <w:p>
      <w:pPr>
        <w:spacing w:after="0" w:line="105"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20"/>
          <w:szCs w:val="20"/>
          <w:color w:val="auto"/>
        </w:rPr>
        <w:t>The following table shows the net sales for each reporting segment as a percentage of total net sales for the years ended December 31, 2025 and 2024:</w:t>
      </w:r>
    </w:p>
    <w:p>
      <w:pPr>
        <w:spacing w:after="0" w:line="6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Percentage of Net Sales</w:t>
            </w:r>
          </w:p>
        </w:tc>
      </w:tr>
      <w:tr>
        <w:trPr>
          <w:trHeight w:val="200"/>
        </w:trPr>
        <w:tc>
          <w:tcPr>
            <w:tcW w:w="6720" w:type="dxa"/>
            <w:vAlign w:val="bottom"/>
          </w:tcPr>
          <w:p>
            <w:pPr>
              <w:spacing w:after="0"/>
              <w:rPr>
                <w:sz w:val="17"/>
                <w:szCs w:val="17"/>
                <w:color w:val="auto"/>
              </w:rPr>
            </w:pPr>
          </w:p>
        </w:tc>
        <w:tc>
          <w:tcPr>
            <w:tcW w:w="6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6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Rail, Technologies, and Services  . . . . . . . . . . . . . . . . . . . . . . . . . . . . . . . . . . . . .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57%</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Infrastructure Solutions . . . . . . . . . . . . . . . . . . . . . . . . . . . . . . . . . . . . . . . . . . . . . .</w:t>
            </w:r>
          </w:p>
        </w:tc>
        <w:tc>
          <w:tcPr>
            <w:tcW w:w="1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80" w:type="dxa"/>
            <w:vAlign w:val="bottom"/>
          </w:tcPr>
          <w:p>
            <w:pPr>
              <w:spacing w:after="0"/>
              <w:rPr>
                <w:sz w:val="24"/>
                <w:szCs w:val="24"/>
                <w:color w:val="auto"/>
              </w:rPr>
            </w:pPr>
          </w:p>
        </w:tc>
      </w:tr>
      <w:tr>
        <w:trPr>
          <w:trHeight w:val="320"/>
        </w:trPr>
        <w:tc>
          <w:tcPr>
            <w:tcW w:w="672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100%</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4"/>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143"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Financial information concerning these segments is set forth in Part II, Item 8, Financial Statements and Supplementary Data, Note 2 to the Consolidated Financial Statements contained in this Annual Report on Form 10-K, which is incorporated by reference into this Item 1.</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Rail, Technologies, and Services</w:t>
      </w:r>
    </w:p>
    <w:p>
      <w:pPr>
        <w:spacing w:after="0" w:line="10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Company’s Rail segment is comprised of several manufacturing, distribution, and service businesses that provide a variety of products, solutions, and services for freight and passenger railroads and other industrial companies throughout the world. The Rail segment has sales offices throughout North America, South America, Europe, and Asia, and works on rail projects where it offers products manufactured by the Company, or sourced from numerous supply chain partners. The Rail segment also offers contract project management and aftermarket services. The Rail reporting segment is comprised of the Rail Products, Global Friction Management, and Technology Services and Solutions business units. Within Rail Products and Global Friction Management, we offer a full suite of track components and friction management products and services. Within Technology Services and Solutions, we focus on innovation, creating leading edge engineering and digital communication technology solutions for rail, infrastructure, and the built environment, including control and digital display, contract services, and condition monitoring solutions. The Technology Services and Solutions business unit also offers Total Track Monitoring railroad condition monitoring systems, equipment, and services.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Rail Products</w:t>
      </w:r>
    </w:p>
    <w:p>
      <w:pPr>
        <w:spacing w:after="0" w:line="101"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20"/>
          <w:szCs w:val="20"/>
          <w:color w:val="auto"/>
        </w:rPr>
        <w:t>The Rail Products business unit is comprised of the Company’s Rail Distribution, Allegheny Rail Products, and Transit Products.</w:t>
      </w:r>
    </w:p>
    <w:p>
      <w:pPr>
        <w:spacing w:after="0" w:line="113"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Rail Distribution </w:t>
      </w:r>
      <w:r>
        <w:rPr>
          <w:rFonts w:ascii="Times New Roman" w:cs="Times New Roman" w:eastAsia="Times New Roman" w:hAnsi="Times New Roman"/>
          <w:sz w:val="20"/>
          <w:szCs w:val="20"/>
          <w:color w:val="auto"/>
        </w:rPr>
        <w:t>— This division sells new rail mainly to passenger and short line freight railroads,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industrial companies, and rail contractors for the replacement of existing lines or expansion of new lines. Rail</w:t>
      </w:r>
    </w:p>
    <w:p>
      <w:pPr>
        <w:sectPr>
          <w:pgSz w:w="11880" w:h="15480" w:orient="portrait"/>
          <w:cols w:equalWidth="0" w:num="1">
            <w:col w:w="9120"/>
          </w:cols>
          <w:pgMar w:left="1380" w:top="1432" w:right="1380" w:bottom="534"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20"/>
          </w:cols>
          <w:pgMar w:left="1380" w:top="1432" w:right="1380" w:bottom="534" w:gutter="0" w:footer="0" w:header="0"/>
          <w:type w:val="continuous"/>
        </w:sectPr>
      </w:pPr>
    </w:p>
    <w:bookmarkStart w:id="13" w:name="page14"/>
    <w:bookmarkEnd w:id="13"/>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accessories sold by the Rail Distribution division include track spikes, bolts, angle bars, tie plates, and other products required to install or maintain rail lines. These products are manufactured by the Company or purchased from other manufacturers and distributed accordingly. Rail Distribution also sells trackwork products to Class II and III railroads, industrial, and export markets.</w:t>
      </w:r>
    </w:p>
    <w:p>
      <w:pPr>
        <w:spacing w:after="0" w:line="1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Allegheny Rail Products (“ARP”) </w:t>
      </w:r>
      <w:r>
        <w:rPr>
          <w:rFonts w:ascii="Times New Roman" w:cs="Times New Roman" w:eastAsia="Times New Roman" w:hAnsi="Times New Roman"/>
          <w:sz w:val="20"/>
          <w:szCs w:val="20"/>
          <w:color w:val="auto"/>
        </w:rPr>
        <w:t>— ARP engineers and manufactures insulated rail joints and 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accessories for freight and passenger railroads and industrial customers. Insulated joints are manufactured domestically at the Company’s facilities in Pueblo, CO and Niles, OH.</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Transit Products </w:t>
      </w:r>
      <w:r>
        <w:rPr>
          <w:rFonts w:ascii="Times New Roman" w:cs="Times New Roman" w:eastAsia="Times New Roman" w:hAnsi="Times New Roman"/>
          <w:sz w:val="20"/>
          <w:szCs w:val="20"/>
          <w:color w:val="auto"/>
        </w:rPr>
        <w:t>— This division supplies designed, engineered, and outsourced-manufactured direct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fixation fasteners, coverboards, and special accessories primarily for passenger railroad systems. Transit Products also manufactures power rail, also known as third rail, at its facility in Niles, OH. These products are usually sold to contractors or by sealed bid to passenger railroads.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Global Friction Management</w:t>
      </w:r>
    </w:p>
    <w:p>
      <w:pPr>
        <w:spacing w:after="0" w:line="14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Global Friction Management business unit engineers, manufactures, and fabricates friction management products and application systems for its rail customers. It also provides aftermarket services managing its friction management solutions for customers. The Company’s friction management products optimize performance at the rail to wheel interface, which helps our customers reduce fuel consumption, improve operating efficiencies, extend the life of operating assets such as rail and wheels, reduce track stresses, and lower the related maintenance and operating costs of its rail customers. Friction management products include mobile and wayside systems that apply lubricants and liquid or solid friction modifiers. These products and systems are designed, engineered, manufactured, fabricated, serviced, and marketed in the United States (“US”), Canada, the United Kingdom (“UK”), and Germany.</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Technology Services and Solutions</w:t>
      </w:r>
    </w:p>
    <w:p>
      <w:pPr>
        <w:spacing w:after="0" w:line="14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Technology Services and Solutions business unit engineers and manufactures Total Track Monitoring railroad condition monitoring systems and equipment including wheel impact load detection systems, wayside data collection and management systems, and rockfall, flood, earthworks, and bridge strike monitoring. These offerings create a smart interface between conventional rail products and intelligent digital technologies to monitor safety, increase network velocity, and enable the digital railway. In addition, the business unit provides controls, displays, digital signage, and telecommunication contract management solutions for the transit, control room, and customer information and display sectors to enhance safety, operational efficiency, and customer experience. These products, systems, and services are designed, engineered, serviced, and marketed in the US, UK, Canada, and Germany. During 2025, the Company announced the discontinuation of the Automation and Materials Handling product line (the “AMH Exit”) as part of the Company’s initiatives to scale back businesses in the UK, and as of December 31, 2025 has completed all related remaining customer obligations.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Infrastructure Solutions</w:t>
      </w:r>
    </w:p>
    <w:p>
      <w:pPr>
        <w:spacing w:after="0" w:line="1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Infrastructure segment uses its industry expertise to design, manufacture, and deploy advanced technologies that positively impact the built environment, including precast concrete buildings and products, bridge products, and steel pipe protective coatings and threading. The Infrastructure segment is composed of ten operating facilities across the US providing engineered precast concrete solutions, fabricated bridge products, and protective pipe coating and threading offerings across North America.</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Precast Concrete Products</w:t>
      </w:r>
    </w:p>
    <w:p>
      <w:pPr>
        <w:spacing w:after="0" w:line="134" w:lineRule="exact"/>
        <w:rPr>
          <w:sz w:val="20"/>
          <w:szCs w:val="20"/>
          <w:color w:val="auto"/>
        </w:rPr>
      </w:pPr>
    </w:p>
    <w:p>
      <w:pPr>
        <w:jc w:val="both"/>
        <w:ind w:firstLine="400"/>
        <w:spacing w:after="0" w:line="216" w:lineRule="auto"/>
        <w:rPr>
          <w:sz w:val="20"/>
          <w:szCs w:val="20"/>
          <w:color w:val="auto"/>
        </w:rPr>
      </w:pPr>
      <w:r>
        <w:rPr>
          <w:rFonts w:ascii="Times New Roman" w:cs="Times New Roman" w:eastAsia="Times New Roman" w:hAnsi="Times New Roman"/>
          <w:sz w:val="20"/>
          <w:szCs w:val="20"/>
          <w:color w:val="auto"/>
        </w:rPr>
        <w:t>The Precast Concrete Products (“Precast”) business unit manufactures precast concrete products for the North American civil infrastructure market. Under its CXT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brand, Precast manufactures restrooms, concession stands, and other protective storage buildings available in multiple designs, textures, and colors for national, state, and municipal parks. The Company is a leading, high-end supplier of precast buildings in terms of volume, product options, and capabilities. These facilities also manufacture various other precast concrete products such</w:t>
      </w:r>
    </w:p>
    <w:p>
      <w:pPr>
        <w:sectPr>
          <w:pgSz w:w="11880" w:h="15480" w:orient="portrait"/>
          <w:cols w:equalWidth="0" w:num="1">
            <w:col w:w="9120"/>
          </w:cols>
          <w:pgMar w:left="1380" w:top="1440" w:right="1380" w:bottom="534"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120"/>
          </w:cols>
          <w:pgMar w:left="1380" w:top="1440" w:right="1380" w:bottom="534" w:gutter="0" w:footer="0" w:header="0"/>
          <w:type w:val="continuous"/>
        </w:sectPr>
      </w:pPr>
    </w:p>
    <w:bookmarkStart w:id="14" w:name="page15"/>
    <w:bookmarkEnd w:id="14"/>
    <w:p>
      <w:pPr>
        <w:jc w:val="both"/>
        <w:spacing w:after="0" w:line="219" w:lineRule="auto"/>
        <w:rPr>
          <w:sz w:val="20"/>
          <w:szCs w:val="20"/>
          <w:color w:val="auto"/>
        </w:rPr>
      </w:pPr>
      <w:r>
        <w:rPr>
          <w:rFonts w:ascii="Times New Roman" w:cs="Times New Roman" w:eastAsia="Times New Roman" w:hAnsi="Times New Roman"/>
          <w:sz w:val="20"/>
          <w:szCs w:val="20"/>
          <w:color w:val="auto"/>
        </w:rPr>
        <w:t>as sound walls, bridge beams, and other wet/dry utilities concrete products at its Boise, ID, Hillsboro, TX, and Waverly, WV facilities. Also under the CXT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brand, the Company has facilities in Loudon, TN, near Knoxville, and Lebanon, TN near Nashville, which specialize in precast concrete walls, water management products, and forms for the commercial, civil, industrial, and residential infrastructure markets. The Company also has a leased facility in Lake County, Florida which commenced operations in 2025 and produces precast concrete wall systems.</w:t>
      </w:r>
    </w:p>
    <w:p>
      <w:pPr>
        <w:spacing w:after="0" w:line="136" w:lineRule="exact"/>
        <w:rPr>
          <w:sz w:val="20"/>
          <w:szCs w:val="20"/>
          <w:color w:val="auto"/>
        </w:rPr>
      </w:pPr>
    </w:p>
    <w:p>
      <w:pPr>
        <w:jc w:val="both"/>
        <w:ind w:firstLine="400"/>
        <w:spacing w:after="0" w:line="189" w:lineRule="auto"/>
        <w:rPr>
          <w:sz w:val="20"/>
          <w:szCs w:val="20"/>
          <w:color w:val="auto"/>
        </w:rPr>
      </w:pPr>
      <w:r>
        <w:rPr>
          <w:rFonts w:ascii="Times New Roman" w:cs="Times New Roman" w:eastAsia="Times New Roman" w:hAnsi="Times New Roman"/>
          <w:sz w:val="20"/>
          <w:szCs w:val="20"/>
          <w:color w:val="auto"/>
        </w:rPr>
        <w:t>The Company also possesses proprietary license agreements to implement technologies via ENVIROCAST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 pre-insulated concrete wall system allowing for faster builds and design flexibility, and ENVIROKEEPER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a modular in-ground water retention and management system, which can be applied at all of its manufacturing facilities.</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Steel Products</w:t>
      </w:r>
    </w:p>
    <w:p>
      <w:pPr>
        <w:spacing w:after="0" w:line="130"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The Company’s Steel Products business unit provides custom engineered solutions and services that help to build and maintain critical civil and energy infrastructure throughout North America. Steel Products designs, manufactures, and supplies a variety of steel bridge products to contractors performing installation and repair work to North American transportation infrastructure network. It also provides solutions in corrosion protection for the safe transportation of gas and liquids in pipelines as well as threaded pipe for water well applications.</w:t>
      </w:r>
    </w:p>
    <w:p>
      <w:pPr>
        <w:spacing w:after="0" w:line="134"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Bridge Products — </w:t>
      </w:r>
      <w:r>
        <w:rPr>
          <w:rFonts w:ascii="Times New Roman" w:cs="Times New Roman" w:eastAsia="Times New Roman" w:hAnsi="Times New Roman"/>
          <w:sz w:val="20"/>
          <w:szCs w:val="20"/>
          <w:color w:val="auto"/>
        </w:rPr>
        <w:t>The Bridge Products facility in Bedford, PA manufactures a number of fabricated steel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aluminum products primarily for the highway, bridge, and transit industries, including aluminum bridge railing, and stay-in-place steel bridge forms. The Company discontinued its grid deck product line in the third quarter of 2023 and completed substantially all remaining customer obligations in 2025.</w:t>
      </w:r>
    </w:p>
    <w:p>
      <w:pPr>
        <w:spacing w:after="0" w:line="132"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i w:val="1"/>
          <w:iCs w:val="1"/>
          <w:color w:val="auto"/>
        </w:rPr>
        <w:t xml:space="preserve">Water Well Products </w:t>
      </w:r>
      <w:r>
        <w:rPr>
          <w:rFonts w:ascii="Times New Roman" w:cs="Times New Roman" w:eastAsia="Times New Roman" w:hAnsi="Times New Roman"/>
          <w:sz w:val="20"/>
          <w:szCs w:val="20"/>
          <w:color w:val="auto"/>
        </w:rPr>
        <w:t>— The Company’s Magnolia, TX facility cuts, threads, and paints pipe primarily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water well applications for the agriculture industry and municipal water authorities and, to a lesser extent, threading services for oil and gas production.</w:t>
      </w:r>
    </w:p>
    <w:p>
      <w:pPr>
        <w:spacing w:after="0" w:line="132"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Protective Pipe Coatings </w:t>
      </w:r>
      <w:r>
        <w:rPr>
          <w:rFonts w:ascii="Times New Roman" w:cs="Times New Roman" w:eastAsia="Times New Roman" w:hAnsi="Times New Roman"/>
          <w:sz w:val="20"/>
          <w:szCs w:val="20"/>
          <w:color w:val="auto"/>
        </w:rPr>
        <w:t>— There are two pipeline coating services locations that make up our Protective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Coatings division. Our Birmingham, AL facility coats the outside and inside diameter of pipe primarily for oil and gas transmission pipelines. This location partners with its customer, a pipe manufacturer, to market fusion bonded epoxy coatings, abrasion resistant coatings, and internal linings for a wide variety of pipe diameters for use in pipeline projects throughout North America.</w:t>
      </w:r>
    </w:p>
    <w:p>
      <w:pPr>
        <w:spacing w:after="0" w:line="134"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The second location, situated in Willis, TX, applies specialty outside and inside diameter coatings for a wide variety of pipe diameters for oil and gas transmission, mining, and waste-water pipelines, as well as custom coatings for specialty pipe fittings and connections.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Operations</w:t>
      </w:r>
    </w:p>
    <w:p>
      <w:pPr>
        <w:spacing w:after="0" w:line="13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L.B. Foster Company generally markets its Rail products and services directly in all major industrial areas of North America, South America, Europe and Asia. Infrastructure products and services are primarily marketed domestically. The Company employs a global sales force of approximately 77 people of which 12 are located outside of the US to reach current customers and cultivate potential customers in these areas. For the years ended December 31, 2025 and 2024, approximately 11% and 14%, respectively, of the Company’s total sales were outside the US. Our international sales and long-lived assets are presented in Note 2 of the Company’s Consolidated Financial Statements, set forth in Item 8 of this Annual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Competition</w:t>
      </w:r>
    </w:p>
    <w:p>
      <w:pPr>
        <w:spacing w:after="0" w:line="13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However, there are one or more companies that compete with the Company in each product line. Therefore, the Company faces significant competition from different groups of companies.</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20"/>
          </w:cols>
          <w:pgMar w:left="1380" w:top="1432" w:right="1380" w:bottom="534"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Raw Materials and Supplies</w:t>
      </w:r>
    </w:p>
    <w:p>
      <w:pPr>
        <w:spacing w:after="0" w:line="11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purchases from its domestic and foreign supplier base a variety of raw materials including epoxy, electronics, and other components. The Company also purchases steel, cement, and aggregates which are primarily sourced from domestic suppliers. Products are also purchased in the form of finished or semi-finished products with the majority of product being supplied by domestic and some foreign steel producers. Generally, the Company has a number of vendor options.</w:t>
      </w:r>
    </w:p>
    <w:p>
      <w:pPr>
        <w:spacing w:after="0" w:line="112" w:lineRule="exact"/>
        <w:rPr>
          <w:sz w:val="20"/>
          <w:szCs w:val="20"/>
          <w:color w:val="auto"/>
        </w:rPr>
      </w:pPr>
    </w:p>
    <w:p>
      <w:pPr>
        <w:jc w:val="both"/>
        <w:ind w:firstLine="400"/>
        <w:spacing w:after="0" w:line="242" w:lineRule="auto"/>
        <w:rPr>
          <w:sz w:val="20"/>
          <w:szCs w:val="20"/>
          <w:color w:val="auto"/>
        </w:rPr>
      </w:pPr>
      <w:r>
        <w:rPr>
          <w:rFonts w:ascii="Times New Roman" w:cs="Times New Roman" w:eastAsia="Times New Roman" w:hAnsi="Times New Roman"/>
          <w:sz w:val="20"/>
          <w:szCs w:val="20"/>
          <w:color w:val="auto"/>
        </w:rPr>
        <w:t>The Company’s purchases from foreign suppliers are subject to foreign currency exchange rate changes, tariffs, and the risks associated with changes in international conditions, as well as US and international laws that could impose import restrictions and tariffs on selected classes of products and for anti-dumping duties if products are sold in the US at prices that are below specified prices.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1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Company’s backlog represents the sales price of customer purchase orders or contracts in which the performance obligations have not been met, and therefore are precluded from revenue recognition. Although the Company believes that the orders included in backlog are firm, customers may cancel or change their orders with limited advance notice; however, these instances are rare. Backlog should not be considered a reliable indicator of the Company’s ability to achieve any particular level of revenue or financial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Trademarks</w:t>
      </w:r>
    </w:p>
    <w:p>
      <w:pPr>
        <w:spacing w:after="0" w:line="112" w:lineRule="exact"/>
        <w:rPr>
          <w:sz w:val="20"/>
          <w:szCs w:val="20"/>
          <w:color w:val="auto"/>
        </w:rPr>
      </w:pPr>
    </w:p>
    <w:p>
      <w:pPr>
        <w:jc w:val="both"/>
        <w:ind w:firstLine="400"/>
        <w:spacing w:after="0" w:line="244" w:lineRule="auto"/>
        <w:rPr>
          <w:sz w:val="20"/>
          <w:szCs w:val="20"/>
          <w:color w:val="auto"/>
        </w:rPr>
      </w:pPr>
      <w:r>
        <w:rPr>
          <w:rFonts w:ascii="Times New Roman" w:cs="Times New Roman" w:eastAsia="Times New Roman" w:hAnsi="Times New Roman"/>
          <w:sz w:val="20"/>
          <w:szCs w:val="20"/>
          <w:color w:val="auto"/>
        </w:rPr>
        <w:t>The Company owns a number of domestic and international patents and trademarks, primarily related to products in its Global Friction Management and Technology Services and Solutions business units, as well as its Precast Concrete Products business unit. The Company’s business segments are not dependent upon any individual patents or related group of patents, nor upon any individual licenses or distribution rights. The Company believes that, in the aggregate, the rights under its patents, trademarks, and licenses are generally important to its operations, but considers neither any individual patent, nor any licensing or distribution rights related to a specific process or product, to be of material importance in relation to its total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Disclosures</w:t>
      </w:r>
    </w:p>
    <w:p>
      <w:pPr>
        <w:spacing w:after="0" w:line="112" w:lineRule="exact"/>
        <w:rPr>
          <w:sz w:val="20"/>
          <w:szCs w:val="20"/>
          <w:color w:val="auto"/>
        </w:rPr>
      </w:pPr>
    </w:p>
    <w:p>
      <w:pPr>
        <w:jc w:val="both"/>
        <w:ind w:firstLine="400"/>
        <w:spacing w:after="0"/>
        <w:rPr>
          <w:sz w:val="20"/>
          <w:szCs w:val="20"/>
          <w:color w:val="auto"/>
        </w:rPr>
      </w:pPr>
      <w:r>
        <w:rPr>
          <w:rFonts w:ascii="Times New Roman" w:cs="Times New Roman" w:eastAsia="Times New Roman" w:hAnsi="Times New Roman"/>
          <w:sz w:val="20"/>
          <w:szCs w:val="20"/>
          <w:color w:val="auto"/>
        </w:rPr>
        <w:t>Information regarding environmental matters is included in Part II, Item 8, Financial Statements and Supplementary Data, Note 16 to the Consolidated Financial Statements included in this Annual Report on Form 10-K, which is incorporated by reference into this Item 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12" w:lineRule="exact"/>
        <w:rPr>
          <w:sz w:val="20"/>
          <w:szCs w:val="20"/>
          <w:color w:val="auto"/>
        </w:rPr>
      </w:pPr>
    </w:p>
    <w:p>
      <w:pPr>
        <w:jc w:val="both"/>
        <w:ind w:firstLine="400"/>
        <w:spacing w:after="0" w:line="244" w:lineRule="auto"/>
        <w:rPr>
          <w:sz w:val="20"/>
          <w:szCs w:val="20"/>
          <w:color w:val="auto"/>
        </w:rPr>
      </w:pPr>
      <w:r>
        <w:rPr>
          <w:rFonts w:ascii="Times New Roman" w:cs="Times New Roman" w:eastAsia="Times New Roman" w:hAnsi="Times New Roman"/>
          <w:sz w:val="20"/>
          <w:szCs w:val="20"/>
          <w:color w:val="auto"/>
        </w:rPr>
        <w:t>People are the heart of L.B. Foster’s success. The Company strives to create and promote a culture that makes L.B. Foster a great place to work. The Company seeks to attract and retain employees that embody and demonstrate its values, which are summarized in our SPIRIT model, focusing on Safety, People, Integrity, Respect, Innovation, and Teamwork. The Company uses these six principles to guide its employees every day. The expectation of all employees, at every level of the organization, is to execute our business strategy in a manner that adheres to these core values and demonstrates commitment to the L.B. Foster SPIRIT.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Equal Employment Opportunity</w:t>
      </w:r>
    </w:p>
    <w:p>
      <w:pPr>
        <w:spacing w:after="0" w:line="10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is dedicated to the principle of equal employment opportunity and the provision of a workplace free from discrimination and harassment in accordance with all applicable federal, state, and local laws and regulations. This statement and accompanying practices, which pertain to all persons involved in Company operations, prohibit unlawful discrimination by any employee and apply to all terms, conditions, and privileges of employment. Additionally, the Company will also make reasonable accommodations for individuals with known disabilities who are otherwise qualified to perform a job.</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Corporate Responsibility</w:t>
      </w:r>
    </w:p>
    <w:p>
      <w:pPr>
        <w:spacing w:after="0" w:line="106"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20"/>
          <w:szCs w:val="20"/>
          <w:color w:val="auto"/>
        </w:rPr>
        <w:t>The Company is committed to good corporate citizenship and promoting the highest standards of environmental performance, corporate governance, and ethical behavior to positively impact the communities in</w:t>
      </w:r>
    </w:p>
    <w:p>
      <w:pPr>
        <w:sectPr>
          <w:pgSz w:w="11880" w:h="15480" w:orient="portrait"/>
          <w:cols w:equalWidth="0" w:num="1">
            <w:col w:w="9120"/>
          </w:cols>
          <w:pgMar w:left="1380" w:top="1428" w:right="1380" w:bottom="534"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20"/>
          </w:cols>
          <w:pgMar w:left="1380" w:top="1428" w:right="1380" w:bottom="534" w:gutter="0" w:footer="0" w:header="0"/>
          <w:type w:val="continuous"/>
        </w:sectPr>
      </w:pPr>
    </w:p>
    <w:bookmarkStart w:id="16" w:name="page17"/>
    <w:bookmarkEnd w:id="16"/>
    <w:p>
      <w:pPr>
        <w:jc w:val="both"/>
        <w:spacing w:after="0" w:line="237" w:lineRule="auto"/>
        <w:rPr>
          <w:sz w:val="20"/>
          <w:szCs w:val="20"/>
          <w:color w:val="auto"/>
        </w:rPr>
      </w:pPr>
      <w:r>
        <w:rPr>
          <w:rFonts w:ascii="Times New Roman" w:cs="Times New Roman" w:eastAsia="Times New Roman" w:hAnsi="Times New Roman"/>
          <w:sz w:val="20"/>
          <w:szCs w:val="20"/>
          <w:color w:val="auto"/>
        </w:rPr>
        <w:t>which we operate. With a focus on continuous improvement, the Company has adopted safety and environmental policies in support of long-term environmental, health, safety, and sustainability excellence. Among our core values are safety, teamwork, and innovation which we rely on to create more advanced solutions around sustainability. We also emphasize continual improvement in preventing pollution and reducing the environmental impact of our operations while maximizing opportunities for environmental and social benefits.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Health and Safety</w:t>
      </w:r>
    </w:p>
    <w:p>
      <w:pPr>
        <w:spacing w:after="0" w:line="14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L.B. Foster aims to promote a culture of environmental, health, safety, and sustainability (“EHSS”) excellence that strives to protect the environment as well as the safety and health of our employees, business, customers, and communities where we operate. The Company strives to meet or exceed the requirements of all applicable environmental, health, and safety (“EHS”) regulations as the Company raises its standards of excellence. Consistent with its core values of safety, teamwork, and innovation, the Company aims to create more advanced solutions around sustainability. The Company emphasizes continual improvement in its EHSS performance, particularly as it applies to preventing pollution and reducing the environmental impact of its operations while maximizing opportunities for environmental and social benefits. The Company continually strives to develop best practices in EHS management based on international standards such as ISO 14001:2015 and ISO 45001:2018. The Company has eight locations/businesses throughout North America and Europe where the Environmental Management Systems have been independently assessed and verified as compliant with the requirements of ISO 14001:2015 and ISO 45001:2018.</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Leadership and Talent Management</w:t>
      </w:r>
    </w:p>
    <w:p>
      <w:pPr>
        <w:spacing w:after="0" w:line="141"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The Company’s executive leadership team sets the Company’s strategic direction and is dedicated to sustainable, profitable growth through its commitment to providing quality products and services to customers and treating customers, suppliers, and employees as partners. L.B. Foster cultivates and empowers talent through performance management, career planning/development, and succession planning, creating an environment for people to be successful in achieving our strategic plan through the following areas: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Talent Acquisition and Onboarding</w:t>
      </w:r>
    </w:p>
    <w:p>
      <w:pPr>
        <w:spacing w:after="0" w:line="141"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The Company is committed to finding and hiring the best-qualified candidate (from within or outside of the organization) for a job opening, in a timely and cost-effective manner. The recruitment process includes analyzing the requirements of a job, meeting with hiring management to determine the appropriate qualifications and experience for the position, attracting qualified candidates to that job, screening and selecting applicants, hiring, and ultimately integrating the new employee to the organization.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Development Planning</w:t>
      </w:r>
    </w:p>
    <w:p>
      <w:pPr>
        <w:spacing w:after="0" w:line="141"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The Company actively promotes proactive planning and implementation of action steps towards our employees’ career goals. Developmental experiences can consist of training, developing, mentoring, and coaching.</w:t>
      </w: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Succession Planning</w:t>
      </w:r>
    </w:p>
    <w:p>
      <w:pPr>
        <w:spacing w:after="0" w:line="141" w:lineRule="exact"/>
        <w:rPr>
          <w:sz w:val="20"/>
          <w:szCs w:val="20"/>
          <w:color w:val="auto"/>
        </w:rPr>
      </w:pPr>
    </w:p>
    <w:p>
      <w:pPr>
        <w:jc w:val="both"/>
        <w:ind w:firstLine="400"/>
        <w:spacing w:after="0" w:line="237" w:lineRule="auto"/>
        <w:rPr>
          <w:sz w:val="20"/>
          <w:szCs w:val="20"/>
          <w:color w:val="auto"/>
        </w:rPr>
      </w:pPr>
      <w:r>
        <w:rPr>
          <w:rFonts w:ascii="Times New Roman" w:cs="Times New Roman" w:eastAsia="Times New Roman" w:hAnsi="Times New Roman"/>
          <w:sz w:val="20"/>
          <w:szCs w:val="20"/>
          <w:color w:val="auto"/>
        </w:rPr>
        <w:t>A process for identifying and developing employees with the potential to fill key business leadership positions within the Company is key to future success. Succession planning increases the availability of experienced and capable employees that are prepared to assume these critical roles as they become available. The Company conducts an annual succession planning process where strong internal candidates are identified for key positions and a development plan is established when a need arises.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Performance Management</w:t>
      </w:r>
    </w:p>
    <w:p>
      <w:pPr>
        <w:spacing w:after="0" w:line="141"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We strongly encourage an ongoing process of communication, including both formal and informal feedback, between a supervisor and an employee throughout the year, in support of accomplishing the strategic objectives of the organization.</w:t>
      </w:r>
    </w:p>
    <w:p>
      <w:pPr>
        <w:sectPr>
          <w:pgSz w:w="11880" w:h="15480" w:orient="portrait"/>
          <w:cols w:equalWidth="0" w:num="1">
            <w:col w:w="9120"/>
          </w:cols>
          <w:pgMar w:left="1380" w:top="1432" w:right="1380" w:bottom="534"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20"/>
          </w:cols>
          <w:pgMar w:left="1380" w:top="1432" w:right="1380" w:bottom="534" w:gutter="0" w:footer="0" w:header="0"/>
          <w:type w:val="continuous"/>
        </w:sectPr>
      </w:pPr>
    </w:p>
    <w:bookmarkStart w:id="17" w:name="page18"/>
    <w:bookmarkEnd w:id="17"/>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Workforce</w:t>
      </w:r>
    </w:p>
    <w:p>
      <w:pPr>
        <w:spacing w:after="0" w:line="133"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As of December 31, 2025, the Company had 1,191 employees, of which 974 were located within the US, 44 within Canada, 166 in Europe, and 7 within other locations. There were 641 hourly production workers and 550 salaried employees. Of the hourly production workers, 7 were represented by unions.</w:t>
      </w:r>
    </w:p>
    <w:p>
      <w:pPr>
        <w:spacing w:after="0" w:line="135" w:lineRule="exact"/>
        <w:rPr>
          <w:sz w:val="20"/>
          <w:szCs w:val="20"/>
          <w:color w:val="auto"/>
        </w:rPr>
      </w:pPr>
    </w:p>
    <w:p>
      <w:pPr>
        <w:jc w:val="both"/>
        <w:ind w:firstLine="400"/>
        <w:spacing w:after="0" w:line="236" w:lineRule="auto"/>
        <w:rPr>
          <w:sz w:val="20"/>
          <w:szCs w:val="20"/>
          <w:color w:val="auto"/>
        </w:rPr>
      </w:pPr>
      <w:r>
        <w:rPr>
          <w:rFonts w:ascii="Times New Roman" w:cs="Times New Roman" w:eastAsia="Times New Roman" w:hAnsi="Times New Roman"/>
          <w:sz w:val="20"/>
          <w:szCs w:val="20"/>
          <w:color w:val="auto"/>
        </w:rPr>
        <w:t>The Company has one collective bargaining agreement covering 7 employees which was successfully renegotiated and is now set to expire in March 2030. The Company has not suffered any major work stoppages in recent history and considers its relations with its employees to be satisfactory.</w:t>
      </w:r>
    </w:p>
    <w:p>
      <w:pPr>
        <w:spacing w:after="0" w:line="135"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20"/>
          <w:szCs w:val="20"/>
          <w:color w:val="auto"/>
        </w:rPr>
        <w:t>All of the Company’s hourly and salaried employees are covered by either a defined benefit plan or a defined contribution plan.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L.B. Foster Company has a legal and ethical conduct policy applicable to all directors and employees, including its Chief Executive Officer, Chief Financial Officer, and Principal Accounting Officer. This policy is posted on the Company’s website, www.lbfoster.com. The Company intends to satisfy the disclosure requirement regarding certain amendments to, or waivers from, provisions of its policy by posting such information on the Company’s website. In addition, the Company’s ethics hotline can also be used by employees and others for the anonymous communication of concerns about financial controls, human resource concerns, and other reporting matters.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4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makes certain filings with the Securities and Exchange Commission (“SEC”), including its Annual Report on Form 10-K, Quarterly Reports on Form 10-Q, Current Reports on Form 8-K, and all amendments and exhibits to those reports, available free of charge through its website, www.lbfoster.com, as soon as reasonably practicable after they are filed with the SEC. The SEC maintains an internet site that contains reports, proxy and information statements, and other information regarding issuers that file electronically with the SEC. These filings, including the Company’s filings, are available at the SEC’s internet site at www.sec.gov. The Company’s press releases and recent investor presentations are also available on its website. Our website and the information posted thereto is not part of this Annual Report on Form 10-K and unless otherwise stated is specifically not incorporated by reference herein.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Information concerning the executive officers of the Company is set forth below:</w:t>
      </w:r>
    </w:p>
    <w:p>
      <w:pPr>
        <w:spacing w:after="0" w:line="91"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4"/>
              </w:rPr>
              <w:t>Name</w:t>
            </w:r>
          </w:p>
        </w:tc>
        <w:tc>
          <w:tcPr>
            <w:tcW w:w="3720" w:type="dxa"/>
            <w:vAlign w:val="bottom"/>
          </w:tcPr>
          <w:p>
            <w:pPr>
              <w:spacing w:after="0"/>
              <w:rPr>
                <w:sz w:val="16"/>
                <w:szCs w:val="16"/>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8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8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Brian H. Friedman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Executive Vice President and Chief Growth</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Officer</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Patrick J. Guinee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56</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Executive Vice President, General Counsel,</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and Secretary</w:t>
            </w:r>
          </w:p>
        </w:tc>
      </w:tr>
      <w:tr>
        <w:trPr>
          <w:trHeight w:val="28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F. Kasel . . .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Gregory W. Lippard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57</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Senior Vice President — Rail, Technologies,</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and Services</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Robert A. Ness  .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Senior Vice President — Infrastructure</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Solutions</w:t>
            </w:r>
          </w:p>
        </w:tc>
      </w:tr>
      <w:tr>
        <w:trPr>
          <w:trHeight w:val="28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Jamie F. O’Neill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Senior Vice President — Human Resources</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Sean M. Reilly . .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Corporate Controller and Principal</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Accounting Officer</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Sara F. Rolli . . . . . . .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Senior Vice President — Operational</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Administration</w:t>
            </w:r>
          </w:p>
        </w:tc>
      </w:tr>
      <w:tr>
        <w:trPr>
          <w:trHeight w:val="24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William M. Thalman . . . . . . . . . . . . . . . . . . . . . .</w:t>
            </w: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Executive Vice President and Chief</w:t>
            </w:r>
          </w:p>
        </w:tc>
      </w:tr>
      <w:tr>
        <w:trPr>
          <w:trHeight w:val="220"/>
        </w:trPr>
        <w:tc>
          <w:tcPr>
            <w:tcW w:w="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gridSpan w:val="3"/>
          </w:tcPr>
          <w:p>
            <w:pPr>
              <w:ind w:left="300"/>
              <w:spacing w:after="0" w:line="220" w:lineRule="exact"/>
              <w:rPr>
                <w:sz w:val="20"/>
                <w:szCs w:val="20"/>
                <w:color w:val="auto"/>
              </w:rPr>
            </w:pPr>
            <w:r>
              <w:rPr>
                <w:rFonts w:ascii="Times New Roman" w:cs="Times New Roman" w:eastAsia="Times New Roman" w:hAnsi="Times New Roman"/>
                <w:sz w:val="20"/>
                <w:szCs w:val="20"/>
                <w:color w:val="auto"/>
              </w:rPr>
              <w:t>Financial Officer</w:t>
            </w:r>
          </w:p>
        </w:tc>
      </w:tr>
    </w:tbl>
    <w:p>
      <w:pPr>
        <w:spacing w:after="0" w:line="200" w:lineRule="exact"/>
        <w:rPr>
          <w:sz w:val="20"/>
          <w:szCs w:val="20"/>
          <w:color w:val="auto"/>
        </w:rPr>
      </w:pPr>
    </w:p>
    <w:p>
      <w:pPr>
        <w:sectPr>
          <w:pgSz w:w="11880" w:h="15480" w:orient="portrait"/>
          <w:cols w:equalWidth="0" w:num="1">
            <w:col w:w="9120"/>
          </w:cols>
          <w:pgMar w:left="1380" w:top="1422" w:right="1380" w:bottom="534" w:gutter="0" w:footer="0" w:header="0"/>
        </w:sectPr>
      </w:pP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20"/>
          </w:cols>
          <w:pgMar w:left="1380" w:top="1422" w:right="1380" w:bottom="534" w:gutter="0" w:footer="0" w:header="0"/>
          <w:type w:val="continuous"/>
        </w:sectPr>
      </w:pPr>
    </w:p>
    <w:bookmarkStart w:id="18" w:name="page19"/>
    <w:bookmarkEnd w:id="18"/>
    <w:p>
      <w:pPr>
        <w:spacing w:after="0" w:line="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Mr. Friedman was elected Executive Vice President and Chief Growth Officer in July of 2024, having previously served as the Company’s Senior Vice President — Steel Products and Special Projects since December of 2023, and prior to that served as Senior Vice President, Steel Products, Vice President — Steel Products and Measurement, and Vice President — Coatings and Measurement since joining the Company in May of 2019. Prior to joining the Company, Mr. Friedman was employed by ABB Ltd from 2012 to 2019 in various roles including Director Global Product Management and Manufacturing Unit Manager. Previously, he served in various research and development and operations roles for Hunter Fan Company from 2001 to 2012.</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Mr. Guinee was elected Executive Vice President, General Counsel, and Secretary in June of 2023, having previously served as Senior Vice President, General Counsel, and Secretary, and was elected Vice President, General Counsel, and Secretary in 2014. Prior to joining the Company, Mr. Guinee served as Vice President — Securities and Corporate and Assistant Secretary at Education Management Corporation from 2013 to early 2014, and was employed by H. J. Heinz Company from 1997 to 2013, last serving as Vice President — Corporate Governance and Securities and Assistant Secretary.</w:t>
      </w:r>
    </w:p>
    <w:p>
      <w:pPr>
        <w:spacing w:after="0" w:line="1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Mr. Kasel was elected President and Chief Executive Officer in July 2021, having previously served as Senior Vice President and Chief Operating Officer since December 2019, Senior Vice President — Rail and Construction from 2017 to 2019, Senior Vice President — Rail Products and Services from 2012 to 2017, Senior Vice President — Operations and Manufacturing from 2005 to 2012, and Vice President — Operations and Manufacturing from 2003 to 2005. Mr. Kasel served as Vice President of Operations for Mammoth, Inc., a Nortek company from 2000 to 2003.</w:t>
      </w:r>
    </w:p>
    <w:p>
      <w:pPr>
        <w:spacing w:after="0" w:line="1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Mr. Lippard was elected Senior Vice President — Rail, Technologies, and Services in December of 2023 and was previously Senior Vice President — Rail from 2021 to 2023, Vice President — Rail, Technologies, and Services from 2020 to 2021, Vice President — Rail from January 2020 to November 2020 and Vice President — Rail Products from 2017 to 2019. From 2000 to 2017, he served as Vice President — Rail Product Sales. Prior to re-joining the Company in 2000, Mr. Lippard served as Vice President — International Trading for Tube City, Inc. from 1998. Mr. Lippard served in various other capacities with the Company after his initial employment in 1991.</w:t>
      </w:r>
    </w:p>
    <w:p>
      <w:pPr>
        <w:spacing w:after="0" w:line="1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Mr. Ness was elected Senior Vice President — Infrastructure Solutions in December 2023, having previously served as Vice President — Precast Concrete Products since January 2021, and as Director, Operations of CXT Precast from June 2020 to January 2021. Previously, Mr. Ness served as the Rail Business Controller beginning from 2012 to 2020 and Division Controller role he had held since his initial employment with the Company in 2006.</w:t>
      </w:r>
    </w:p>
    <w:p>
      <w:pPr>
        <w:spacing w:after="0" w:line="13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Ms. O’Neill was elected Senior Vice President — Human Resources in January 2025, having previously served as Vice President — Human Resources since August 2020, Director — Human Resources since January 2015, and Manager — Compensation and HRIS since 2006. Prior to joining the Company, Ms. O’Neill had various roles last serving as Manager — Compensation and HRIS at 84 Lumber Company.</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Mr. Reilly was appointed Controller and Principal Accounting Officer of the Company in January 2022. Prior to joining the Company, Mr. Reilly most recently served as Vice President of Finance — Metal Cutting Division, at Kennametal, Inc. since April 2019. Prior to that role, Mr. Reilly served in roles of increasing responsibility at Kennametal, Inc., including as Director of Finance — Infrastructure division, from 2016 to 2019; Director of Finance — Integrated Supply Chain and Logistics from 2015 to 2016; Director of Finance — Asia from 2013 to 2015 in Singapore and Earthworks Controller from 2007 to 2012.</w:t>
      </w:r>
    </w:p>
    <w:p>
      <w:pPr>
        <w:spacing w:after="0" w:line="13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Ms. Rolli was elected Senior Vice President — Operational Administration in January 2025, having previously served as Vice President — Operational Administration since September 2023, Director — Quality from 2019 to 2023, and Senior Quality Manager from 2013 to 2017. Prior to re-joining the Company, Ms. Rolli served as Quality Manager at Praxair Surface Technologies Inc. from 2017 to 2019 and previously served as Quality Manager and Laboratory Supervisor at Kennametal Inc. from 2006 to 2013.</w:t>
      </w:r>
    </w:p>
    <w:p>
      <w:pPr>
        <w:spacing w:after="0" w:line="13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Mr. Thalman was elected Executive Vice President and Chief Financial Officer in June 2023, having previously served as Senior Vice President and Chief Financial Officer of the Company from February 2021.</w:t>
      </w:r>
    </w:p>
    <w:p>
      <w:pPr>
        <w:sectPr>
          <w:pgSz w:w="11880" w:h="15480" w:orient="portrait"/>
          <w:cols w:equalWidth="0" w:num="1">
            <w:col w:w="9120"/>
          </w:cols>
          <w:pgMar w:left="1380" w:top="1440" w:right="1380" w:bottom="53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20"/>
          </w:cols>
          <w:pgMar w:left="1380" w:top="1440" w:right="1380" w:bottom="534" w:gutter="0" w:footer="0" w:header="0"/>
          <w:type w:val="continuous"/>
        </w:sectPr>
      </w:pPr>
    </w:p>
    <w:bookmarkStart w:id="19" w:name="page20"/>
    <w:bookmarkEnd w:id="19"/>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Prior to joining the Company, Mr. Thalman was employed by Kennametal, Inc. from February 2004 through February 2021, most recently serving as Vice President — Advanced Material Solutions since 2016 and Vice President — Transformation Office since 2019. Prior to these roles, he served in roles of increasing responsibility, including: Vice President — Finance Infrastructure, Director of Finance — M&amp;A and Planning, Director of Finance — Kennametal Europe, Director of Finance — MSSG Americas, Assistant Corporate Controller, and Director of Financial Reporting.</w:t>
      </w:r>
    </w:p>
    <w:p>
      <w:pPr>
        <w:spacing w:after="0" w:line="141"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Officers are elected annually at the organizational meeting of the Board of Directors of the Company (the “Board”) following the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and Uncertainties</w:t>
      </w:r>
    </w:p>
    <w:p>
      <w:pPr>
        <w:spacing w:after="0" w:line="14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operates in a changing environment that involves numerous known and unknown risks and uncertainties that could have a material and adverse effect on its business, financial condition, and results of operations. The following risk factors highlight what it believes to be the more material factors that have affected the Company and could affect it in the future. The Company has grouped the risk factors into five categories for ease of reading, and without any reflection on the importance of, or likelihood of, any particular category. The Company may also be affected by unknown risks or risks that it currently believes are immaterial. If any one or more such events actually occur, our business, financial condition, and results of operations could be materially and adversely affected. One should carefully consider the following risk factors and other information contained in this Annual Report on Form 10-K and any other risks discussed in the Company’s other periodic filings with the SEC before deciding to invest in the Company’s common stock.</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Operational Risks</w:t>
      </w:r>
    </w:p>
    <w:p>
      <w:pPr>
        <w:spacing w:after="0" w:line="141" w:lineRule="exact"/>
        <w:rPr>
          <w:sz w:val="20"/>
          <w:szCs w:val="20"/>
          <w:color w:val="auto"/>
        </w:rPr>
      </w:pPr>
    </w:p>
    <w:p>
      <w:pPr>
        <w:ind w:left="200" w:right="5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inability to successfully manage acquisitions, divestitures, and other significant transactions or to otherwise execute our strategic plan could harm our financial results, business, and prospects.</w:t>
      </w:r>
    </w:p>
    <w:p>
      <w:pPr>
        <w:spacing w:after="0" w:line="14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part of our publicly-announced business strategy, we acquire or divest businesses or assets, enter into strategic alliances and joint ventures, make investments to realize anticipated benefits, or undertake cost-cutting initiatives, all of which are actions that involve a number of inherent risks and uncertainties. Material acquis-itions, dispositions, and other strategic transactions and initiatives involve numerous risks, including, but not limited to the following:</w:t>
      </w:r>
    </w:p>
    <w:p>
      <w:pPr>
        <w:spacing w:after="0" w:line="144" w:lineRule="exact"/>
        <w:rPr>
          <w:sz w:val="20"/>
          <w:szCs w:val="20"/>
          <w:color w:val="auto"/>
        </w:rPr>
      </w:pPr>
    </w:p>
    <w:p>
      <w:pPr>
        <w:ind w:left="560" w:hanging="160"/>
        <w:spacing w:after="0" w:line="318" w:lineRule="auto"/>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not be able to identify suitable acquisition candidates, or we may not be able to dispose of assets, at prices we consider attractive;</w:t>
      </w:r>
    </w:p>
    <w:p>
      <w:pPr>
        <w:spacing w:after="0" w:line="377" w:lineRule="exact"/>
        <w:rPr>
          <w:rFonts w:ascii="Arial" w:cs="Arial" w:eastAsia="Arial" w:hAnsi="Arial"/>
          <w:sz w:val="15"/>
          <w:szCs w:val="15"/>
          <w:color w:val="auto"/>
        </w:rPr>
      </w:pPr>
    </w:p>
    <w:p>
      <w:pPr>
        <w:ind w:left="560" w:hanging="160"/>
        <w:spacing w:after="0" w:line="398" w:lineRule="auto"/>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not be able to compete successfully for identified acquisition candidates, complete future acquis-itions or accurately estimate the financial effect of acquisitions on our business;</w:t>
      </w:r>
    </w:p>
    <w:p>
      <w:pPr>
        <w:spacing w:after="0" w:line="33" w:lineRule="exact"/>
        <w:rPr>
          <w:rFonts w:ascii="Arial" w:cs="Arial" w:eastAsia="Arial" w:hAnsi="Arial"/>
          <w:sz w:val="15"/>
          <w:szCs w:val="15"/>
          <w:color w:val="auto"/>
        </w:rPr>
      </w:pPr>
    </w:p>
    <w:p>
      <w:pPr>
        <w:ind w:left="560" w:hanging="160"/>
        <w:spacing w:after="0"/>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future acquisitions may require us to spend significant cash and incur additional debt, resulting in addi-tional leverage;</w:t>
      </w:r>
    </w:p>
    <w:p>
      <w:pPr>
        <w:spacing w:after="0" w:line="200" w:lineRule="exact"/>
        <w:rPr>
          <w:rFonts w:ascii="Arial" w:cs="Arial" w:eastAsia="Arial" w:hAnsi="Arial"/>
          <w:sz w:val="15"/>
          <w:szCs w:val="15"/>
          <w:color w:val="auto"/>
        </w:rPr>
      </w:pPr>
    </w:p>
    <w:p>
      <w:pPr>
        <w:spacing w:after="0" w:line="233" w:lineRule="exact"/>
        <w:rPr>
          <w:rFonts w:ascii="Arial" w:cs="Arial" w:eastAsia="Arial" w:hAnsi="Arial"/>
          <w:sz w:val="15"/>
          <w:szCs w:val="15"/>
          <w:color w:val="auto"/>
        </w:rPr>
      </w:pPr>
    </w:p>
    <w:p>
      <w:pPr>
        <w:ind w:left="560" w:hanging="160"/>
        <w:spacing w:after="0"/>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have difficulty retaining an acquired company’s key employees or clients;</w:t>
      </w:r>
    </w:p>
    <w:p>
      <w:pPr>
        <w:spacing w:after="0" w:line="193" w:lineRule="exact"/>
        <w:rPr>
          <w:rFonts w:ascii="Arial" w:cs="Arial" w:eastAsia="Arial" w:hAnsi="Arial"/>
          <w:sz w:val="15"/>
          <w:szCs w:val="15"/>
          <w:color w:val="auto"/>
        </w:rPr>
      </w:pPr>
    </w:p>
    <w:p>
      <w:pPr>
        <w:ind w:left="560" w:hanging="160"/>
        <w:spacing w:after="0"/>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not be able to realize the operating efficiencies, synergies, costs savings, or other benefits expected;</w:t>
      </w:r>
    </w:p>
    <w:p>
      <w:pPr>
        <w:spacing w:after="0" w:line="200" w:lineRule="exact"/>
        <w:rPr>
          <w:rFonts w:ascii="Arial" w:cs="Arial" w:eastAsia="Arial" w:hAnsi="Arial"/>
          <w:sz w:val="15"/>
          <w:szCs w:val="15"/>
          <w:color w:val="auto"/>
        </w:rPr>
      </w:pPr>
    </w:p>
    <w:p>
      <w:pPr>
        <w:spacing w:after="0" w:line="233" w:lineRule="exact"/>
        <w:rPr>
          <w:rFonts w:ascii="Arial" w:cs="Arial" w:eastAsia="Arial" w:hAnsi="Arial"/>
          <w:sz w:val="15"/>
          <w:szCs w:val="15"/>
          <w:color w:val="auto"/>
        </w:rPr>
      </w:pPr>
    </w:p>
    <w:p>
      <w:pPr>
        <w:jc w:val="both"/>
        <w:ind w:left="560" w:hanging="160"/>
        <w:spacing w:after="0" w:line="408" w:lineRule="auto"/>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have difficulty integrating acquired businesses, resulting in unforeseen difficulties, such as incompatible accounting, information management or other control systems, or the need to significantly update and improve the acquired business’s systems and internal controls;</w:t>
      </w:r>
    </w:p>
    <w:p>
      <w:pPr>
        <w:spacing w:after="0" w:line="259" w:lineRule="exact"/>
        <w:rPr>
          <w:rFonts w:ascii="Arial" w:cs="Arial" w:eastAsia="Arial" w:hAnsi="Arial"/>
          <w:sz w:val="15"/>
          <w:szCs w:val="15"/>
          <w:color w:val="auto"/>
        </w:rPr>
      </w:pPr>
    </w:p>
    <w:p>
      <w:pPr>
        <w:ind w:left="560" w:hanging="160"/>
        <w:spacing w:after="0" w:line="398" w:lineRule="auto"/>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assume potential liabilities for actions of the target before the acquisition, including as a result of a failure to comply with applicable laws;</w:t>
      </w:r>
    </w:p>
    <w:p>
      <w:pPr>
        <w:spacing w:after="0" w:line="33" w:lineRule="exact"/>
        <w:rPr>
          <w:rFonts w:ascii="Arial" w:cs="Arial" w:eastAsia="Arial" w:hAnsi="Arial"/>
          <w:sz w:val="15"/>
          <w:szCs w:val="15"/>
          <w:color w:val="auto"/>
        </w:rPr>
      </w:pPr>
    </w:p>
    <w:p>
      <w:pPr>
        <w:ind w:left="560" w:hanging="160"/>
        <w:spacing w:after="0"/>
        <w:tabs>
          <w:tab w:leader="none" w:pos="56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5"/>
          <w:szCs w:val="15"/>
          <w:color w:val="auto"/>
        </w:rPr>
        <w:t>we may be subject to material indemnification obligations related to any assets that we dispose;</w:t>
      </w:r>
    </w:p>
    <w:p>
      <w:pPr>
        <w:sectPr>
          <w:pgSz w:w="11880" w:h="15480" w:orient="portrait"/>
          <w:cols w:equalWidth="0" w:num="1">
            <w:col w:w="9120"/>
          </w:cols>
          <w:pgMar w:left="1380" w:top="1440" w:right="1380" w:bottom="534"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20"/>
          </w:cols>
          <w:pgMar w:left="1380" w:top="1440" w:right="1380" w:bottom="534" w:gutter="0" w:footer="0" w:header="0"/>
          <w:type w:val="continuous"/>
        </w:sectPr>
      </w:pPr>
    </w:p>
    <w:bookmarkStart w:id="20" w:name="page21"/>
    <w:bookmarkEnd w:id="20"/>
    <w:p>
      <w:pPr>
        <w:spacing w:after="0" w:line="2" w:lineRule="exact"/>
        <w:rPr>
          <w:sz w:val="20"/>
          <w:szCs w:val="20"/>
          <w:color w:val="auto"/>
        </w:rPr>
      </w:pPr>
    </w:p>
    <w:p>
      <w:pPr>
        <w:ind w:left="560" w:hanging="160"/>
        <w:spacing w:after="0"/>
        <w:tabs>
          <w:tab w:leader="none" w:pos="560" w:val="left"/>
        </w:tabs>
        <w:numPr>
          <w:ilvl w:val="0"/>
          <w:numId w:val="6"/>
        </w:numPr>
        <w:rPr>
          <w:rFonts w:ascii="Arial" w:cs="Arial" w:eastAsia="Arial" w:hAnsi="Arial"/>
          <w:sz w:val="15"/>
          <w:szCs w:val="15"/>
          <w:color w:val="auto"/>
        </w:rPr>
      </w:pPr>
      <w:r>
        <w:rPr>
          <w:rFonts w:ascii="Times New Roman" w:cs="Times New Roman" w:eastAsia="Times New Roman" w:hAnsi="Times New Roman"/>
          <w:sz w:val="15"/>
          <w:szCs w:val="15"/>
          <w:color w:val="auto"/>
        </w:rPr>
        <w:t>acquisitions or dispositions may disrupt our business or divert our management from other responsibilities; and</w:t>
      </w: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560" w:hanging="160"/>
        <w:spacing w:after="0" w:line="398" w:lineRule="auto"/>
        <w:tabs>
          <w:tab w:leader="none" w:pos="560" w:val="left"/>
        </w:tabs>
        <w:numPr>
          <w:ilvl w:val="0"/>
          <w:numId w:val="6"/>
        </w:numPr>
        <w:rPr>
          <w:rFonts w:ascii="Arial" w:cs="Arial" w:eastAsia="Arial" w:hAnsi="Arial"/>
          <w:sz w:val="15"/>
          <w:szCs w:val="15"/>
          <w:color w:val="auto"/>
        </w:rPr>
      </w:pPr>
      <w:r>
        <w:rPr>
          <w:rFonts w:ascii="Times New Roman" w:cs="Times New Roman" w:eastAsia="Times New Roman" w:hAnsi="Times New Roman"/>
          <w:sz w:val="15"/>
          <w:szCs w:val="15"/>
          <w:color w:val="auto"/>
        </w:rPr>
        <w:t>as a result of an acquisition, we may need to record write-downs from future impairments of intangible assets, which could reduce our future reported earnings.</w:t>
      </w:r>
    </w:p>
    <w:p>
      <w:pPr>
        <w:spacing w:after="0" w:line="2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If these factors limit our ability to integrate the operations of our acquisitions or to execute other strategic transactions or initiatives successfully or on a timely basis, we may not meet our expectations for future results of operations. In addition, our growth and operating strategies for businesses we acquire may be different from the strategies that such target businesses currently are pursuing. If our strategies are not the proper strategies for a company we acquire or with which we partner, it could have a material adverse effect on our business, financial condition, and results of operations. Further, there can be no assurance that we will be able to maintain or enhance the profitability of any acquired business or consolidate the operations of any acquired business to achieve cost savings.</w:t>
      </w:r>
    </w:p>
    <w:p>
      <w:pPr>
        <w:spacing w:after="0" w:line="1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there may be liabilities that we fail, or are unable to discover in the course of performing due diligence investigations on each company or business that we have already acquired or disposed of or may acquire or dispose of in the future. Such liabilities could include those arising from employee benefits contribution obligations of a prior owner or non-compliance with, or liability pursuant to, applicable federal, state, or local environmental requirements by us or by prior owners for which we, as a successor or predecessor owner, may be responsible. In addition, there may be additional costs relating to acquisitions and dispositions including, but not limited to, possible purchase price adjustments. There can be no assurance that rights to indemnification by sellers of assets to us, even if obtained, will be enforceable, collectible or sufficient in amount, scope or duration to fully offset the possible liabilities associated with the business or property acquired. Any such liabilities, individually or in the aggregate, could have a material adverse effect on our business. We can give no assurances that the opportunities will be consummated or that financing will be available. We may not be able to achieve the synergies and other benefits we expect from strategic transactions as successfully or as rapidly as projected, if at all.</w:t>
      </w:r>
    </w:p>
    <w:p>
      <w:pPr>
        <w:spacing w:after="0" w:line="252" w:lineRule="exact"/>
        <w:rPr>
          <w:sz w:val="20"/>
          <w:szCs w:val="20"/>
          <w:color w:val="auto"/>
        </w:rPr>
      </w:pPr>
    </w:p>
    <w:p>
      <w:pPr>
        <w:ind w:left="200" w:right="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Prolonged negative economic conditions, volatile energy prices, tariffs or trade wars, and other unfavorable changes in US, global, or regional economic and market conditions could adversely affect our business.</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could be adversely impacted by prolonged negative economic conditions affecting either our suppliers or customers, as well as the capital markets. Our products and services support public infrastructure projects, including construction, maintenance, and improvement of railroads, bridges, and national parks. Accordingly, negative changes to the level of federal, state, and local government spending may result in delayed or permanent deferrals of existing or potential infrastructure projects. No assurances can be given that we will be able to successfully mitigate various prolonged uncertainties, including materials cost variability, delayed or reduced customer orders and payments, tariffs, government or regulator shutdowns or defunding, and access to available capital resources outside of operations.</w:t>
      </w:r>
    </w:p>
    <w:p>
      <w:pPr>
        <w:spacing w:after="0" w:line="1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volatile market conditions and fluctuations in energy prices could continue for an extended period, which would negatively affect our business prospects and reduce profitability. Historically, oil and natural gas prices have been volatile and are subject to fluctuations in response to changes in supply and demand, market uncertainty, a trend toward renewable or alternative energy resources, and a variety of additional factors that are beyond our control. Sustained declines or significant and frequent fluctuations in the price of oil and natural gas may have a material and adverse effect on our operations and financial condition. Volatility in energy prices may also impact the Company’s plant costs, as well as overall conditions in passenger transit markets served.</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maintain or improve our profitability could be adversely impacted by cost pressures.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profitability is dependent upon the efficient use of our resources. Rising inflation, interest rates, labor costs, labor disruptions, and other increases in costs due to tariffs or other reasons in the geographic areas in which we operate could have a significant adverse impact on our profitability and results of operations.</w:t>
      </w:r>
    </w:p>
    <w:p>
      <w:pPr>
        <w:sectPr>
          <w:pgSz w:w="11880" w:h="15480" w:orient="portrait"/>
          <w:cols w:equalWidth="0" w:num="1">
            <w:col w:w="9120"/>
          </w:cols>
          <w:pgMar w:left="1380" w:top="1440" w:right="1380" w:bottom="53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20"/>
          </w:cols>
          <w:pgMar w:left="1380" w:top="1440" w:right="1380" w:bottom="534" w:gutter="0" w:footer="0" w:header="0"/>
          <w:type w:val="continuous"/>
        </w:sectPr>
      </w:pPr>
    </w:p>
    <w:bookmarkStart w:id="21" w:name="page22"/>
    <w:bookmarkEnd w:id="21"/>
    <w:p>
      <w:pPr>
        <w:ind w:left="200" w:right="3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success is in part dependent on the accuracy and proper utilization of our management information and communications systems.</w:t>
      </w:r>
    </w:p>
    <w:p>
      <w:pPr>
        <w:spacing w:after="0" w:line="15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commenced migration to a new ERP system beginning in 2016, with the most recent migration completed in 2024. Acquired entities are also regularly assessed for transition onto the Company’s central ERP system. The system implementations are intended to enable us to better meet the information requirements of our users, increase our integration efficiencies, and identify additional synergies in the future. The implementation of our ERP system is complex because of the wide range of processes and systems to be integrated across our business. Any disruptions, delays, or deficiencies in the design, operation, or implementation of our various systems, or in the performance of our systems, particularly any disruptions, delays, or deficiencies that impact our operations, could adversely affect our ability to effectively run and manage our business, including our ability to receive, process, ship, and bill for orders in a timely manner or our ability to properly manage our inventory or accurately present our inventory availability or pricing. Project delays, business interruptions, or loss of expected benefits could have a material and adverse effect on our business, financial condition, or results of operations.</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cybersecurity risks and may incur increasing costs in an effort to minimize those risks.</w:t>
      </w:r>
    </w:p>
    <w:p>
      <w:pPr>
        <w:spacing w:after="0" w:line="15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color w:val="auto"/>
        </w:rPr>
        <w:t>Our business employs systems and websites that allow for the storage and transmission of proprietary or confidential information regarding our customers, employees, job applicants, and other parties, including financial information, intellectual property, and personally identifiable information. Physical or electronic data or security breaches and other disruptions could compromise our information, expose us to liability, and harm our reputation and business. Cyber attacks on information systems constitute an ongoing risk across companies and industries, and although they have not historically had a material adverse effect on our business, in the past they have caused temporary disruption and interference with our operations. Despite the steps we take to deter and mitigate cybersecurity risks, we may not be successful. We may not have the resources or technical sophistication to anticipate or prevent current or rapidly evolving types of cyber attacks including data and security breaches, malware, ransomware, hacking, and identity theft, as well as emerging threats enabled by artificial intelligence (“AI”) such as AI-generated phishing, deepfakes for social engineering, or unauthorized use of generative AI tools that could inadvertently expose sensitive data. Data and security breaches can also occur as a result of non-technical issues, including an intentional or inadvertent physical or electronic data or security breach by our employees or by persons with whom we have commercial relationships. In 2023, the SEC adopted new cybersecurity rules requiring disclosure of material cybersecurity incidents and processes assessing, identifying, and managing material cybersecurity risks and the corporate governance structure designed to address such risks. Compliance with such rules could be costly and burdensome, and failure to adequately comply could have an adverse impact on the Company and its reputation. Federal, state, and foreign government bodies and agencies have adopted or are considering the adoption of laws and regulations regarding the collection, use, and disclosure of personal information obtained from customers and individuals. The costs of compliance with, and other burdens imposed by, such data privacy laws and regulations, including those of the European Union (“EU”) and the UK which are, in some respects, more stringent than US standards, could be significant. Any compromise or breach of our security systems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Our Board, often through its Audit Committee, oversees cybersecurity risks as part of its broader enterprise risk management responsibilities, with input from management regarding the assessment and mitigation of such threats, including those involving rapidly evolving technologies like AI. Refer to “Item 1C — Cybersecurity” contained in this Annual Report on Form 10-K for further details of cybersecurity.</w:t>
      </w:r>
    </w:p>
    <w:p>
      <w:pPr>
        <w:spacing w:after="0" w:line="281" w:lineRule="exact"/>
        <w:rPr>
          <w:sz w:val="20"/>
          <w:szCs w:val="20"/>
          <w:color w:val="auto"/>
        </w:rPr>
      </w:pPr>
    </w:p>
    <w:p>
      <w:pPr>
        <w:jc w:val="both"/>
        <w:ind w:left="200" w:right="4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Certain divisions of our business depend on a small number of suppliers. The loss of any such supplier could have a material and adverse effect on our business, financial condition, and result of operations.</w:t>
      </w:r>
    </w:p>
    <w:p>
      <w:pPr>
        <w:spacing w:after="0" w:line="15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In our Rail Products business unit, we rely on a limited number of suppliers for key products that we sell to our customers. Our Protective Coatings division is predominately dependent on two suppliers of epoxy coating.</w:t>
      </w:r>
    </w:p>
    <w:p>
      <w:pPr>
        <w:sectPr>
          <w:pgSz w:w="11880" w:h="15480" w:orient="portrait"/>
          <w:cols w:equalWidth="0" w:num="1">
            <w:col w:w="9120"/>
          </w:cols>
          <w:pgMar w:left="1380" w:top="1436" w:right="1380" w:bottom="534"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120"/>
          </w:cols>
          <w:pgMar w:left="1380" w:top="1436" w:right="1380" w:bottom="534" w:gutter="0" w:footer="0" w:header="0"/>
          <w:type w:val="continuous"/>
        </w:sectPr>
      </w:pPr>
    </w:p>
    <w:bookmarkStart w:id="22" w:name="page23"/>
    <w:bookmarkEnd w:id="22"/>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significant downturn in the business of one or more of these suppliers, a disruption in their manufacturing operations, an unwillingness to continue to sell to us, or a disruption in the availability of rail or coating products and services may adversely impact our financial results.</w:t>
      </w:r>
    </w:p>
    <w:p>
      <w:pPr>
        <w:spacing w:after="0" w:line="250" w:lineRule="exact"/>
        <w:rPr>
          <w:sz w:val="20"/>
          <w:szCs w:val="20"/>
          <w:color w:val="auto"/>
        </w:rPr>
      </w:pPr>
    </w:p>
    <w:p>
      <w:pPr>
        <w:ind w:left="200" w:right="1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Fluctuations in the price, quality, and availability of the primary raw materials used in our business could have a material and adverse effect on our operations and profitability.</w:t>
      </w:r>
    </w:p>
    <w:p>
      <w:pPr>
        <w:spacing w:after="0" w:line="13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Many of our businesses utilize steel as a significant product component. The steel industry is cyclical and prices and availability are subject to these cycles, as well as to domestic and international fiscal policy, including tariffs and other market forces. We also use significant amounts of cement and aggregate in our precast products offerings. Our technology based solutions and services are dependent on electronic components and the ability to source these items. In 2025, the US announced the imposition of widespread tariffs, including tariffs on steel imports, which have been legally challenged and our national tariff policy is subject to volatility. These tariffs, along with potential retaliatory measures by other countries, could significantly increase our raw material costs, disrupt supply chains, and reduce our competitiveness. No assurances can be given that our financial results would not be adversely affected if prices or availability of these materials were to change in a significantly unfavorable manner.</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Labor disputes may have a material and adverse effect on our operations and profitability.</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One of our manufacturing facilities is staffed by employees represented by a labor union. Approximately 7 employees employed at this facility are currently working under a collective bargaining agreement, which is scheduled to expire in March 2030. Disputes with regard to the terms of this agreement or our potential inability to renegotiate an acceptable contract with this union could result in, among other things, strikes, work stoppages, slowdowns, or lockouts, which could cause a disruption of our operations.</w:t>
      </w:r>
    </w:p>
    <w:p>
      <w:pPr>
        <w:spacing w:after="0" w:line="251" w:lineRule="exact"/>
        <w:rPr>
          <w:sz w:val="20"/>
          <w:szCs w:val="20"/>
          <w:color w:val="auto"/>
        </w:rPr>
      </w:pPr>
    </w:p>
    <w:p>
      <w:pPr>
        <w:ind w:left="200" w:right="1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Actions of activist shareholders could be disruptive and potentially costly and the possibility that activist shareholders may seek changes that conflict with our strategic direction could cause uncertainty about the strategic direction of our business.</w:t>
      </w:r>
    </w:p>
    <w:p>
      <w:pPr>
        <w:spacing w:after="0" w:line="13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April 2023, the Company entered into an agreement with an activist investor, 22NW, LP, and various of its affiliates (collectively, “22NW”) that had filed a Schedule 13D with the SEC with respect to the Company, which agreement provided that 22NW could appoint a non-voting Board Observer. In January 2024, the Company entered into a new cooperation agreement with 22NW providing for the nomination of the Board Observer to stand for election to the Board of Directors of the Company at the 2024 Annual Meeting of Shareholders in return for certain customary confidentiality and standstill provisions. In addition, the term of the cooperation agreement was mutually extended to 2026 upon commitment by the Company to renominate the former Board Observer to stand for reelection as a director to the Board of Directors at the 2025 Annual Meeting of Shareholders. The former Board Observer resigned from the Board in December 2025 and the cooperation agreement expired in January 2026. 22NW is a greater than 5% owner of Company stock.</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Activist investors may attempt to effect changes in the Company’s strategic direction and how the Company is governed, or to acquire control over the Company. Some investors seek to increase short-term shareholder value by advocating corporate actions, such as financial restructuring, increased borrowing, special dividends, stock repurchases, or even sales of assets or the entire company. While the Company welcomes varying opinions from all shareholders, activist campaigns that contest or conflict with our strategic direction could have an adverse effect on the Company’s results of operations and financial condition, as responding to proxy contests and other actions by activist shareholders can disrupt our operations, be costly and time-consuming, and divert the attention of the Company’s board and senior management from the pursuit of business strategies. In addition, perceived uncertainties as to our future direction as a result of changes to the composition of our Board of Directors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w:t>
      </w:r>
    </w:p>
    <w:p>
      <w:pPr>
        <w:sectPr>
          <w:pgSz w:w="11880" w:h="15480" w:orient="portrait"/>
          <w:cols w:equalWidth="0" w:num="1">
            <w:col w:w="9120"/>
          </w:cols>
          <w:pgMar w:left="1380" w:top="1440" w:right="1380" w:bottom="534"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20"/>
          </w:cols>
          <w:pgMar w:left="1380" w:top="1440" w:right="1380" w:bottom="534" w:gutter="0" w:footer="0" w:header="0"/>
          <w:type w:val="continuous"/>
        </w:sectPr>
      </w:pPr>
    </w:p>
    <w:bookmarkStart w:id="23" w:name="page24"/>
    <w:bookmarkEnd w:id="23"/>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based on temporary or speculative market perceptions or other factors that do not necessarily reflect the underlying fundamentals and prospects of our business.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success is highly dependent on the continued service and availability of qualified personnel.</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Executing our strategy and being successful as a company depends on the ability to attract, develop, and retain talented personnel, including our Chief Executive Officer, the executive team, and other highly skilled employees. Increased competition for skilled employees, changes in demographics, rising labor costs, and the need to provide competitive compensation and development opportunities could negatively affect our ability to compete and lead to a reduction in our profitability.</w:t>
      </w:r>
    </w:p>
    <w:p>
      <w:pPr>
        <w:spacing w:after="0" w:line="251" w:lineRule="exact"/>
        <w:rPr>
          <w:sz w:val="20"/>
          <w:szCs w:val="20"/>
          <w:color w:val="auto"/>
        </w:rPr>
      </w:pPr>
    </w:p>
    <w:p>
      <w:pPr>
        <w:ind w:left="200" w:right="5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We may not foresee or be able to control certain events that could adversely affect our business or the stability of our supply chain.</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Unexpected events, including fires or explosions at our facilities, natural disasters, such as hurricanes, flooding, and winter storms causing power failures or travel restrictions with respect to our operations, armed conflicts, terrorism, health epidemics, or pandemics, and related restrictions on travel, economic or political uncertainties or instability, extended government or regulator shutdowns or defunding, civil unrest, strikes, unplanned outages, equipment failures, failure to meet product specifications, or disruptions in certain areas of our operations, may cause our operating costs to increase or otherwise negatively impact our financial performance. For example, we have in the past experienced unpredictable reductions in demand for certain of our products and services due to a global health pandemic, which adversely affected our operations and supply chain.</w:t>
      </w:r>
    </w:p>
    <w:p>
      <w:pPr>
        <w:spacing w:after="0" w:line="1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Events such as these, or other catastrophic events, could in the future adversely affect our business and results of operations, including with respect to disruptions of our supply chain. If we do not successfully manage our supply chain or identify new sources of supplies, we may be unable to satisfy customer orders, which could harm our reputation and customer relationships and materially adversely affect our business, financial condition, and operating results. A pandemic-related outbreak or other disaster affecting any one of our facilities could result in production delays or otherwise interrupt our operations. Our supply chain could be negatively affected by global shipping disruptions, trade restrictions or embargoes or similar impacts arising from geopolitical conflict, including but not limited to the ongoing conflicts between Ukraine and Russia, conflicts in the Middle East and increasing tensions between China and Taiwan. Such conditions can also contribute to a tight labor market which in turn may adversely impact our supply chain.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Risks</w:t>
      </w:r>
    </w:p>
    <w:p>
      <w:pPr>
        <w:spacing w:after="0" w:line="134" w:lineRule="exact"/>
        <w:rPr>
          <w:sz w:val="20"/>
          <w:szCs w:val="20"/>
          <w:color w:val="auto"/>
        </w:rPr>
      </w:pPr>
    </w:p>
    <w:p>
      <w:pPr>
        <w:ind w:left="200" w:right="2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operates in highly competitive markets and a failure to react to changing market conditions could adversely impact our business.</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face strong competition in each of the domestic and international markets in which we operate. A slow response to competitor pricing actions and new competitor entries into our product lines could negatively impact our overall pricing. Efforts to improve pricing could negatively impact our sales volume in all product categories. We may be required to invest more heavily to maintain and expand our product offerings. There can be no assur-ance that new product offerings will be widely accepted in the markets we serve. In addition, the imposition of new or expanded tariffs could adversely impact our ability to compete in certain markets. Significant negative developments in any of these areas could adversely affect our financial results and condition.</w:t>
      </w:r>
    </w:p>
    <w:p>
      <w:pPr>
        <w:spacing w:after="0" w:line="250" w:lineRule="exact"/>
        <w:rPr>
          <w:sz w:val="20"/>
          <w:szCs w:val="20"/>
          <w:color w:val="auto"/>
        </w:rPr>
      </w:pPr>
    </w:p>
    <w:p>
      <w:pPr>
        <w:ind w:left="200" w:right="4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intellectual property and prevent its improper use by third parties, our ability to compete may be harmed.</w:t>
      </w:r>
    </w:p>
    <w:p>
      <w:pPr>
        <w:spacing w:after="0" w:line="13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possess and in some cases license intellectual property including proprietary rail product and precast concrete formulations and systems and component designs, and we own a number of patents and trademarks under the intellectual property laws of the US, Canada, Europe, and other countries in which product sales are possible. While we have not perfected patent and trademark protection of our proprietary intellectual property for all products in all countries, we periodically assess our portfolio to determine the need for pursuing further</w:t>
      </w:r>
    </w:p>
    <w:p>
      <w:pPr>
        <w:sectPr>
          <w:pgSz w:w="11880" w:h="15480" w:orient="portrait"/>
          <w:cols w:equalWidth="0" w:num="1">
            <w:col w:w="9120"/>
          </w:cols>
          <w:pgMar w:left="1380" w:top="1440" w:right="1380" w:bottom="53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20"/>
          </w:cols>
          <w:pgMar w:left="1380" w:top="1440" w:right="1380" w:bottom="534" w:gutter="0" w:footer="0" w:header="0"/>
          <w:type w:val="continuous"/>
        </w:sectPr>
      </w:pPr>
    </w:p>
    <w:bookmarkStart w:id="24" w:name="page25"/>
    <w:bookmarkEnd w:id="24"/>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protection. The decision not to obtain patent and trademark protection in additional countries may result in other companies copying and marketing products that are based upon our proprietary intellectual property. This, and failure to continue such licenses, could impede growth into new markets where we do not have such protections and result in a greater supply of similar products in such markets, which in turn could result in a loss of pricing power and reduced revenue. In some cases, we may decide that the best way to protect our intellectual property is to retain proprietary information as trade secrets and confidential information rather than to apply for patents, which would involve disclosure of proprietary information to the public. Any misappropriation or reverse engineering of our trade secrets could result in competitive harm and may result in costly and time-consuming litigation. If any of these events should occur, it could materially adversely affect our results of operations and financial condition.</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key customers.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could be adversely affected by changes in the business or financial condition of a customer or customers. A prolonged decrease in capital spending by our rail customers or decline in sales orders from other customers could negatively impact our sales and profitability. No assurances can be given that a significant downturn in the business or financial condition of a current customer, or customers, or potential litigation with a current customer, would not also impact our future results of operations and/or financial condition.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134" w:lineRule="exact"/>
        <w:rPr>
          <w:sz w:val="20"/>
          <w:szCs w:val="20"/>
          <w:color w:val="auto"/>
        </w:rPr>
      </w:pPr>
    </w:p>
    <w:p>
      <w:pPr>
        <w:ind w:left="200" w:right="2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future performance and market value could cause write-downs of long-lived and intangible assets in future periods.</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required under US generally accepted accounting principles to review intangible and long-lived assets for impairment when events or changes in circumstances indicate that the carrying value may not be recoverable. In addition, goodwill is required to be tested for impairment at least annually. Factors that may cause the carrying value of our intangible and long-lived assets to not be recoverable include, but are not limited to, a decline in stock price and resulting market capitalization, a significant decrease in the market value of an asset, or a significant decrease in operating or cash flow projections. No impairments of goodwill or intangible assets were recorded in 2025 and 2024.</w:t>
      </w:r>
    </w:p>
    <w:p>
      <w:pPr>
        <w:spacing w:after="0" w:line="1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No assurances can be given that we will not be required to record future significant charges related to tangible or intangible asset impairments.</w:t>
      </w:r>
    </w:p>
    <w:p>
      <w:pPr>
        <w:spacing w:after="0" w:line="256" w:lineRule="exact"/>
        <w:rPr>
          <w:sz w:val="20"/>
          <w:szCs w:val="20"/>
          <w:color w:val="auto"/>
        </w:rPr>
      </w:pPr>
    </w:p>
    <w:p>
      <w:pPr>
        <w:ind w:left="200" w:right="4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indebtedness could materially and adversely affect our business, financial condition, and results of operations and prevent us from fulfilling our obligations.</w:t>
      </w:r>
    </w:p>
    <w:p>
      <w:pPr>
        <w:spacing w:after="0" w:line="135"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Our indebtedness could materially and adversely affect our business, financial condition, and results of operations. For example, it could:</w:t>
      </w:r>
    </w:p>
    <w:p>
      <w:pPr>
        <w:spacing w:after="0" w:line="142" w:lineRule="exact"/>
        <w:rPr>
          <w:sz w:val="20"/>
          <w:szCs w:val="20"/>
          <w:color w:val="auto"/>
        </w:rPr>
      </w:pPr>
    </w:p>
    <w:p>
      <w:pPr>
        <w:jc w:val="both"/>
        <w:ind w:left="560" w:hanging="160"/>
        <w:spacing w:after="0" w:line="583" w:lineRule="auto"/>
        <w:tabs>
          <w:tab w:leader="none" w:pos="560" w:val="left"/>
        </w:tabs>
        <w:numPr>
          <w:ilvl w:val="0"/>
          <w:numId w:val="7"/>
        </w:numPr>
        <w:rPr>
          <w:rFonts w:ascii="Arial" w:cs="Arial" w:eastAsia="Arial" w:hAnsi="Arial"/>
          <w:sz w:val="15"/>
          <w:szCs w:val="15"/>
          <w:color w:val="auto"/>
        </w:rPr>
      </w:pPr>
      <w:r>
        <w:rPr>
          <w:rFonts w:ascii="Times New Roman" w:cs="Times New Roman" w:eastAsia="Times New Roman" w:hAnsi="Times New Roman"/>
          <w:sz w:val="15"/>
          <w:szCs w:val="15"/>
          <w:color w:val="auto"/>
        </w:rPr>
        <w:t>require us to dedicate a substantial portion of our cash flows to service our indebtedness, which would reduce the availability of our cash flows to fund working capital, capital expenditures, expansion efforts, or other general corporate purposes;</w:t>
      </w:r>
    </w:p>
    <w:p>
      <w:pPr>
        <w:ind w:left="560" w:hanging="160"/>
        <w:spacing w:after="0"/>
        <w:tabs>
          <w:tab w:leader="none" w:pos="560" w:val="left"/>
        </w:tabs>
        <w:numPr>
          <w:ilvl w:val="0"/>
          <w:numId w:val="7"/>
        </w:numPr>
        <w:rPr>
          <w:rFonts w:ascii="Arial" w:cs="Arial" w:eastAsia="Arial" w:hAnsi="Arial"/>
          <w:sz w:val="15"/>
          <w:szCs w:val="15"/>
          <w:color w:val="auto"/>
        </w:rPr>
      </w:pPr>
      <w:r>
        <w:rPr>
          <w:rFonts w:ascii="Times New Roman" w:cs="Times New Roman" w:eastAsia="Times New Roman" w:hAnsi="Times New Roman"/>
          <w:sz w:val="15"/>
          <w:szCs w:val="15"/>
          <w:color w:val="auto"/>
        </w:rPr>
        <w:t>limit our flexibility in planning for, or reacting to, changes in our business and the industries in which we operate;</w:t>
      </w: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560" w:hanging="160"/>
        <w:spacing w:after="0"/>
        <w:tabs>
          <w:tab w:leader="none" w:pos="560" w:val="left"/>
        </w:tabs>
        <w:numPr>
          <w:ilvl w:val="0"/>
          <w:numId w:val="7"/>
        </w:numPr>
        <w:rPr>
          <w:rFonts w:ascii="Arial" w:cs="Arial" w:eastAsia="Arial" w:hAnsi="Arial"/>
          <w:sz w:val="15"/>
          <w:szCs w:val="15"/>
          <w:color w:val="auto"/>
        </w:rPr>
      </w:pPr>
      <w:r>
        <w:rPr>
          <w:rFonts w:ascii="Times New Roman" w:cs="Times New Roman" w:eastAsia="Times New Roman" w:hAnsi="Times New Roman"/>
          <w:sz w:val="15"/>
          <w:szCs w:val="15"/>
          <w:color w:val="auto"/>
        </w:rPr>
        <w:t>place us at a competitive disadvantage compared to our competitors that have less debt; and</w:t>
      </w:r>
    </w:p>
    <w:p>
      <w:pPr>
        <w:spacing w:after="0" w:line="186" w:lineRule="exact"/>
        <w:rPr>
          <w:rFonts w:ascii="Arial" w:cs="Arial" w:eastAsia="Arial" w:hAnsi="Arial"/>
          <w:sz w:val="15"/>
          <w:szCs w:val="15"/>
          <w:color w:val="auto"/>
        </w:rPr>
      </w:pPr>
    </w:p>
    <w:p>
      <w:pPr>
        <w:ind w:left="560" w:hanging="160"/>
        <w:spacing w:after="0" w:line="398" w:lineRule="auto"/>
        <w:tabs>
          <w:tab w:leader="none" w:pos="560" w:val="left"/>
        </w:tabs>
        <w:numPr>
          <w:ilvl w:val="0"/>
          <w:numId w:val="7"/>
        </w:numPr>
        <w:rPr>
          <w:rFonts w:ascii="Arial" w:cs="Arial" w:eastAsia="Arial" w:hAnsi="Arial"/>
          <w:sz w:val="15"/>
          <w:szCs w:val="15"/>
          <w:color w:val="auto"/>
        </w:rPr>
      </w:pPr>
      <w:r>
        <w:rPr>
          <w:rFonts w:ascii="Times New Roman" w:cs="Times New Roman" w:eastAsia="Times New Roman" w:hAnsi="Times New Roman"/>
          <w:sz w:val="15"/>
          <w:szCs w:val="15"/>
          <w:color w:val="auto"/>
        </w:rPr>
        <w:t>limit, among other things, our ability to borrow additional funds for working capital, capital expenditures, acquisitions, or other general corporate purposes.</w:t>
      </w:r>
    </w:p>
    <w:p>
      <w:pPr>
        <w:spacing w:after="0" w:line="2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inability to comply with covenants in place or our inability to make the required principal and interest payments may cause an event of default, which could have a substantial adverse impact to our business, financial condition, and results of operations. There is no assurance that refinancing or asset dispositions could be effected on a timely basis or on satisfactory terms, if at all, particularly if credit market conditions deteriorate.</w:t>
      </w:r>
    </w:p>
    <w:p>
      <w:pPr>
        <w:sectPr>
          <w:pgSz w:w="11880" w:h="15480" w:orient="portrait"/>
          <w:cols w:equalWidth="0" w:num="1">
            <w:col w:w="9120"/>
          </w:cols>
          <w:pgMar w:left="1380" w:top="1440" w:right="1380" w:bottom="53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20"/>
          </w:cols>
          <w:pgMar w:left="1380" w:top="1440" w:right="1380" w:bottom="534" w:gutter="0" w:footer="0" w:header="0"/>
          <w:type w:val="continuous"/>
        </w:sectPr>
      </w:pPr>
    </w:p>
    <w:bookmarkStart w:id="25" w:name="page26"/>
    <w:bookmarkEnd w:id="25"/>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Furthermore, there can be no assurance that refinancing or asset dispositions would be permitted by the terms of our credit agreements or debt instruments. Our existing credit agreements contain, and any future debt agreements we may enter into may contain, certain financial tests and other covenants that limit our ability to incur indebtedness, acquire other businesses, and any such future debt agreements may impose various other restrictions. Our ability to comply with financial tests may be adversely affected by changes in economic or business conditions beyond our control, and these covenants may limit our ability to take advantage of potential business opportunities as they arise. We cannot be certain that we will be able to comply with the financial tests and other covenants, or, if we fail to do so, that we will be able to obtain waivers or amended terms from our lenders. An uncured default with respect to one or more of the covenants could result in the amounts outstanding being declared immediately due and payable, which may also trigger an obligation to redeem our outstanding debt securities and repay all other outstanding indebtedness. Any such acceleration of our indebtedness would have a material and adverse effect on our business, financial condition, and results of operations.</w:t>
      </w:r>
    </w:p>
    <w:p>
      <w:pPr>
        <w:spacing w:after="0" w:line="229" w:lineRule="exact"/>
        <w:rPr>
          <w:sz w:val="20"/>
          <w:szCs w:val="20"/>
          <w:color w:val="auto"/>
        </w:rPr>
      </w:pPr>
    </w:p>
    <w:p>
      <w:pPr>
        <w:ind w:left="200"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effective internal controls over financial reporting could have a material adverse effect on the Company’s financial condition and the trading price of its common stock.</w:t>
      </w:r>
    </w:p>
    <w:p>
      <w:pPr>
        <w:spacing w:after="0" w:line="12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internal control over financial reporting (“ICFR”), because of its inherent limitations, may not prevent or detect material misstatements on a timely basis. A failure to maintain effective ICFR or disclosure controls and procedures could impact our ability to accurately and timely report our financial results and other material disclosures or otherwise cause us to fail to meet our reporting obligations, which could have a material adverse effect on our consolidated operations, investor confidence in our business, and the trading prices of our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Tax, and Regulatory Risks</w:t>
      </w:r>
    </w:p>
    <w:p>
      <w:pPr>
        <w:spacing w:after="0" w:line="123" w:lineRule="exact"/>
        <w:rPr>
          <w:sz w:val="20"/>
          <w:szCs w:val="20"/>
          <w:color w:val="auto"/>
        </w:rPr>
      </w:pPr>
    </w:p>
    <w:p>
      <w:pPr>
        <w:ind w:left="200" w:right="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An adverse outcome in any pending or future litigation, potential required environmental investigation, delineation, or remedial activities including but not limited to the Portland Superfund matter or any related litigation, or pending or future warranty claims against the Company or its subsidiaries or our determination that a customer has a substantial product warranty claim could negatively impact our financial results and/or our financial condition.</w:t>
      </w:r>
    </w:p>
    <w:p>
      <w:pPr>
        <w:spacing w:after="0" w:line="12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party to various legal proceedings. In addition, from time to time our customers assert claims against us relating to the warranties which apply to products we have sold. There is the potential that an outcome adverse to us or our subsidiaries in pending or future legal proceedings or pending or future product warranty claims could materially exceed any accruals we have established and adversely affect our financial results and/or financial condition. In addition, we could suffer a significant loss of business from a customer who is dissatisfied with the resolution of a warranty claim. Refer to “Part II, Item 8, Financial Statements and Supplementary Data, Note 16 to the Consolidated Financial Statements” for further details of pending legal proceedings.</w:t>
      </w:r>
    </w:p>
    <w:p>
      <w:pPr>
        <w:spacing w:after="0" w:line="228" w:lineRule="exact"/>
        <w:rPr>
          <w:sz w:val="20"/>
          <w:szCs w:val="20"/>
          <w:color w:val="auto"/>
        </w:rPr>
      </w:pPr>
    </w:p>
    <w:p>
      <w:pPr>
        <w:ind w:left="200" w:right="2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Violations of the US Foreign Corrupt Practices Act and similar worldwide anti-corruption laws and other foreign governmental regulations, could result in fines, penalties, and criminal sanctions against the Company, its officers, or both and could have a material and adverse effect on our business.</w:t>
      </w:r>
    </w:p>
    <w:p>
      <w:pPr>
        <w:spacing w:after="0" w:line="12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US Foreign Corrupt Practices Act and other similar global anti-corruption laws, such as the UK Bribery Act and the proposed EU Anti-Corruption Directive, prohibit improper payments and other corrupt practices intended to obtain or retain business. Although we have established an internal control structure, corporate policies, compliance, and training processes to reduce the risk of violation, we cannot ensure that these procedures protect us from violations of such policies by our employees or agents. Failure to comply with applicable laws or regulations could subject us to fines, penalties, and suspension or debarment from contracting. Events of non-compliance could harm our reputation, reduce our revenues and profits, and subject us to criminal and civil enforcement actions. Violations of such laws or allegations of violation could disrupt our business and result in material adverse results to our operating results or future profitability.</w:t>
      </w:r>
    </w:p>
    <w:p>
      <w:pPr>
        <w:spacing w:after="0" w:line="12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foreign operations are subject to governmental regulations in the countries in which we operate, as well as US laws. These regulations include those related to currency conversion, repatriation of earnings, taxation of our earnings and the earnings of our personnel, and the increasing requirement in some countries to make greater</w:t>
      </w:r>
    </w:p>
    <w:p>
      <w:pPr>
        <w:sectPr>
          <w:pgSz w:w="11880" w:h="15480" w:orient="portrait"/>
          <w:cols w:equalWidth="0" w:num="1">
            <w:col w:w="9120"/>
          </w:cols>
          <w:pgMar w:left="1380" w:top="1440" w:right="1380" w:bottom="53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20"/>
          </w:cols>
          <w:pgMar w:left="1380" w:top="1440" w:right="1380" w:bottom="534" w:gutter="0" w:footer="0" w:header="0"/>
          <w:type w:val="continuous"/>
        </w:sectPr>
      </w:pPr>
    </w:p>
    <w:bookmarkStart w:id="26" w:name="page27"/>
    <w:bookmarkEnd w:id="26"/>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use of local employees and suppliers, including, in some jurisdictions, mandates that provide for greater local participation in the ownership and control of certain local business assets.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10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certain tax attributes, including US federal, state, and foreign operating loss carryforwards, and federal research and development credits, which may be available to offset future taxable income in certain jurisdictions. Realization of these net operating loss and research and development credit carryforwards depends on future income, and there is a risk that certain of our existing carryforwards could expire unused and be unavailable to offset future income tax liabilities, which could adversely affect our operating results and financial condition.</w:t>
      </w:r>
    </w:p>
    <w:p>
      <w:pPr>
        <w:spacing w:after="0" w:line="10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Similar rules apply under US state tax laws. We have, and may in the future, experience ownership changes as a result of shifts in our stock ownership. As a result, if we earn net taxable income, our ability to use our pre-change US net operating loss carryforwards to offset US federal taxable income may be subject to limitations, which could potentially result in increased future tax liability to us.</w:t>
      </w:r>
    </w:p>
    <w:p>
      <w:pPr>
        <w:spacing w:after="0" w:line="187" w:lineRule="exact"/>
        <w:rPr>
          <w:sz w:val="20"/>
          <w:szCs w:val="20"/>
          <w:color w:val="auto"/>
        </w:rPr>
      </w:pPr>
    </w:p>
    <w:p>
      <w:pPr>
        <w:ind w:left="20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Changes in our tax rates or exposure to additional income tax liability could impact our profitability and management projections, estimates, and judgments, particularly with respect to reserves for litigation, deferred tax assets, and the fair market value of certain assets and liabilities, may be inaccurate and not be indicative of our future performance.</w:t>
      </w:r>
    </w:p>
    <w:p>
      <w:pPr>
        <w:spacing w:after="0" w:line="9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management team is required to use certain estimates in preparing our financial statements, including accounting estimates to determine reserves related to litigation, deferred tax assets, and the fair market value of certain assets and liabilities. Certain asset and liability valuations are subject to management’s judgment and actual results are influenced by factors outside our control.</w:t>
      </w:r>
    </w:p>
    <w:p>
      <w:pPr>
        <w:spacing w:after="0" w:line="10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required to maintain a valuation allowance for deferred tax assets and record a charge to income if we determine, based on evidence available at the time the determination is made, that it is more likely than not some portion or all of the deferred tax assets will not be realized. This evaluation process involves significant management judgment about assumptions that are subject to change from period to period. The use of different estimates can result in changes in the amount of deferred taxes recognized, which can result in earnings volatility because such changes are reported in current period earnings. See Part II, Item 8, Financial Statements and Supplementary Data, Note 13 to the Consolidated Financial Statements, contained in this Annual Report on Form 10-K, for additional discussion of our deferred taxes.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Shifting federal, state, local, and foreign regulatory policies impose risks to our operations.</w:t>
      </w:r>
    </w:p>
    <w:p>
      <w:pPr>
        <w:spacing w:after="0" w:line="10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subject to regulation by federal, state, local, and foreign regulatory agencies and are therefore subject to a variety of legal proceedings and compliance risks, including those described in Item 3 — Legal Proceedings and in Part II, Item 8, Financial Statements and Supplementary Data, Note 16 to the Consolidated Financial Statements, contained in this Annual Report on Form 10-K. Like other companies engaged in environmentally sensitive businesses, we are required to comply with numerous laws and regulations, including environmental matters relating to, among other things, the treatment, disposal, and storage of wastes, investigation and remediation of contaminated soil and groundwater, the discharge of effluent into waterways, and the emissions of substances into the air. We are required to obtain various authorizations, permits, approvals, and certificates from governmental agencies. The Company could be subject to liability with respect to remediation of past contamination in the operation of some of its current and former facilities and remediation of contamination by former owners or operators of the Company’s current or former facilities. Compliance with emerging regulatory initiatives, delays, discontinuations, or reversals or reinterpretations of existing regulatory policies in the markets in which we operate, including costs associated with any required environmental remediation and monitoring, could have an adverse effect on our business, results of operations, cash flows, and financial condition.</w:t>
      </w:r>
    </w:p>
    <w:p>
      <w:pPr>
        <w:sectPr>
          <w:pgSz w:w="11880" w:h="15480" w:orient="portrait"/>
          <w:cols w:equalWidth="0" w:num="1">
            <w:col w:w="9120"/>
          </w:cols>
          <w:pgMar w:left="1380" w:top="1440" w:right="1380" w:bottom="53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20"/>
          </w:cols>
          <w:pgMar w:left="1380" w:top="1440" w:right="1380" w:bottom="534" w:gutter="0" w:footer="0" w:header="0"/>
          <w:type w:val="continuous"/>
        </w:sectPr>
      </w:pPr>
    </w:p>
    <w:bookmarkStart w:id="27" w:name="page28"/>
    <w:bookmarkEnd w:id="27"/>
    <w:p>
      <w:pPr>
        <w:spacing w:after="0" w:line="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 substantial portion of our operations is heavily dependent on governmental funding of infrastructure projects. Many of these projects have “Buy America” or “Buy American” provisions. Significant changes in the level of government funding of these projects could have a favorable or unfavorable impact on our operating results. Additionally, government actions concerning “Buy America” provisions, taxation, tariffs, the environment, energy, or other matters could impact our operating results.</w:t>
      </w:r>
    </w:p>
    <w:p>
      <w:pPr>
        <w:spacing w:after="0" w:line="13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Government actions in the US or other countries where we have a higher concentration of business may further change tax policy, trade policy, or other regulatory priorities, or may enact other legislation that could create an unfavorable environment for the Company, making it more difficult to compete or adversely impact our operating results.</w:t>
      </w:r>
    </w:p>
    <w:p>
      <w:pPr>
        <w:spacing w:after="0" w:line="251" w:lineRule="exact"/>
        <w:rPr>
          <w:sz w:val="20"/>
          <w:szCs w:val="20"/>
          <w:color w:val="auto"/>
        </w:rPr>
      </w:pPr>
    </w:p>
    <w:p>
      <w:pPr>
        <w:ind w:left="200"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Legislative or regulatory initiatives related to climate policy change could have a material adverse effect on our business.</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Greenhouse gases may have an adverse effect on global temperatures, weather patterns, and the frequency and severity of extreme weather and natural disasters. Such events could have a negative effect on our business. Although the current US federal administration has recently taken steps to reduce federal environmental regulation, concern over climate change may continue to result in new or changing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environmental laws and regulations could incur significant costs.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operations and properties are also subject to extensive federal, state, local, and foreign environmental laws and regulations relating to protection of the environment and human health and safety, including those concerning the treatment, storage and disposal of wastes, the investigation and remediation of contaminated soil and groundwater, the discharge of effluents into waterways, the emission of substances into the air, as well as various health and safety matters. Environmental laws and regulations are subject to frequent amendment and reinterpretation, and although the current US federal administration has taken steps to reduce environmental regulation, these regulations have in the past and may again in the future become more stringent. Our costs required to comply with new or evolving environmental regulations at the federal, state, local, and foreign jurisdictions in which we operate could be material. We could incur significant costs if we fail to comply with regulations and responsibilities under environmental laws and regulations, including cleanup costs, civil and criminal penalties, injunctive relief and denial or loss of, or imposition of significant restrictions on, environmental permits. In addition, we could be subject to suit by private parties in connection with alleged violations of, or liabilities under, environmental laws and regulations. Additional information on environmental matters is available in this Part I, Item 1A, Risk Factors and Part II, Item 8, Financial Statements and Supplementary Data, Note 16 to the Consolidated Financial Statements.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Risks</w:t>
      </w:r>
    </w:p>
    <w:p>
      <w:pPr>
        <w:spacing w:after="0" w:line="134" w:lineRule="exact"/>
        <w:rPr>
          <w:sz w:val="20"/>
          <w:szCs w:val="20"/>
          <w:color w:val="auto"/>
        </w:rPr>
      </w:pPr>
    </w:p>
    <w:p>
      <w:pPr>
        <w:ind w:left="200" w:right="6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 portion of our sales are derived from our international operations, which expose us to certain risks inherent in doing business on an international level.</w:t>
      </w:r>
    </w:p>
    <w:p>
      <w:pPr>
        <w:spacing w:after="0" w:line="1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Doing business outside the US subjects the Company to various risks, including changing economic and political conditions, work stoppages, exchange controls, currency fluctuations, armed conflicts, transportation regulations, foreign investments, and taxation. The US government has imposed tariffs on certain foreign goods, including steel and aluminum, and has indicated the possibility of additional tariffs on other goods. In response, several foreign governments have imposed retaliatory tariffs on US goods. Uncertainties surrounding tariffs, trade agreements, or any potential trade disputes could cause disruptions in our operations and increase our costs.</w:t>
      </w:r>
    </w:p>
    <w:p>
      <w:pPr>
        <w:spacing w:after="0" w:line="13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Increasing sales to foreign countries, including Brazil, Canada, China, India, Mexico, the UK, and countries within the EU, expose the Company to increased risk of loss from foreign currency fluctuations and exchange</w:t>
      </w:r>
    </w:p>
    <w:p>
      <w:pPr>
        <w:sectPr>
          <w:pgSz w:w="11880" w:h="15480" w:orient="portrait"/>
          <w:cols w:equalWidth="0" w:num="1">
            <w:col w:w="9120"/>
          </w:cols>
          <w:pgMar w:left="1380" w:top="1440" w:right="1380" w:bottom="53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20"/>
          </w:cols>
          <w:pgMar w:left="1380" w:top="1440" w:right="1380" w:bottom="534" w:gutter="0" w:footer="0" w:header="0"/>
          <w:type w:val="continuous"/>
        </w:sectPr>
      </w:pPr>
    </w:p>
    <w:bookmarkStart w:id="28" w:name="page29"/>
    <w:bookmarkEnd w:id="28"/>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controls as well as longer accounts receivable payment cycles and the potential impact of tariffs on our ability to compete in such markets. We have little control over most of these risks and may be unable to anticipate changes in international economic and political conditions and, therefore, be unable to alter our business practices in time to avoid the adverse effect of any of these possible changes.</w:t>
      </w:r>
    </w:p>
    <w:p>
      <w:pPr>
        <w:spacing w:after="0" w:line="11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Changes in exchange rates for foreign currencies may reduce international demand for our products or increase our labor or supply costs in non-US markets. Fluctuations in the relative values of the US dollar, Canadian dollar, British pound, and Euro may result in volatile earnings that reflect exchange rate translation in our Canadian and European sales and operations. If the US dollar strengthens in value as compared to the value of the Canadian dollar, British pound, or Euro, our reported earnings in dollars from sales in those currencies will be unfavorable. Conversely, a favorable result will be reported if the US dollar weakens in value as compared to the value of the Canadian dollar, British pound, or Euro.</w:t>
      </w:r>
    </w:p>
    <w:p>
      <w:pPr>
        <w:spacing w:after="0" w:line="11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Additionally, international trade agreements, including The United States-Mexico-Canada Trade Agreement (“USMCA”), could affect our business, financial condition, and results of operations. Potential material modifications to USMCA, which is subject to joint review in July 2026, or certain other international trade agreements, including with respect to the modification of trade agreements with or among the EU and the UK which remain subject to uncertainties, may have a material adverse effect on our business, financial condition, and results of operations. Our UK operations represented approximately 6% and 8% of our total revenue for the years ended December 31, 2025 and 2024, respectively. During the years ended December 31, 2025 and 2024 less than 1% of our consolidated net revenue was from the UK operation’s sales exported to EU members.</w:t>
      </w:r>
    </w:p>
    <w:p>
      <w:pPr>
        <w:spacing w:after="0" w:line="21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Strategy, Governance, and Incident Disclosure</w:t>
      </w:r>
    </w:p>
    <w:p>
      <w:pPr>
        <w:spacing w:after="0" w:line="12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cybersecurity program is designed to protect its digital assets and information, and to allow for the secure storage and transmission of proprietary or confidential information regarding our customers, employees, job applicants, and other parties, including financial information, intellectual property, and personal identification information. The Company’s cybersecurity program is formed on a risk-based approach in accordance with industry best practices, and is calibrated with recommendations from third party risk management consultants, auditors, cybersecurity professionals, and cybersecurity insurers. Portions of our business are certified under the Cyber Essentials Plus program. Additionally, the Company has performed an ISO 27001 gap analysis, with the goal to adhere to ISO 27001 standards as a guidepost for a Company-wide security posture.</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cybersecurity program includes:</w:t>
      </w:r>
    </w:p>
    <w:p>
      <w:pPr>
        <w:spacing w:after="0" w:line="121" w:lineRule="exact"/>
        <w:rPr>
          <w:sz w:val="20"/>
          <w:szCs w:val="20"/>
          <w:color w:val="auto"/>
        </w:rPr>
      </w:pPr>
    </w:p>
    <w:p>
      <w:pPr>
        <w:ind w:left="560" w:hanging="160"/>
        <w:spacing w:after="0" w:line="398" w:lineRule="auto"/>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a comprehensive cyber education program with ongoing employee cybersecurity awareness and training activities, which include frequent phishing simulation, testing, and ongoing education;</w:t>
      </w:r>
    </w:p>
    <w:p>
      <w:pPr>
        <w:spacing w:after="0" w:line="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strong identity and authentication controls with multifactor authentication and risky user detection;</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access management and access controls with periodic reviews;</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protection of certain data through encryption at rest and in transit;</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application whitelisting ensuring unapproved applications cannot be run;</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endpoint and network monitoring and protection software;</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network segmentation to prohibit lateral motion;</w:t>
      </w:r>
    </w:p>
    <w:p>
      <w:pPr>
        <w:spacing w:after="0" w:line="167" w:lineRule="exact"/>
        <w:rPr>
          <w:rFonts w:ascii="Arial" w:cs="Arial" w:eastAsia="Arial" w:hAnsi="Arial"/>
          <w:sz w:val="15"/>
          <w:szCs w:val="15"/>
          <w:color w:val="auto"/>
        </w:rPr>
      </w:pPr>
    </w:p>
    <w:p>
      <w:pPr>
        <w:ind w:left="560" w:hanging="160"/>
        <w:spacing w:after="0"/>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sensitive data transmission detection tools;</w:t>
      </w:r>
    </w:p>
    <w:p>
      <w:pPr>
        <w:spacing w:after="0" w:line="167" w:lineRule="exact"/>
        <w:rPr>
          <w:rFonts w:ascii="Arial" w:cs="Arial" w:eastAsia="Arial" w:hAnsi="Arial"/>
          <w:sz w:val="15"/>
          <w:szCs w:val="15"/>
          <w:color w:val="auto"/>
        </w:rPr>
      </w:pPr>
    </w:p>
    <w:p>
      <w:pPr>
        <w:ind w:left="560" w:hanging="160"/>
        <w:spacing w:after="0" w:line="398" w:lineRule="auto"/>
        <w:tabs>
          <w:tab w:leader="none" w:pos="560" w:val="left"/>
        </w:tabs>
        <w:numPr>
          <w:ilvl w:val="0"/>
          <w:numId w:val="8"/>
        </w:numPr>
        <w:rPr>
          <w:rFonts w:ascii="Arial" w:cs="Arial" w:eastAsia="Arial" w:hAnsi="Arial"/>
          <w:sz w:val="15"/>
          <w:szCs w:val="15"/>
          <w:color w:val="auto"/>
        </w:rPr>
      </w:pPr>
      <w:r>
        <w:rPr>
          <w:rFonts w:ascii="Times New Roman" w:cs="Times New Roman" w:eastAsia="Times New Roman" w:hAnsi="Times New Roman"/>
          <w:sz w:val="15"/>
          <w:szCs w:val="15"/>
          <w:color w:val="auto"/>
        </w:rPr>
        <w:t>comprehensive AI governance, training, detection, and whitelisting only approved applications evaluated by Information Technology (“IT”) Security and Compliance and Legal;</w:t>
      </w:r>
    </w:p>
    <w:p>
      <w:pPr>
        <w:sectPr>
          <w:pgSz w:w="11880" w:h="15480" w:orient="portrait"/>
          <w:cols w:equalWidth="0" w:num="1">
            <w:col w:w="9120"/>
          </w:cols>
          <w:pgMar w:left="1380" w:top="1440" w:right="1380" w:bottom="534"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20"/>
          </w:cols>
          <w:pgMar w:left="1380" w:top="1440" w:right="1380" w:bottom="534" w:gutter="0" w:footer="0" w:header="0"/>
          <w:type w:val="continuous"/>
        </w:sectPr>
      </w:pPr>
    </w:p>
    <w:bookmarkStart w:id="29" w:name="page30"/>
    <w:bookmarkEnd w:id="29"/>
    <w:p>
      <w:pPr>
        <w:spacing w:after="0" w:line="2" w:lineRule="exact"/>
        <w:rPr>
          <w:sz w:val="20"/>
          <w:szCs w:val="20"/>
          <w:color w:val="auto"/>
        </w:rPr>
      </w:pPr>
    </w:p>
    <w:p>
      <w:pPr>
        <w:ind w:left="560" w:hanging="160"/>
        <w:spacing w:after="0" w:line="398" w:lineRule="auto"/>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the engagement of a managed detection and response service which monitors the Company’s environment at all times for threats, and in the event of an incident, provides proactive services;</w:t>
      </w:r>
    </w:p>
    <w:p>
      <w:pPr>
        <w:spacing w:after="0" w:line="12" w:lineRule="exact"/>
        <w:rPr>
          <w:rFonts w:ascii="Arial" w:cs="Arial" w:eastAsia="Arial" w:hAnsi="Arial"/>
          <w:sz w:val="15"/>
          <w:szCs w:val="15"/>
          <w:color w:val="auto"/>
        </w:rPr>
      </w:pPr>
    </w:p>
    <w:p>
      <w:pPr>
        <w:jc w:val="both"/>
        <w:ind w:left="560" w:hanging="160"/>
        <w:spacing w:after="0" w:line="573" w:lineRule="auto"/>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a vulnerability management program that includes identifying and managing the cybersecurity risk asso-ciated with third-party service providers, including third-party software, hardware, and network infra-structure;</w:t>
      </w:r>
    </w:p>
    <w:p>
      <w:pPr>
        <w:jc w:val="both"/>
        <w:ind w:left="560" w:hanging="160"/>
        <w:spacing w:after="0" w:line="573" w:lineRule="auto"/>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a dedicated internal cybersecurity team and a cyber incident response plan that provides controls and procedures to support appropriate identification, containment, response, investigation, reporting, and recovery from cybersecurity incidents;</w:t>
      </w:r>
    </w:p>
    <w:p>
      <w:pPr>
        <w:ind w:left="560" w:hanging="160"/>
        <w:spacing w:after="0"/>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simulated cyber security emergency response readiness scenario training with key IT personnel and execu-tive leadership;</w:t>
      </w:r>
    </w:p>
    <w:p>
      <w:pPr>
        <w:spacing w:after="0" w:line="200" w:lineRule="exact"/>
        <w:rPr>
          <w:rFonts w:ascii="Arial" w:cs="Arial" w:eastAsia="Arial" w:hAnsi="Arial"/>
          <w:sz w:val="15"/>
          <w:szCs w:val="15"/>
          <w:color w:val="auto"/>
        </w:rPr>
      </w:pPr>
    </w:p>
    <w:p>
      <w:pPr>
        <w:spacing w:after="0" w:line="212" w:lineRule="exact"/>
        <w:rPr>
          <w:rFonts w:ascii="Arial" w:cs="Arial" w:eastAsia="Arial" w:hAnsi="Arial"/>
          <w:sz w:val="15"/>
          <w:szCs w:val="15"/>
          <w:color w:val="auto"/>
        </w:rPr>
      </w:pPr>
    </w:p>
    <w:p>
      <w:pPr>
        <w:ind w:left="560" w:hanging="160"/>
        <w:spacing w:after="0"/>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periodic testing of our cybersecurity posture, including by independent third-party consultants; and</w:t>
      </w:r>
    </w:p>
    <w:p>
      <w:pPr>
        <w:spacing w:after="0" w:line="172" w:lineRule="exact"/>
        <w:rPr>
          <w:rFonts w:ascii="Arial" w:cs="Arial" w:eastAsia="Arial" w:hAnsi="Arial"/>
          <w:sz w:val="15"/>
          <w:szCs w:val="15"/>
          <w:color w:val="auto"/>
        </w:rPr>
      </w:pPr>
    </w:p>
    <w:p>
      <w:pPr>
        <w:ind w:left="560" w:hanging="160"/>
        <w:spacing w:after="0"/>
        <w:tabs>
          <w:tab w:leader="none" w:pos="560" w:val="left"/>
        </w:tabs>
        <w:numPr>
          <w:ilvl w:val="0"/>
          <w:numId w:val="9"/>
        </w:numPr>
        <w:rPr>
          <w:rFonts w:ascii="Arial" w:cs="Arial" w:eastAsia="Arial" w:hAnsi="Arial"/>
          <w:sz w:val="15"/>
          <w:szCs w:val="15"/>
          <w:color w:val="auto"/>
        </w:rPr>
      </w:pPr>
      <w:r>
        <w:rPr>
          <w:rFonts w:ascii="Times New Roman" w:cs="Times New Roman" w:eastAsia="Times New Roman" w:hAnsi="Times New Roman"/>
          <w:sz w:val="15"/>
          <w:szCs w:val="15"/>
          <w:color w:val="auto"/>
        </w:rPr>
        <w:t>integrating cybersecurity requirements and other provision into various contracts.</w:t>
      </w:r>
    </w:p>
    <w:p>
      <w:pPr>
        <w:spacing w:after="0" w:line="17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continued to invest in cybersecurity to evolve and improve its program and regularly assesses and measures itself against industry practices to identify opportunities to enhance training and awareness among our people and improve processes and technology used to identify, prevent, detect, respond, and recover from cybersecurity incidents. When such improvements are identified and validated as appropriate in the Company’s business context, they are incorporated in the roadmap for implementation.</w:t>
      </w:r>
    </w:p>
    <w:p>
      <w:pPr>
        <w:spacing w:after="0" w:line="12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To date, although the Company has been subject to cyber-attacks, the risks and impacts from cybersecurity threats have not materially affected the Company. We have significantly increased our cybersecurity investments over the last several years and have implemented cybersecurity safeguards designed to detect and prevent cybersecurity events that may have a material adverse effect on the Company. Notwithstanding our increased cybersecurity investments and preparedness activities, sophisticated and targeted computer crime perpetrated by threat actors internal or external to the Company poses a risk to the security of our systems, facilities, and networks and to the confidentiality, availability, and integrity of our data, including but not limited to intellectual property and confidential and personal data. This could result in a violation of applicable privacy and other laws, legal and financial exposure, negative impacts on our customers’ willingness to transact business with us, and a loss of confidence in our security measures, which could have an adverse effect on our results of operations and our reputation. Refer to the risk factor titled “We are subject to cybersecurity risks and may incur increasing costs in an effort to minimize those risks” in Item 1A of this Form 10-K for further detail regarding cybersecurity risks that could affect the Company’s operations. We maintain insurance covering certain costs that we may incur in connection with cybersecurity incidents, which we believe is commensurate with the size and the nature of our operations. However, the Company may incur expenses and losses related to a cyber incident that are not covered by insurance or are in excess of our insurance coverage.</w:t>
      </w:r>
    </w:p>
    <w:p>
      <w:pPr>
        <w:spacing w:after="0" w:line="12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Board of Directors (the “Board”) has overall responsibility for the oversight of risk management at L.B. Foster Company, which includes cybersecurity risks. The Audit Committee of the Board (the “Audit Committee”), is responsible for oversight of the Company’s Enterprise Risk Management program which provides oversight and governance of all of the Company’s operational and financial risks, specifically including risks from cybersecurity threats to the Company. As described below, the Audit Committee receives regular reports and periodic briefings from senior management on cybersecurity matters, including key risks to the Company, recent developments, and risk mitigation activities. Recent areas of attention have included AI-related threats and opportunities with discussions focused on proactive risk management and emerging developments in the AI landscape.</w:t>
      </w:r>
    </w:p>
    <w:p>
      <w:pPr>
        <w:spacing w:after="0" w:line="11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a Cyber Incident Response Team (“CIRT”) of trained information technology professionals who are responsible for assessing, identifying, and managing our material risks from cybersecurity threats on an ongoing basis, all of whom have extensive background, experience, and education in information technology and computer science and are subject to training on industry-leading security platforms and tools as well as continuing education to maximize capabilities with the tools and technology of the Company. This team is overseen by the Vice President of Information Technology, who facilitates the regular cybersecurity updates to</w:t>
      </w:r>
    </w:p>
    <w:p>
      <w:pPr>
        <w:sectPr>
          <w:pgSz w:w="11880" w:h="15480" w:orient="portrait"/>
          <w:cols w:equalWidth="0" w:num="1">
            <w:col w:w="9120"/>
          </w:cols>
          <w:pgMar w:left="1380" w:top="1440" w:right="1380" w:bottom="53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20"/>
          </w:cols>
          <w:pgMar w:left="1380" w:top="1440" w:right="1380" w:bottom="534" w:gutter="0" w:footer="0" w:header="0"/>
          <w:type w:val="continuous"/>
        </w:sectPr>
      </w:pPr>
    </w:p>
    <w:bookmarkStart w:id="30" w:name="page31"/>
    <w:bookmarkEnd w:id="30"/>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Audit Committee. The Company also has a Cyber Security Materiality Assessment Committee (“CMAC”) comprised of the Chief Financial Officer, General Counsel, and information technology and security representatives, which is responsible for assessment of material cybersecurity incidents and communicating such incidents to the Chief Executive Officer, Audit Committee, and the Board.</w:t>
      </w:r>
    </w:p>
    <w:p>
      <w:pPr>
        <w:spacing w:after="0" w:line="13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CIRT maintains an internal execution and communication plan that is designed to measure the impact, assess initial materiality, record the incident, invoke the incident response plan, and communicate the occurrence of certain cybersecurity events or incidents to appropriate members of senior management (including the CMAC) within established procedural time frames. This communication hierarchy includes protocols for informing the Chief Executive Officer, Audit Committee, and the full Board of certain cybersecurity events or incidents and for determining the materiality thereof.</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13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corporate headquarters is located at 415 Holiday Drive, Suite 100, Pittsburgh, PA 15220. The location and general description of the material principal properties that are owned or leased by the Company, together with the segment of the Company’s business using such properties, are set forth in the following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190"/>
        </w:trPr>
        <w:tc>
          <w:tcPr>
            <w:tcW w:w="26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24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Function</w:t>
            </w:r>
          </w:p>
        </w:tc>
        <w:tc>
          <w:tcPr>
            <w:tcW w:w="3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1"/>
              </w:rPr>
              <w:t>Acres</w:t>
            </w:r>
          </w:p>
        </w:tc>
        <w:tc>
          <w:tcPr>
            <w:tcW w:w="400" w:type="dxa"/>
            <w:vAlign w:val="bottom"/>
          </w:tcPr>
          <w:p>
            <w:pPr>
              <w:spacing w:after="0"/>
              <w:rPr>
                <w:sz w:val="16"/>
                <w:szCs w:val="16"/>
                <w:color w:val="auto"/>
              </w:rPr>
            </w:pPr>
          </w:p>
        </w:tc>
        <w:tc>
          <w:tcPr>
            <w:tcW w:w="24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Business Segment</w:t>
            </w:r>
          </w:p>
        </w:tc>
        <w:tc>
          <w:tcPr>
            <w:tcW w:w="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7"/>
              </w:rPr>
              <w:t>Expiration</w:t>
            </w:r>
          </w:p>
        </w:tc>
      </w:tr>
      <w:tr>
        <w:trPr>
          <w:trHeight w:val="20"/>
        </w:trPr>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Bedford, PA  .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Bridge component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fabricating plant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Birmingham, AL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Protective coatings</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2027</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facility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Burnaby, BC, Canada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Friction management</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N/A</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2029</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products plant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Columbia City, IN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 processing facility</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Owned</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yard storage</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Dublin, OH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 safety device</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2026</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manufacturing facility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Hillsboro, TX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Lake County, FL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2029</w:t>
            </w: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Lebanon, TN .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2028</w:t>
            </w: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Loudon, TN . .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Magnolia, TX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Threading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Nampa, ID . . .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2039</w:t>
            </w: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Niles, OH  .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 fabrication, friction</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35</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Owned</w:t>
            </w:r>
          </w:p>
        </w:tc>
      </w:tr>
      <w:tr>
        <w:trPr>
          <w:trHeight w:val="200"/>
        </w:trPr>
        <w:tc>
          <w:tcPr>
            <w:tcW w:w="6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management products,</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yard storage</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Nottingham, United</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Technology solutions</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Owned</w:t>
            </w:r>
          </w:p>
        </w:tc>
      </w:tr>
      <w:tr>
        <w:trPr>
          <w:trHeight w:val="260"/>
        </w:trPr>
        <w:tc>
          <w:tcPr>
            <w:tcW w:w="2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Kingdom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manufacturing</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Nottingham, United</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Technology solutions</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N/A</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2030</w:t>
            </w:r>
          </w:p>
        </w:tc>
      </w:tr>
      <w:tr>
        <w:trPr>
          <w:trHeight w:val="260"/>
        </w:trPr>
        <w:tc>
          <w:tcPr>
            <w:tcW w:w="2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Kingdom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manufacturing</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Pueblo, CO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 joint manufacturing</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Owned</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facility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Sheffield, United</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Track component and</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N/A</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2030</w:t>
            </w:r>
          </w:p>
        </w:tc>
      </w:tr>
      <w:tr>
        <w:trPr>
          <w:trHeight w:val="218"/>
        </w:trPr>
        <w:tc>
          <w:tcPr>
            <w:tcW w:w="2600" w:type="dxa"/>
            <w:vAlign w:val="bottom"/>
            <w:gridSpan w:val="2"/>
          </w:tcPr>
          <w:p>
            <w:pPr>
              <w:ind w:left="200"/>
              <w:spacing w:after="0" w:line="218" w:lineRule="exact"/>
              <w:rPr>
                <w:sz w:val="20"/>
                <w:szCs w:val="20"/>
                <w:color w:val="auto"/>
              </w:rPr>
            </w:pPr>
            <w:r>
              <w:rPr>
                <w:rFonts w:ascii="Times New Roman" w:cs="Times New Roman" w:eastAsia="Times New Roman" w:hAnsi="Times New Roman"/>
                <w:sz w:val="20"/>
                <w:szCs w:val="20"/>
                <w:color w:val="auto"/>
              </w:rPr>
              <w:t>Kingdom . . . . . . . . . . . . . .</w:t>
            </w:r>
          </w:p>
        </w:tc>
        <w:tc>
          <w:tcPr>
            <w:tcW w:w="2400" w:type="dxa"/>
            <w:vAlign w:val="bottom"/>
            <w:gridSpan w:val="2"/>
          </w:tcPr>
          <w:p>
            <w:pPr>
              <w:spacing w:after="0" w:line="218" w:lineRule="exact"/>
              <w:rPr>
                <w:sz w:val="20"/>
                <w:szCs w:val="20"/>
                <w:color w:val="auto"/>
              </w:rPr>
            </w:pPr>
            <w:r>
              <w:rPr>
                <w:rFonts w:ascii="Times New Roman" w:cs="Times New Roman" w:eastAsia="Times New Roman" w:hAnsi="Times New Roman"/>
                <w:sz w:val="20"/>
                <w:szCs w:val="20"/>
                <w:color w:val="auto"/>
              </w:rPr>
              <w:t>friction management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products facility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2"/>
        </w:trPr>
        <w:tc>
          <w:tcPr>
            <w:tcW w:w="260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Suwanee, GA  . . . . . . . . . . . .</w:t>
            </w:r>
          </w:p>
        </w:tc>
        <w:tc>
          <w:tcPr>
            <w:tcW w:w="240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Transit fastener</w:t>
            </w: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1</w:t>
            </w:r>
          </w:p>
        </w:tc>
        <w:tc>
          <w:tcPr>
            <w:tcW w:w="400" w:type="dxa"/>
            <w:vAlign w:val="bottom"/>
          </w:tcPr>
          <w:p>
            <w:pPr>
              <w:spacing w:after="0"/>
              <w:rPr>
                <w:sz w:val="17"/>
                <w:szCs w:val="17"/>
                <w:color w:val="auto"/>
              </w:rPr>
            </w:pPr>
          </w:p>
        </w:tc>
        <w:tc>
          <w:tcPr>
            <w:tcW w:w="240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Rail</w:t>
            </w:r>
          </w:p>
        </w:tc>
        <w:tc>
          <w:tcPr>
            <w:tcW w:w="7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2031</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assembly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Waverly, WV . . . . . . . . . . . .</w:t>
            </w: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Precast concrete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40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r>
      <w:tr>
        <w:trPr>
          <w:trHeight w:val="220"/>
        </w:trPr>
        <w:tc>
          <w:tcPr>
            <w:tcW w:w="2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Willis, TX . . . . . . . . . . . . . . .</w:t>
            </w: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Protective coatings</w:t>
            </w:r>
          </w:p>
        </w:tc>
        <w:tc>
          <w:tcPr>
            <w:tcW w:w="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16</w:t>
            </w:r>
          </w:p>
        </w:tc>
        <w:tc>
          <w:tcPr>
            <w:tcW w:w="4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Infrastructure</w:t>
            </w:r>
          </w:p>
        </w:tc>
        <w:tc>
          <w:tcPr>
            <w:tcW w:w="7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Owned</w:t>
            </w:r>
          </w:p>
        </w:tc>
      </w:tr>
      <w:tr>
        <w:trPr>
          <w:trHeight w:val="220"/>
        </w:trPr>
        <w:tc>
          <w:tcPr>
            <w:tcW w:w="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facility</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133"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Included in the table above are certain facilities leased by the Company for which there is no acreage included in the lease. For these properties a “N/A” has been included in the “Acres” column.</w:t>
      </w:r>
    </w:p>
    <w:p>
      <w:pPr>
        <w:sectPr>
          <w:pgSz w:w="11880" w:h="15480" w:orient="portrait"/>
          <w:cols w:equalWidth="0" w:num="1">
            <w:col w:w="9120"/>
          </w:cols>
          <w:pgMar w:left="1380" w:top="1440" w:right="1380" w:bottom="53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20"/>
          </w:cols>
          <w:pgMar w:left="1380" w:top="1440" w:right="1380" w:bottom="534" w:gutter="0" w:footer="0" w:header="0"/>
          <w:type w:val="continuous"/>
        </w:sectPr>
      </w:pPr>
    </w:p>
    <w:bookmarkStart w:id="31" w:name="page32"/>
    <w:bookmarkEnd w:id="31"/>
    <w:p>
      <w:pPr>
        <w:spacing w:after="0" w:line="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properties listed above include our material warehouses, plants, and yards. We also have a network of sales offices, including our corporate headquarters in Pittsburgh, PA that we own or lease throughout the United States, Canada, Europe, China, and Brazil. The Company’s facilities are in good condition and suitable for the Company’s business as currently conducted and as currently planned to be conducted.</w:t>
      </w:r>
    </w:p>
    <w:p>
      <w:pPr>
        <w:spacing w:after="0" w:line="2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Information regarding the Company’s legal proceedings and other commitments and contingencies is set forth in Part II, Item 8, Financial Statements and Supplementary Data, Note 16 to the Consolidated Financial Statements, contained in this Annual Report on Form 10-K, which is incorporated by reference into this Item 3.</w:t>
      </w:r>
    </w:p>
    <w:p>
      <w:pPr>
        <w:spacing w:after="0" w:line="24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This item is not applicable to the Company.</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20"/>
          </w:cols>
          <w:pgMar w:left="1380" w:top="1440" w:right="1380" w:bottom="534"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32" w:lineRule="exact"/>
        <w:rPr>
          <w:sz w:val="20"/>
          <w:szCs w:val="20"/>
          <w:color w:val="auto"/>
        </w:rPr>
      </w:pPr>
    </w:p>
    <w:p>
      <w:pPr>
        <w:ind w:left="1040" w:right="20" w:hanging="1031"/>
        <w:spacing w:after="0" w:line="246"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in thousands, except share data unless otherwise noted)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Market Information</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had 315 common shareholders of record on February 27, 2026.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The Company’s common stock is traded on the Nasdaq Global Select Market under the symbol: FSTR.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During 2025 and 2024 the Company did not declare any quarterly dividends, however, there is potential for ordinary or special dividends in future years.</w:t>
      </w:r>
    </w:p>
    <w:p>
      <w:pPr>
        <w:spacing w:after="0" w:line="14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credit facility, as amended, permits it to pay dividends and distributions and to make redemptions with respect to its stock providing no event of default or potential default (as defined in the credit facility) has occurred prior to or after giving effect to the dividend, distribution, or redemption.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See Item 12 “Security Ownership of Certain Beneficial Owners and Management.”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40"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Company’s purchases of equity securities for the three months ended December 31, 2025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0"/>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5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160"/>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300" w:type="dxa"/>
            <w:vAlign w:val="bottom"/>
          </w:tcPr>
          <w:p>
            <w:pPr>
              <w:spacing w:after="0"/>
              <w:rPr>
                <w:sz w:val="13"/>
                <w:szCs w:val="13"/>
                <w:color w:val="auto"/>
              </w:rPr>
            </w:pPr>
          </w:p>
        </w:tc>
        <w:tc>
          <w:tcPr>
            <w:tcW w:w="144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5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of shares</w:t>
            </w:r>
          </w:p>
        </w:tc>
      </w:tr>
      <w:tr>
        <w:trPr>
          <w:trHeight w:val="160"/>
        </w:trPr>
        <w:tc>
          <w:tcPr>
            <w:tcW w:w="4040" w:type="dxa"/>
            <w:vAlign w:val="bottom"/>
          </w:tcPr>
          <w:p>
            <w:pPr>
              <w:spacing w:after="0"/>
              <w:rPr>
                <w:sz w:val="13"/>
                <w:szCs w:val="13"/>
                <w:color w:val="auto"/>
              </w:rPr>
            </w:pPr>
          </w:p>
        </w:tc>
        <w:tc>
          <w:tcPr>
            <w:tcW w:w="124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Total number</w:t>
            </w:r>
          </w:p>
        </w:tc>
        <w:tc>
          <w:tcPr>
            <w:tcW w:w="20" w:type="dxa"/>
            <w:vAlign w:val="bottom"/>
          </w:tcPr>
          <w:p>
            <w:pPr>
              <w:spacing w:after="0"/>
              <w:rPr>
                <w:sz w:val="13"/>
                <w:szCs w:val="13"/>
                <w:color w:val="auto"/>
              </w:rPr>
            </w:pPr>
          </w:p>
        </w:tc>
        <w:tc>
          <w:tcPr>
            <w:tcW w:w="56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price</w:t>
            </w:r>
          </w:p>
        </w:tc>
        <w:tc>
          <w:tcPr>
            <w:tcW w:w="300" w:type="dxa"/>
            <w:vAlign w:val="bottom"/>
          </w:tcPr>
          <w:p>
            <w:pPr>
              <w:spacing w:after="0"/>
              <w:rPr>
                <w:sz w:val="13"/>
                <w:szCs w:val="13"/>
                <w:color w:val="auto"/>
              </w:rPr>
            </w:pPr>
          </w:p>
        </w:tc>
        <w:tc>
          <w:tcPr>
            <w:tcW w:w="144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5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that may yet be</w:t>
            </w:r>
          </w:p>
        </w:tc>
      </w:tr>
      <w:tr>
        <w:trPr>
          <w:trHeight w:val="160"/>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5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paid per</w:t>
            </w:r>
          </w:p>
        </w:tc>
        <w:tc>
          <w:tcPr>
            <w:tcW w:w="300" w:type="dxa"/>
            <w:vAlign w:val="bottom"/>
          </w:tcPr>
          <w:p>
            <w:pPr>
              <w:spacing w:after="0"/>
              <w:rPr>
                <w:sz w:val="13"/>
                <w:szCs w:val="13"/>
                <w:color w:val="auto"/>
              </w:rPr>
            </w:pPr>
          </w:p>
        </w:tc>
        <w:tc>
          <w:tcPr>
            <w:tcW w:w="144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announced plans</w:t>
            </w:r>
          </w:p>
        </w:tc>
        <w:tc>
          <w:tcPr>
            <w:tcW w:w="15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purchased under</w:t>
            </w:r>
          </w:p>
        </w:tc>
      </w:tr>
      <w:tr>
        <w:trPr>
          <w:trHeight w:val="190"/>
        </w:trPr>
        <w:tc>
          <w:tcPr>
            <w:tcW w:w="4040" w:type="dxa"/>
            <w:vAlign w:val="bottom"/>
          </w:tcPr>
          <w:p>
            <w:pPr>
              <w:spacing w:after="0"/>
              <w:rPr>
                <w:sz w:val="16"/>
                <w:szCs w:val="16"/>
                <w:color w:val="auto"/>
              </w:rPr>
            </w:pPr>
          </w:p>
        </w:tc>
        <w:tc>
          <w:tcPr>
            <w:tcW w:w="94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purchased (a)</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rPr>
              <w:t>share</w:t>
            </w:r>
          </w:p>
        </w:tc>
        <w:tc>
          <w:tcPr>
            <w:tcW w:w="30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300" w:type="dxa"/>
            <w:vAlign w:val="bottom"/>
          </w:tcPr>
          <w:p>
            <w:pPr>
              <w:spacing w:after="0"/>
              <w:rPr>
                <w:sz w:val="16"/>
                <w:szCs w:val="16"/>
                <w:color w:val="auto"/>
              </w:rPr>
            </w:pPr>
          </w:p>
        </w:tc>
        <w:tc>
          <w:tcPr>
            <w:tcW w:w="152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32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2025 — October 31, 2025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72,156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$26.91</w:t>
            </w:r>
          </w:p>
        </w:tc>
        <w:tc>
          <w:tcPr>
            <w:tcW w:w="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72,057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$30,025</w:t>
            </w:r>
          </w:p>
        </w:tc>
        <w:tc>
          <w:tcPr>
            <w:tcW w:w="440" w:type="dxa"/>
            <w:vAlign w:val="bottom"/>
          </w:tcPr>
          <w:p>
            <w:pPr>
              <w:spacing w:after="0"/>
              <w:rPr>
                <w:sz w:val="24"/>
                <w:szCs w:val="24"/>
                <w:color w:val="auto"/>
              </w:rPr>
            </w:pPr>
          </w:p>
        </w:tc>
      </w:tr>
      <w:tr>
        <w:trPr>
          <w:trHeight w:val="28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2025 — November 30, 2025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49,258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27.16</w:t>
            </w:r>
          </w:p>
        </w:tc>
        <w:tc>
          <w:tcPr>
            <w:tcW w:w="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49,258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28,687</w:t>
            </w:r>
          </w:p>
        </w:tc>
        <w:tc>
          <w:tcPr>
            <w:tcW w:w="440" w:type="dxa"/>
            <w:vAlign w:val="bottom"/>
          </w:tcPr>
          <w:p>
            <w:pPr>
              <w:spacing w:after="0"/>
              <w:rPr>
                <w:sz w:val="24"/>
                <w:szCs w:val="24"/>
                <w:color w:val="auto"/>
              </w:rPr>
            </w:pPr>
          </w:p>
        </w:tc>
      </w:tr>
      <w:tr>
        <w:trPr>
          <w:trHeight w:val="28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December 1, 2025 — December 31, 2025  . . . .</w:t>
            </w:r>
          </w:p>
        </w:tc>
        <w:tc>
          <w:tcPr>
            <w:tcW w:w="1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28,687</w:t>
            </w:r>
          </w:p>
        </w:tc>
        <w:tc>
          <w:tcPr>
            <w:tcW w:w="440" w:type="dxa"/>
            <w:vAlign w:val="bottom"/>
          </w:tcPr>
          <w:p>
            <w:pPr>
              <w:spacing w:after="0"/>
              <w:rPr>
                <w:sz w:val="24"/>
                <w:szCs w:val="24"/>
                <w:color w:val="auto"/>
              </w:rPr>
            </w:pPr>
          </w:p>
        </w:tc>
      </w:tr>
      <w:tr>
        <w:trPr>
          <w:trHeight w:val="26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127,397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27.02</w:t>
            </w:r>
          </w:p>
        </w:tc>
        <w:tc>
          <w:tcPr>
            <w:tcW w:w="2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121,315</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28,687</w:t>
            </w:r>
          </w:p>
        </w:tc>
        <w:tc>
          <w:tcPr>
            <w:tcW w:w="440" w:type="dxa"/>
            <w:vAlign w:val="bottom"/>
          </w:tcPr>
          <w:p>
            <w:pPr>
              <w:spacing w:after="0"/>
              <w:rPr>
                <w:sz w:val="22"/>
                <w:szCs w:val="22"/>
                <w:color w:val="auto"/>
              </w:rPr>
            </w:pPr>
          </w:p>
        </w:tc>
      </w:tr>
      <w:tr>
        <w:trPr>
          <w:trHeight w:val="24"/>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During the current period, 6,082 shares were withheld by the Company to pay taxes upon vesting of stock.</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20"/>
          </w:cols>
          <w:pgMar w:left="1380" w:top="1432" w:right="1380" w:bottom="534" w:gutter="0" w:footer="0" w:header="0"/>
          <w:type w:val="continuous"/>
        </w:sectPr>
      </w:pPr>
    </w:p>
    <w:bookmarkStart w:id="33" w:name="page34"/>
    <w:bookmarkEnd w:id="33"/>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i w:val="1"/>
          <w:iCs w:val="1"/>
          <w:color w:val="auto"/>
        </w:rPr>
        <w:t>[RESERVED]</w:t>
      </w:r>
    </w:p>
    <w:p>
      <w:pPr>
        <w:spacing w:after="0" w:line="132" w:lineRule="exact"/>
        <w:rPr>
          <w:sz w:val="20"/>
          <w:szCs w:val="20"/>
          <w:color w:val="auto"/>
        </w:rPr>
      </w:pPr>
    </w:p>
    <w:p>
      <w:pPr>
        <w:ind w:left="1040" w:right="620" w:hanging="1031"/>
        <w:spacing w:after="0" w:line="246"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in thousands, except share data unless otherwise noted)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financial statements presented herein are prepared using accounting principles generally accepted in the United States of America (“US GAAP”). Throughout Management’s Discussion and Analysis of Financial Condition and Results of Operations (the “MD&amp;A”), we refer to measures used by management to evaluate performance. We also refer to a number of financial measures that are not defined under US GAAP, including Consolidated EBITDA (as defined in the Credit Agreement), funding capacity, new orders, net, and backlog. The explanation at the end of the MD&amp;A provides the definition of these non-GAAP financial measures. A reconciliation of funding capacity to its most directly comparable respective US GAAP financial measure is presented in the “Liquidity and Capital Resources” section below.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Line Exits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August 30, 2023, the Company announced the discontinuation of its Bridge Products grid deck product line (“Bridge Exit”) which was reported in the Steel Products business unit within the Infrastructure segment. The Bedford, PA based operations supporting the product line completed all customer obligations as of December 31, 2025. For the years ended December 31, 2025 and 2024, the product line had $1,637 and $3,700 in sales, respectively. The decision to exit the bridge grid deck product line was a result of a weak bridge grid deck market condition and outlook due to customer adoption of newer technologies replacing the grid deck solution.</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announced the discontinuation of its Automation and Materials Handling product line (the “AMH Exit”) which was reported in the Technology Services and Solutions business unit within the Rail segment. The decision to exit this product line was due to the Company’s initiatives to scale back businesses in the United Kingdom. The Company completed all remaining customer obligations in 2025. This product line had net sales of $1,843 and $5,230 for the years ended December 31, 2025 and 2024, respectively. The Company has incurred a total of $1,351 in exit costs associated with the AMH Exit, which included $615 in inventory write-offs, $40 in fixed asset write-offs, $507 in personnel expenses, and $189 in other exit costs. Exit costs of $1,085 were recorded in “Cost of goods sold” and $266 were recorded in “Selling and administrative expenses” within our Rail segment. The Company does not expect to incur additional material exit costs associated with the AMH Exit.</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20"/>
          </w:cols>
          <w:pgMar w:left="1380" w:top="1432" w:right="1380" w:bottom="534"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auto"/>
        </w:rPr>
        <w:t>Full Year Results Comparison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0"/>
        </w:trPr>
        <w:tc>
          <w:tcPr>
            <w:tcW w:w="6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1"/>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Pr>
          <w:p>
            <w:pPr>
              <w:spacing w:after="0"/>
              <w:rPr>
                <w:sz w:val="16"/>
                <w:szCs w:val="16"/>
                <w:color w:val="auto"/>
              </w:rPr>
            </w:pPr>
          </w:p>
        </w:tc>
      </w:tr>
      <w:tr>
        <w:trPr>
          <w:trHeight w:val="200"/>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32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 . . . . . . . . . . . . . . . . . . . . .</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540,009</w:t>
            </w: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530,765</w:t>
            </w:r>
          </w:p>
        </w:tc>
        <w:tc>
          <w:tcPr>
            <w:tcW w:w="300" w:type="dxa"/>
            <w:vAlign w:val="bottom"/>
          </w:tcPr>
          <w:p>
            <w:pPr>
              <w:spacing w:after="0"/>
              <w:rPr>
                <w:sz w:val="24"/>
                <w:szCs w:val="24"/>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9,244</w:t>
            </w: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84"/>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113,752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118,062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(4,310)</w:t>
            </w: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16"/>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margin . . . . . . . . . . . . . . . . . . . . . . . . . . . . . . . . . . .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21.1%</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7"/>
              </w:rPr>
              <w:t>(110) bps</w:t>
            </w:r>
          </w:p>
        </w:tc>
      </w:tr>
      <w:tr>
        <w:trPr>
          <w:trHeight w:val="280"/>
        </w:trPr>
        <w:tc>
          <w:tcPr>
            <w:tcW w:w="6020" w:type="dxa"/>
            <w:vAlign w:val="bottom"/>
          </w:tcPr>
          <w:p>
            <w:pPr>
              <w:jc w:val="right"/>
              <w:ind w:right="5100"/>
              <w:spacing w:after="0"/>
              <w:rPr>
                <w:sz w:val="20"/>
                <w:szCs w:val="20"/>
                <w:color w:val="auto"/>
              </w:rPr>
            </w:pPr>
            <w:r>
              <w:rPr>
                <w:rFonts w:ascii="Times New Roman" w:cs="Times New Roman" w:eastAsia="Times New Roman" w:hAnsi="Times New Roman"/>
                <w:sz w:val="20"/>
                <w:szCs w:val="20"/>
                <w:color w:val="auto"/>
                <w:w w:val="98"/>
              </w:rPr>
              <w:t>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Selling and administrative expenses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88,556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96,398</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(7,842)</w:t>
            </w:r>
          </w:p>
        </w:tc>
        <w:tc>
          <w:tcPr>
            <w:tcW w:w="300" w:type="dxa"/>
            <w:vAlign w:val="bottom"/>
          </w:tcPr>
          <w:p>
            <w:pPr>
              <w:spacing w:after="0"/>
              <w:rPr>
                <w:sz w:val="24"/>
                <w:szCs w:val="24"/>
                <w:color w:val="auto"/>
              </w:rPr>
            </w:pPr>
          </w:p>
        </w:tc>
      </w:tr>
      <w:tr>
        <w:trPr>
          <w:trHeight w:val="28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Selling and administrative expenses as a percent of sales  . . .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16.4%</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7"/>
              </w:rPr>
              <w:t>(180) bps</w:t>
            </w:r>
          </w:p>
        </w:tc>
      </w:tr>
      <w:tr>
        <w:trPr>
          <w:trHeight w:val="28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(Gain) on sale of former joint venture facility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4"/>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Amortization expense . . . . . . . . . . . . . . . . . . . . . . . . . . . . . . . . . . . . .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(1,317)</w:t>
            </w: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2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20,513</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16"/>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Operating income margin . . . . . . . . . . . . . . . . . . . . . . . . . . . .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20 bps</w:t>
            </w:r>
          </w:p>
        </w:tc>
      </w:tr>
      <w:tr>
        <w:trPr>
          <w:trHeight w:val="28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expense — net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4,992</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300" w:type="dxa"/>
            <w:vAlign w:val="bottom"/>
          </w:tcPr>
          <w:p>
            <w:pPr>
              <w:spacing w:after="0"/>
              <w:rPr>
                <w:sz w:val="24"/>
                <w:szCs w:val="24"/>
                <w:color w:val="auto"/>
              </w:rPr>
            </w:pPr>
          </w:p>
        </w:tc>
      </w:tr>
      <w:tr>
        <w:trPr>
          <w:trHeight w:val="284"/>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expense — net . . . . . . . . . . . . . . . . . . . . . . . . . . . . . . .</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(420)</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(1,496)</w:t>
            </w: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6"/>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14,445</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4"/>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(28,398)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6"/>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42,843</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6"/>
              </w:rPr>
              <w:t>(35,424)</w:t>
            </w:r>
          </w:p>
        </w:tc>
        <w:tc>
          <w:tcPr>
            <w:tcW w:w="300" w:type="dxa"/>
            <w:vAlign w:val="bottom"/>
          </w:tcPr>
          <w:p>
            <w:pPr>
              <w:spacing w:after="0"/>
              <w:rPr>
                <w:sz w:val="24"/>
                <w:szCs w:val="24"/>
                <w:color w:val="auto"/>
              </w:rPr>
            </w:pPr>
          </w:p>
        </w:tc>
      </w:tr>
      <w:tr>
        <w:trPr>
          <w:trHeight w:val="284"/>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loss attributable to noncontrolling interest . . . . . . . . . . . . . . . . . . .</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(126)</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2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income attributable to L.B. Foster Company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42,946</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6"/>
              </w:rPr>
              <w:t>(35,401)</w:t>
            </w:r>
          </w:p>
        </w:tc>
        <w:tc>
          <w:tcPr>
            <w:tcW w:w="300" w:type="dxa"/>
            <w:vAlign w:val="bottom"/>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20"/>
        </w:trPr>
        <w:tc>
          <w:tcPr>
            <w:tcW w:w="6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Diluted earnings per common share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69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89</w:t>
            </w:r>
          </w:p>
        </w:tc>
        <w:tc>
          <w:tcPr>
            <w:tcW w:w="3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(3.20)</w:t>
            </w:r>
          </w:p>
        </w:tc>
        <w:tc>
          <w:tcPr>
            <w:tcW w:w="300" w:type="dxa"/>
            <w:vAlign w:val="bottom"/>
          </w:tcPr>
          <w:p>
            <w:pPr>
              <w:spacing w:after="0"/>
              <w:rPr>
                <w:sz w:val="24"/>
                <w:szCs w:val="24"/>
                <w:color w:val="auto"/>
              </w:rPr>
            </w:pPr>
          </w:p>
        </w:tc>
      </w:tr>
      <w:tr>
        <w:trPr>
          <w:trHeight w:val="24"/>
        </w:trPr>
        <w:tc>
          <w:tcPr>
            <w:tcW w:w="60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2025 Compared to Fiscal 2024 — Company Analysis</w:t>
      </w:r>
    </w:p>
    <w:p>
      <w:pPr>
        <w:spacing w:after="0" w:line="119" w:lineRule="exact"/>
        <w:rPr>
          <w:sz w:val="20"/>
          <w:szCs w:val="20"/>
          <w:color w:val="auto"/>
        </w:rPr>
      </w:pPr>
    </w:p>
    <w:p>
      <w:pPr>
        <w:jc w:val="both"/>
        <w:ind w:right="200" w:firstLine="400"/>
        <w:spacing w:after="0" w:line="246" w:lineRule="auto"/>
        <w:rPr>
          <w:sz w:val="20"/>
          <w:szCs w:val="20"/>
          <w:color w:val="auto"/>
        </w:rPr>
      </w:pPr>
      <w:r>
        <w:rPr>
          <w:rFonts w:ascii="Times New Roman" w:cs="Times New Roman" w:eastAsia="Times New Roman" w:hAnsi="Times New Roman"/>
          <w:sz w:val="20"/>
          <w:szCs w:val="20"/>
          <w:color w:val="auto"/>
        </w:rPr>
        <w:t>Net sales for the year ended December 31, 2025 increased $9,244, or 1.7%, over the prior year. Infrastructure net sales improved $30,387, or 14.9%, over the prior year due to volume increases in both business units. Rail net sales declined $21,143, or 6.5% from the prior year due to softer demand for Rail Products in early 2025, as well as right-sizing activities and overall commercial weakness in the UK Rail business.</w:t>
      </w:r>
    </w:p>
    <w:p>
      <w:pPr>
        <w:spacing w:after="0" w:line="116" w:lineRule="exact"/>
        <w:rPr>
          <w:sz w:val="20"/>
          <w:szCs w:val="20"/>
          <w:color w:val="auto"/>
        </w:rPr>
      </w:pPr>
    </w:p>
    <w:p>
      <w:pPr>
        <w:jc w:val="both"/>
        <w:ind w:right="200" w:firstLine="400"/>
        <w:spacing w:after="0" w:line="249" w:lineRule="auto"/>
        <w:rPr>
          <w:sz w:val="20"/>
          <w:szCs w:val="20"/>
          <w:color w:val="auto"/>
        </w:rPr>
      </w:pPr>
      <w:r>
        <w:rPr>
          <w:rFonts w:ascii="Times New Roman" w:cs="Times New Roman" w:eastAsia="Times New Roman" w:hAnsi="Times New Roman"/>
          <w:sz w:val="20"/>
          <w:szCs w:val="20"/>
          <w:color w:val="auto"/>
        </w:rPr>
        <w:t>Gross profit for the year ended December 31, 2025 declined $4,310, or 3.7%, from the prior year, and gross profit margins declined 110 basis points to 21.1%. The decline in gross profit was driven by Rail which declined $10,139 primarily due to lower sales volumes and weakness in the UK Rail business coupled with lower volumes for Rail Products. Rail gross profit was also impacted in 2025 by $1,085 of AMH Exit costs and $953 of costs associated with restructuring actions taken in the fourth quarter related to the UK businesses. Infrastructure gross profit improved $5,829 due to improved volumes in both business units and favorable business mix in Steel Products, partially offset by increased manufacturing costs in the Precast Concrete business including $2,246 in start up costs associated with our new precast facility in Florida. The prior year gross profit included a $815 gain realized on a facility sale.</w:t>
      </w:r>
    </w:p>
    <w:p>
      <w:pPr>
        <w:spacing w:after="0" w:line="112" w:lineRule="exact"/>
        <w:rPr>
          <w:sz w:val="20"/>
          <w:szCs w:val="20"/>
          <w:color w:val="auto"/>
        </w:rPr>
      </w:pPr>
    </w:p>
    <w:p>
      <w:pPr>
        <w:jc w:val="both"/>
        <w:ind w:right="200" w:firstLine="400"/>
        <w:spacing w:after="0" w:line="247" w:lineRule="auto"/>
        <w:rPr>
          <w:sz w:val="20"/>
          <w:szCs w:val="20"/>
          <w:color w:val="auto"/>
        </w:rPr>
      </w:pPr>
      <w:r>
        <w:rPr>
          <w:rFonts w:ascii="Times New Roman" w:cs="Times New Roman" w:eastAsia="Times New Roman" w:hAnsi="Times New Roman"/>
          <w:sz w:val="20"/>
          <w:szCs w:val="20"/>
          <w:color w:val="auto"/>
        </w:rPr>
        <w:t>Selling and administrative expenses for the year ended December 31, 2025 decreased $7,842, or 8.1%, from the prior year. The decrease was primarily attributed to declines of $3,037 in personnel costs, $988 in travel and entertainment costs, $1,053 in insurance costs, $1,834 in professional services costs, and $1,173 in legal costs. These declines were offset in part by an increase of $243 in restructuring charges. Selling and administrative expenses as a percentage of net sales declined 180 basis points to 16.4% in 2025.</w:t>
      </w:r>
    </w:p>
    <w:p>
      <w:pPr>
        <w:spacing w:after="0" w:line="116" w:lineRule="exact"/>
        <w:rPr>
          <w:sz w:val="20"/>
          <w:szCs w:val="20"/>
          <w:color w:val="auto"/>
        </w:rPr>
      </w:pPr>
    </w:p>
    <w:p>
      <w:pPr>
        <w:jc w:val="both"/>
        <w:ind w:right="200" w:firstLine="400"/>
        <w:spacing w:after="0" w:line="239" w:lineRule="auto"/>
        <w:rPr>
          <w:sz w:val="20"/>
          <w:szCs w:val="20"/>
          <w:color w:val="auto"/>
        </w:rPr>
      </w:pPr>
      <w:r>
        <w:rPr>
          <w:rFonts w:ascii="Times New Roman" w:cs="Times New Roman" w:eastAsia="Times New Roman" w:hAnsi="Times New Roman"/>
          <w:sz w:val="20"/>
          <w:szCs w:val="20"/>
          <w:color w:val="auto"/>
        </w:rPr>
        <w:t>The $3,477 gain on sale of the former joint venture facility for the year ended December 31, 2024 was attributed to the Company’s facility and land in Magnolia, Texas.</w:t>
      </w:r>
    </w:p>
    <w:p>
      <w:pPr>
        <w:sectPr>
          <w:pgSz w:w="11880" w:h="15480" w:orient="portrait"/>
          <w:cols w:equalWidth="0" w:num="1">
            <w:col w:w="9320"/>
          </w:cols>
          <w:pgMar w:left="1380" w:top="1432" w:right="1180" w:bottom="534" w:gutter="0" w:footer="0" w:header="0"/>
        </w:sectPr>
      </w:pPr>
    </w:p>
    <w:p>
      <w:pPr>
        <w:spacing w:after="0" w:line="2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320"/>
          </w:cols>
          <w:pgMar w:left="1380" w:top="1432" w:right="1180" w:bottom="534" w:gutter="0" w:footer="0" w:header="0"/>
          <w:type w:val="continuous"/>
        </w:sectPr>
      </w:pPr>
    </w:p>
    <w:bookmarkStart w:id="35" w:name="page36"/>
    <w:bookmarkEnd w:id="35"/>
    <w:p>
      <w:pPr>
        <w:spacing w:after="0" w:line="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Amortization expense for the year ended December 31, 2025 decreased $1,317, or 28.5%, from the prior year due to acquired intangible assets becoming fully amortized during the year.</w:t>
      </w:r>
    </w:p>
    <w:p>
      <w:pPr>
        <w:spacing w:after="0" w:line="13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Other (income) expense — net was favorable by $1,496 compared to the prior year. Other expense — net for the year ended December 31, 2024 was primarily attributable to $1,722 of pension termination costs associated with the termination of the frozen L.B. Foster Company Merged Retirement Plan in the US.</w:t>
      </w:r>
    </w:p>
    <w:p>
      <w:pPr>
        <w:spacing w:after="0" w:line="12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effective income tax rate for 2025 was 57.4%, compared to (196.6)% in the prior year period. The Company’s 2025 effective income tax rate differed from the federal statutory rate of 21% primarily due to the impact of pre-tax losses in the United Kingdom, for which no income tax benefit was recognized due to a valuation allowance. The Company’s 2024 effective income tax rate differed from the federal statutory rate of 21% primarily due to the change in valuation allowance previously recorded against certain U.S. federal and state deferred tax assets. For further discussion on the valuation allowance, refer to Note 13 of the Notes to the Consolidated Financial Statements.</w:t>
      </w:r>
    </w:p>
    <w:p>
      <w:pPr>
        <w:spacing w:after="0" w:line="12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Net income attributable to the Company for the year ended December 31, 2025 was unfavorable by $35,401 from the prior year period. The change in net income attributable to the Company was due primarily to a $31,937 favorable tax valuation allowance adjustment in 2024 and a higher effective tax rate in 2025 largely driven by the impact of pre-tax losses in the United Kingdom, for which no income tax benefit was recognized due to a valuation allowance, partially offset by improved operating income for the year ended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Results of Operations — Segment Analysis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Rail, Technologies, and Services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0"/>
        </w:trPr>
        <w:tc>
          <w:tcPr>
            <w:tcW w:w="3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3"/>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00"/>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 vs. 2024</w:t>
            </w:r>
          </w:p>
        </w:tc>
      </w:tr>
      <w:tr>
        <w:trPr>
          <w:trHeight w:val="320"/>
        </w:trPr>
        <w:tc>
          <w:tcPr>
            <w:tcW w:w="39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305,726</w:t>
            </w: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326,869</w:t>
            </w:r>
          </w:p>
        </w:tc>
        <w:tc>
          <w:tcPr>
            <w:tcW w:w="300" w:type="dxa"/>
            <w:vAlign w:val="bottom"/>
          </w:tcPr>
          <w:p>
            <w:pPr>
              <w:spacing w:after="0"/>
              <w:rPr>
                <w:sz w:val="24"/>
                <w:szCs w:val="24"/>
                <w:color w:val="auto"/>
              </w:rPr>
            </w:pP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(21,143)</w:t>
            </w:r>
          </w:p>
        </w:tc>
        <w:tc>
          <w:tcPr>
            <w:tcW w:w="300" w:type="dxa"/>
            <w:vAlign w:val="bottom"/>
          </w:tcPr>
          <w:p>
            <w:pPr>
              <w:spacing w:after="0"/>
              <w:rPr>
                <w:sz w:val="24"/>
                <w:szCs w:val="24"/>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84"/>
        </w:trPr>
        <w:tc>
          <w:tcPr>
            <w:tcW w:w="39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62,330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72,469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(10,139)</w:t>
            </w:r>
          </w:p>
        </w:tc>
        <w:tc>
          <w:tcPr>
            <w:tcW w:w="30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(14.0)</w:t>
            </w: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6"/>
        </w:trPr>
        <w:tc>
          <w:tcPr>
            <w:tcW w:w="39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margin . . . . . . . . . . . .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20.4%</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(180) bps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(8.1)</w:t>
            </w:r>
          </w:p>
        </w:tc>
      </w:tr>
      <w:tr>
        <w:trPr>
          <w:trHeight w:val="284"/>
        </w:trPr>
        <w:tc>
          <w:tcPr>
            <w:tcW w:w="39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Segment operating income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(6,320)</w:t>
            </w:r>
          </w:p>
        </w:tc>
        <w:tc>
          <w:tcPr>
            <w:tcW w:w="30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(28.8)</w:t>
            </w: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16"/>
        </w:trPr>
        <w:tc>
          <w:tcPr>
            <w:tcW w:w="39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Segment operating income margin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(160) bps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(23.9)</w:t>
            </w:r>
          </w:p>
        </w:tc>
      </w:tr>
    </w:tbl>
    <w:p>
      <w:pPr>
        <w:spacing w:after="0" w:line="13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Rail net sales for the year ended December 31, 2025 decreased $21,143, or 6.5%, from the prior year. The decrease was primarily due to softer demand in the first half of the year for the Rail Products business unit which decreased $19,441, or 9.4%, from the prior year. Technology Services and Solutions net sales decreased $14,231, or 26.8%, due to right-sizing activities and overall commercial weakness in the UK Rail business. Global Friction Management net sales improved $12,529, or 19.0%, over the prior year due to improved demand in markets served.</w:t>
      </w:r>
    </w:p>
    <w:p>
      <w:pPr>
        <w:spacing w:after="0" w:line="12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Rail gross profit for the year ended December 31, 2025 decreased $10,139, or 14.0%, from the prior year and gross margins declined 180 basis points to 20.4%. The Rail Products business unit gross profit declined $2,561 due to lower volumes. The Technology Services and Solutions business unit gross profit declined $13,497 due to lower sales volumes, higher costs, unfavorable mix, and $1,085 of costs associated with the AMH Exit and $953 of costs associated with fourth quarter restructuring actions taken in the UK businesses. Partially offsetting these declines was an improvement in Global Friction Management gross profit of $5,919 over the prior year due to higher volumes and favorable mix.</w:t>
      </w:r>
    </w:p>
    <w:p>
      <w:pPr>
        <w:spacing w:after="0" w:line="12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Rail operating income for the year ended December 31, 2025 decreased $6,320, or 28.8%, from the prior year. The decrease was driven by the decline in gross profit, partially offset by decreases in selling and administrative expenses of $2,600 due to lower personnel costs and amortization expense of $1,219.</w:t>
      </w:r>
    </w:p>
    <w:p>
      <w:pPr>
        <w:spacing w:after="0" w:line="12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2025, Rail had new orders, net of $338,039, an increase of $29,645 over the prior year. The increase was due to a 45.5% improvement in the Technology Services and Solutions business unit due to a large, multi-year order received in the UK business, a 16.8% improvement in the Global Friction</w:t>
      </w:r>
    </w:p>
    <w:p>
      <w:pPr>
        <w:sectPr>
          <w:pgSz w:w="11880" w:h="15480" w:orient="portrait"/>
          <w:cols w:equalWidth="0" w:num="1">
            <w:col w:w="9120"/>
          </w:cols>
          <w:pgMar w:left="1380" w:top="1440" w:right="1380" w:bottom="534"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20"/>
          </w:cols>
          <w:pgMar w:left="1380" w:top="1440" w:right="1380" w:bottom="534" w:gutter="0" w:footer="0" w:header="0"/>
          <w:type w:val="continuous"/>
        </w:sectPr>
      </w:pPr>
    </w:p>
    <w:bookmarkStart w:id="36" w:name="page37"/>
    <w:bookmarkEnd w:id="36"/>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business unit, and a 0.7% improvement in the Rail Product business unit. Backlog as of December 31, 2025 was $96,980, an increase of $34,531, or 55.3%, over the prior year. The increase was due to a 114.0% improvement in the Technology Services and Solutions business unit, a 68.8% improvement in the Global Friction Management business unit, and a 29.5% improvement in the Rail Products business unit.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Infrastructure Solutions</w:t>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0"/>
        </w:trPr>
        <w:tc>
          <w:tcPr>
            <w:tcW w:w="3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3"/>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00"/>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2025 vs. 2024</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 vs. 2024</w:t>
            </w:r>
          </w:p>
        </w:tc>
      </w:tr>
      <w:tr>
        <w:trPr>
          <w:trHeight w:val="32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 .</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234,283</w:t>
            </w: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203,896</w:t>
            </w:r>
          </w:p>
        </w:tc>
        <w:tc>
          <w:tcPr>
            <w:tcW w:w="300" w:type="dxa"/>
            <w:vAlign w:val="bottom"/>
          </w:tcPr>
          <w:p>
            <w:pPr>
              <w:spacing w:after="0"/>
              <w:rPr>
                <w:sz w:val="24"/>
                <w:szCs w:val="24"/>
                <w:color w:val="auto"/>
              </w:rPr>
            </w:pP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30,387</w:t>
            </w:r>
          </w:p>
        </w:tc>
        <w:tc>
          <w:tcPr>
            <w:tcW w:w="2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14.9%</w:t>
            </w:r>
          </w:p>
        </w:tc>
      </w:tr>
      <w:tr>
        <w:trPr>
          <w:trHeight w:val="284"/>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51,422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45,593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8</w:t>
            </w:r>
          </w:p>
        </w:tc>
        <w:tc>
          <w:tcPr>
            <w:tcW w:w="2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6"/>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Gross profit margin . . . . . . . . . . . .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21.9%</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(50) bps</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(2.2)</w:t>
            </w:r>
          </w:p>
        </w:tc>
      </w:tr>
      <w:tr>
        <w:trPr>
          <w:trHeight w:val="284"/>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Segment operating income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r>
              <w:rPr>
                <w:rFonts w:ascii="Times New Roman" w:cs="Times New Roman" w:eastAsia="Times New Roman" w:hAnsi="Times New Roman"/>
                <w:sz w:val="20"/>
                <w:szCs w:val="20"/>
                <w:u w:val="single" w:color="auto"/>
                <w:color w:val="auto"/>
              </w:rPr>
              <w:t>4</w:t>
            </w:r>
          </w:p>
        </w:tc>
        <w:tc>
          <w:tcPr>
            <w:tcW w:w="2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6"/>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Segment operating income margin  . . . . . . .</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210 bps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280" w:type="dxa"/>
            <w:vAlign w:val="bottom"/>
          </w:tcPr>
          <w:p>
            <w:pPr>
              <w:spacing w:after="0"/>
              <w:rPr>
                <w:sz w:val="24"/>
                <w:szCs w:val="24"/>
                <w:color w:val="auto"/>
              </w:rPr>
            </w:pPr>
          </w:p>
        </w:tc>
      </w:tr>
    </w:tbl>
    <w:p>
      <w:pPr>
        <w:spacing w:after="0" w:line="15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Infrastructure net sales for the year ended December 31, 2025 increased $30,387, or 14.9%, over the prior year. The increase in net sales was attributable to the Precast Concrete Products business unit which increased $27,080, or 19.9%, over the prior year. The Steel Products business unit net sales also increased $3,307, or 4.9%, over the prior year due to improved demand in markets served.</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Infrastructure gross profit for the year ended December 31, 2025 increased $5,829, or 12.8%, over the prior year. Gross profit increased $2,025 in the Precast Concrete business unit due to higher volumes offset in part by higher manufacturing costs, including $2,246 of costs associated with the start up of our Florida precast facility in line with the Company’s strategic growth plan. Steel Products gross profit improved $3,804 over the prior year due to higher volumes and favorable business mix. Gross margins of 21.9% decreased 50 basis points from the prior year due to unfavorable sales mix and higher manufacturing costs in the Precast Concrete business unit. Gross profit for the year ended December 31, 2024 includes the $815 gain realized on a facility sale.</w:t>
      </w:r>
    </w:p>
    <w:p>
      <w:pPr>
        <w:spacing w:after="0" w:line="14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Infrastructure operating income for the year ended December 31, 2025 increased $6,412, or 68.4%, over the prior year which was primarily due to improvements in gross profit.</w:t>
      </w:r>
    </w:p>
    <w:p>
      <w:pPr>
        <w:spacing w:after="0" w:line="15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2025, Infrastructure had new orders, net of $202,880, an increase of $4,736 from the prior year. The increase was due to the Precast Concrete Products business unit which increased 12.9% over the prior year. Partially offsetting this increase was a decrease in the Steel Products business unit of</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22.8% from the prior year period due to order cancellations. Backlog as of December 31, 2025 was $92,358, a decrease of $31,102, or 25.2%, from the prior year due to order cancellations in the Steel Products business unit coupled with a decrease in the Precast Concrete Products business unit of 6.7%.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Corporate</w:t>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0"/>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5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Pr>
          <w:p>
            <w:pPr>
              <w:spacing w:after="0"/>
              <w:rPr>
                <w:sz w:val="16"/>
                <w:szCs w:val="16"/>
                <w:color w:val="auto"/>
              </w:rPr>
            </w:pPr>
          </w:p>
        </w:tc>
        <w:tc>
          <w:tcPr>
            <w:tcW w:w="9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200"/>
        </w:trPr>
        <w:tc>
          <w:tcPr>
            <w:tcW w:w="4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2025 vs. 2024</w:t>
            </w: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 vs. 2024</w:t>
            </w:r>
          </w:p>
        </w:tc>
      </w:tr>
      <w:tr>
        <w:trPr>
          <w:trHeight w:val="32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former joint venture facility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 (3,477)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$ 3,477</w:t>
            </w:r>
          </w:p>
        </w:tc>
        <w:tc>
          <w:tcPr>
            <w:tcW w:w="140" w:type="dxa"/>
            <w:vAlign w:val="bottom"/>
          </w:tcPr>
          <w:p>
            <w:pPr>
              <w:spacing w:after="0"/>
              <w:rPr>
                <w:sz w:val="24"/>
                <w:szCs w:val="24"/>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Public company costs . . . . . . . . . . . . . . . . . . . . . . . .</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4,395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3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(1,360)</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28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Corporate executive management costs . . . . . . . . . .</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2,130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5,726</w:t>
            </w:r>
          </w:p>
        </w:tc>
        <w:tc>
          <w:tcPr>
            <w:tcW w:w="3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(3,596)</w:t>
            </w: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(62.8)</w:t>
            </w:r>
          </w:p>
        </w:tc>
      </w:tr>
      <w:tr>
        <w:trPr>
          <w:trHeight w:val="28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Corporate management stock-based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0"/>
        </w:trPr>
        <w:tc>
          <w:tcPr>
            <w:tcW w:w="44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compensation . . . . . . . . . . . . . . . . . . . . . . . . . . . . .</w:t>
            </w:r>
          </w:p>
        </w:tc>
        <w:tc>
          <w:tcPr>
            <w:tcW w:w="100" w:type="dxa"/>
            <w:vAlign w:val="bottom"/>
          </w:tcPr>
          <w:p>
            <w:pPr>
              <w:spacing w:after="0"/>
              <w:rPr>
                <w:sz w:val="19"/>
                <w:szCs w:val="19"/>
                <w:color w:val="auto"/>
              </w:rPr>
            </w:pPr>
          </w:p>
        </w:tc>
        <w:tc>
          <w:tcPr>
            <w:tcW w:w="4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3"/>
              </w:rPr>
              <w:t>2,864</w:t>
            </w: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2,065</w:t>
            </w:r>
          </w:p>
        </w:tc>
        <w:tc>
          <w:tcPr>
            <w:tcW w:w="300" w:type="dxa"/>
            <w:vAlign w:val="bottom"/>
          </w:tcPr>
          <w:p>
            <w:pPr>
              <w:spacing w:after="0"/>
              <w:rPr>
                <w:sz w:val="19"/>
                <w:szCs w:val="19"/>
                <w:color w:val="auto"/>
              </w:rPr>
            </w:pPr>
          </w:p>
        </w:tc>
        <w:tc>
          <w:tcPr>
            <w:tcW w:w="7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799</w:t>
            </w:r>
          </w:p>
        </w:tc>
        <w:tc>
          <w:tcPr>
            <w:tcW w:w="140" w:type="dxa"/>
            <w:vAlign w:val="bottom"/>
          </w:tcPr>
          <w:p>
            <w:pPr>
              <w:spacing w:after="0"/>
              <w:rPr>
                <w:sz w:val="19"/>
                <w:szCs w:val="19"/>
                <w:color w:val="auto"/>
              </w:rPr>
            </w:pPr>
          </w:p>
        </w:tc>
        <w:tc>
          <w:tcPr>
            <w:tcW w:w="96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38.7</w:t>
            </w:r>
          </w:p>
        </w:tc>
        <w:tc>
          <w:tcPr>
            <w:tcW w:w="240" w:type="dxa"/>
            <w:vAlign w:val="bottom"/>
          </w:tcPr>
          <w:p>
            <w:pPr>
              <w:spacing w:after="0"/>
              <w:rPr>
                <w:sz w:val="19"/>
                <w:szCs w:val="19"/>
                <w:color w:val="auto"/>
              </w:rPr>
            </w:pPr>
          </w:p>
        </w:tc>
      </w:tr>
      <w:tr>
        <w:trPr>
          <w:trHeight w:val="284"/>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(600)</w:t>
            </w: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(85.1)</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2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Unallocated corporate expense — net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9,494</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10,774</w:t>
            </w:r>
          </w:p>
        </w:tc>
        <w:tc>
          <w:tcPr>
            <w:tcW w:w="3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(1,280)</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4"/>
        </w:trPr>
        <w:tc>
          <w:tcPr>
            <w:tcW w:w="44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Results of this calculation not meaningful.</w:t>
      </w:r>
    </w:p>
    <w:p>
      <w:pPr>
        <w:sectPr>
          <w:pgSz w:w="11880" w:h="15480" w:orient="portrait"/>
          <w:cols w:equalWidth="0" w:num="1">
            <w:col w:w="9120"/>
          </w:cols>
          <w:pgMar w:left="1380" w:top="1440" w:right="1380" w:bottom="53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20"/>
          </w:cols>
          <w:pgMar w:left="1380" w:top="1440" w:right="1380" w:bottom="534" w:gutter="0" w:footer="0" w:header="0"/>
          <w:type w:val="continuous"/>
        </w:sectPr>
      </w:pPr>
    </w:p>
    <w:bookmarkStart w:id="37" w:name="page38"/>
    <w:bookmarkEnd w:id="37"/>
    <w:p>
      <w:pPr>
        <w:spacing w:after="0" w:line="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Unallocated corporate expenses — net for the year ended December 31, 2025 was $9,494 compared to the year ended December 31, 2024 which was $10,774. The decrease was primarily due to a decline in corporate executive management costs of $3,596 due to a decrease in legal fees, professional service expenditures, travel and insurance costs. The decline was offset in part by the $3,477 gain on the sale of the former joint venture facility in Magnolia, Texas in the year ended December 31, 2024.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w:t>
      </w:r>
    </w:p>
    <w:p>
      <w:pPr>
        <w:spacing w:after="0" w:line="15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announced a restructuring program aligned with its strategy to reduce costs within the UK-based Technology Services and Solutions businesses within the Rail segment. The restructuring action has been completed as of December 31, 2025. The Company has incurred a total of $2,184 in restructuring and other costs associated with this program, which includes $695 in inventory write-offs, $95 in fixed asset write-offs, $524 in personnel expenses, $717 in lease termination costs, and $153 in other costs. Costs of $780 were recorded in “Cost of services sold,” $173 were recorded in “Cost of goods sold,” and $1,231 were recorded in “Selling and administrative expenses” within our Rail segment. The Company does not expect to incur additional material costs associated with this program.</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August 2024, the Company announced an enterprise restructuring program aligned with its strategy to reduce costs and enable investment in its growth platforms. The restructuring action has been completed as of December 31, 2024. For the year ended December 31, 2024, the Company incurred $1,456 of restructuring expense, related primarily to severance costs. Of the total restructuring costs, $245 was recorded in “Cost of goods sold” and $1,211 was reported in “Selling and administrative expense.” By business segment, the Company incurred $1,134 of restructuring costs in Rail, $113 in Infrastructure, and $209 in Corporate.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5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principal sources of liquidity are its existing cash and cash equivalents, cash generated by operations, and the available capacity under its revolving credit facility, which provides for a total commitment of up to $150,000, of which $106,930 was available for borrowing as of December 31, 2025, subject to covenant restrictions. The Company’s primary needs for liquidity relate to working capital requirements for operations, capital expenditures, debt service obligations, tax obligations, outstanding purchase obligations, acquisitions, restructuring payments, and to support share repurchase programs. The Company’s total debt, including finance leases, was $42,756 and $46,940 as of December 31, 2025 and December 31, 2024, respectively, and was primarily comprised of borrowings under its revolving credit facility.</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reflects available funding capacity as of December 31, 2025:</w:t>
      </w:r>
    </w:p>
    <w:p>
      <w:pPr>
        <w:spacing w:after="0" w:line="9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4394200</wp:posOffset>
                </wp:positionH>
                <wp:positionV relativeFrom="paragraph">
                  <wp:posOffset>12700</wp:posOffset>
                </wp:positionV>
                <wp:extent cx="11430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pt,1pt" to="436pt,1pt" o:allowincell="f" strokecolor="#000000" strokeweight="0.5pt"/>
            </w:pict>
          </mc:Fallback>
        </mc:AlternateContent>
      </w:r>
    </w:p>
    <w:p>
      <w:pPr>
        <w:spacing w:after="0" w:line="9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4,348</w:t>
            </w: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Credit agreement:</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availability under the credit agreement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$150,000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borrowings on revolving credit facility  . . .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(42,194)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Letters of credit outstanding . . . . . . . . . . . . . . . . . . . . . .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(876)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availability under the revolving credit facility . . . . . . . . . . . . . . . . . . . . . . .</w:t>
            </w: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106,930</w:t>
            </w:r>
          </w:p>
        </w:tc>
      </w:tr>
      <w:tr>
        <w:trPr>
          <w:trHeight w:val="32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 funding capacity . . . . . . . . . . . . . . . . . . . . . . . . . . . . . . . . . . .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111,278</w:t>
            </w:r>
          </w:p>
        </w:tc>
      </w:tr>
      <w:tr>
        <w:trPr>
          <w:trHeight w:val="24"/>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r>
    </w:tbl>
    <w:p>
      <w:pPr>
        <w:spacing w:after="0" w:line="19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2025, the Company was in compliance with all covenants of the Credit Agreement and has $111,278 available funding capacity, subject to covenant restrictions.</w:t>
      </w:r>
    </w:p>
    <w:p>
      <w:pPr>
        <w:spacing w:after="0" w:line="15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Company’s operating cash flows are impacted from period to period by fluctuations in working capital, as well as its overall profitability. While the Company places an emphasis on working capital management in its operations, factors such as business mix, commercial terms, and market conditions as well as seasonality may impact working capital. The Company regularly assesses its receivables and contract assets for collectability and</w:t>
      </w:r>
    </w:p>
    <w:p>
      <w:pPr>
        <w:sectPr>
          <w:pgSz w:w="11880" w:h="15480" w:orient="portrait"/>
          <w:cols w:equalWidth="0" w:num="1">
            <w:col w:w="9120"/>
          </w:cols>
          <w:pgMar w:left="1380" w:top="1440" w:right="1380" w:bottom="534"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20"/>
          </w:cols>
          <w:pgMar w:left="1380" w:top="1440" w:right="1380" w:bottom="534" w:gutter="0" w:footer="0" w:header="0"/>
          <w:type w:val="continuous"/>
        </w:sectPr>
      </w:pPr>
    </w:p>
    <w:bookmarkStart w:id="38" w:name="page39"/>
    <w:bookmarkEnd w:id="38"/>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realization, and provides allowances for credit losses where appropriate. The Company believes that its reserves for credit losses are appropriate as of December 31, 2025,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change in cash and cash equivalents for the years ended December 31, 2025 and 2024 was as follows:</w:t>
      </w:r>
    </w:p>
    <w:p>
      <w:pPr>
        <w:spacing w:after="0" w:line="8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38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4436110</wp:posOffset>
                </wp:positionH>
                <wp:positionV relativeFrom="paragraph">
                  <wp:posOffset>13335</wp:posOffset>
                </wp:positionV>
                <wp:extent cx="110109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10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3pt,1.05pt" to="436pt,1.05pt" o:allowincell="f" strokecolor="#000000" strokeweight="0.5pt"/>
            </w:pict>
          </mc:Fallback>
        </mc:AlternateConten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32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22,632</w:t>
            </w:r>
          </w:p>
        </w:tc>
        <w:tc>
          <w:tcPr>
            <w:tcW w:w="60" w:type="dxa"/>
            <w:vAlign w:val="bottom"/>
          </w:tcPr>
          <w:p>
            <w:pPr>
              <w:spacing w:after="0"/>
              <w:rPr>
                <w:sz w:val="24"/>
                <w:szCs w:val="24"/>
                <w:color w:val="auto"/>
              </w:rPr>
            </w:pPr>
          </w:p>
        </w:tc>
      </w:tr>
      <w:tr>
        <w:trPr>
          <w:trHeight w:val="28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(10,373)</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(6,312)</w:t>
            </w:r>
          </w:p>
        </w:tc>
      </w:tr>
      <w:tr>
        <w:trPr>
          <w:trHeight w:val="28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(23,539)</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(16,231)</w:t>
            </w: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4"/>
        </w:trPr>
        <w:tc>
          <w:tcPr>
            <w:tcW w:w="65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Flows from Operating Activities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net cash provided by operating activities was $35,619, compared to $22,632 during the prior year. During 2025, cash flow provided by operating activities consisted of net income and non-cash items amounting to $34,678 and changes in certain assets and liabilities netting to a cash inflow of $941. In 2024, cash flow provided by operating activities consisted of net income and non-cash items amounting to $27,195 and changes in certain assets and liabilities netting to a cash outflow of $4,563.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Flows from Investing Activities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had capital expenditures of $10,424, a $633 increase over 2024. Capital expenditures in both periods primarily relate to general plant and operational improvements throughout the Company, as well as organic growth initiatives, including investments in our new Precast Concrete facility in Lake County, Florida. In 2024, the Company sold the facility and land of its former joint venture in Magnolia, Texas and fixed assets associated with the Bridge Exit generating cash inflow of $3,895.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Flows from Financing Activities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had a decrease in outstanding debt of $5,540 compared to a $7,994 decrease during the year ended December 31, 2024. Additionally, debt issuance costs of $706 were incurred during the year ended December 31, 2025 related to the June 27, 2025 Fifth Amended and Restated Credit Agreement. During the year ended December 31, 2025, the Company also made a $782 deferred payment related to the June 2022 acquisition of Skratch Enterprise Ltd. This payment was deferred at the date of the acquisition in accordance with the purchase agreement and was made during the second quarter of 2025.</w:t>
      </w:r>
    </w:p>
    <w:p>
      <w:pPr>
        <w:spacing w:after="0" w:line="1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Board of Directors previously authorized the repurchase of up to $15,000 of the Company’s common shares until February 2025, pursuant to the terms of the previously disclosed stock repurchase program adopted March 3, 2023, as amended August 5, 2024. During the first quarter of 2025, the Company repurchased 113,169 shares for $3,123 under this program through February 2025. Since the program’s inception and continuing through February 2025, the Company repurchased a total of 547,679 shares of its stock for $12,241 under the program.</w:t>
      </w:r>
    </w:p>
    <w:p>
      <w:pPr>
        <w:spacing w:after="0" w:line="13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On March 3, 2025, the Company’s Board of Directors approved a new authorization to repurchase up to $40,000 of the Company’s common stock in open market transactions and/or 10b5-1 trading plans through February 29, 2028. As of December 31, 2025, the Company repurchased 469,220 shares of its stock for $11,313 under this program.</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120"/>
          </w:cols>
          <w:pgMar w:left="1380" w:top="1440" w:right="1380" w:bottom="534" w:gutter="0" w:footer="0" w:header="0"/>
          <w:type w:val="continuous"/>
        </w:sectPr>
      </w:pPr>
    </w:p>
    <w:bookmarkStart w:id="39" w:name="page40"/>
    <w:bookmarkEnd w:id="39"/>
    <w:p>
      <w:pPr>
        <w:spacing w:after="0" w:line="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Under both programs, the Company repurchased a total of 582,389 shares for $14,436 during the year ended December 31, 2025. From February 2023 through December 31, 2025, the Company repurchased a total of 1,016,899 shares of its stock for $23,554 under both programs.</w:t>
      </w:r>
    </w:p>
    <w:p>
      <w:pPr>
        <w:spacing w:after="0" w:line="1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Condition</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$4,348 in cash and cash equivalents and $106,930 of availability under its revolving credit facility, subject to covenant restrictions. As of December 31, 2025, approximately $4,029 of the Company’s cash and cash equivalents were held in non-domestic bank accounts.</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principal uses of cash in recent years have been to fund its operations, including capital expenditures, repurchase of shares, acquisitions, funding the now complete UPRR Settlement Agreement, and service indebtedness as discussed further under Part II, Item 8, Financial Statements and Supplementary Data, Note 16 to the Condensed Consolidated Financial Statements. The Company views its short and long-term liquidity as being dependent on its results of operations, changes in working capital needs, and its borrowing capacity.</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refer to Part II, Item 8, Financial Statements and Supplementary Data, Note 9 to the Consolidated Financial Statements contained in this Annual Report on Form 10-K, which is incorporated by reference into this Item 7.</w:t>
      </w:r>
    </w:p>
    <w:p>
      <w:pPr>
        <w:spacing w:after="0" w:line="13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To reduce the impact of interest rate changes on outstanding variable-rate debt, the Company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 The August 12, 2022 interest rate swap expired on March 1, 2025. The August 31, 2022 interest rate swap expires on August 13, 2026.</w:t>
      </w:r>
    </w:p>
    <w:p>
      <w:pPr>
        <w:spacing w:after="0" w:line="13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believes that the combination of its cash and cash equivalents, cash generated from operations, and the capacity under its revolving credit facility will provide sufficient liquidity to provide the flexibility to operate the business in a prudent manner, continue to service outstanding debt, repurchase shares and to selectively pursue accretive acquisitions to further the Company’s strategic initiatives.</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20"/>
          </w:cols>
          <w:pgMar w:left="1380" w:top="1440" w:right="1380" w:bottom="534"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2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Although backlog is not necessarily indicative of future operating results, the following table provides the backlog by business segment:</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6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Rail, Technologies, and Services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62,449</w:t>
            </w:r>
          </w:p>
        </w:tc>
      </w:tr>
      <w:tr>
        <w:trPr>
          <w:trHeight w:val="284"/>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Infrastructure Solutions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92,358</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123,460</w:t>
            </w:r>
          </w:p>
        </w:tc>
      </w:tr>
      <w:tr>
        <w:trPr>
          <w:trHeight w:val="32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Total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189,338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185,909</w:t>
            </w:r>
          </w:p>
        </w:tc>
      </w:tr>
      <w:tr>
        <w:trPr>
          <w:trHeight w:val="24"/>
        </w:trPr>
        <w:tc>
          <w:tcPr>
            <w:tcW w:w="65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r>
    </w:tbl>
    <w:p>
      <w:pPr>
        <w:spacing w:after="0" w:line="17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While a considerable portion of the Company’s business is backlog driven, certain businesses, including the Global Friction Management business unit, are not driven by backlog and therefore have insignificant levels of backlog throughout the year. Backlog increased $3,429 due to increases in the Rail segment.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US GAAP. The preparation of the Consolidated Financial Statements requires management to make estimates and judgments that affect the reported amount of assets, liabilities, revenues, and expenses, and the related disclosure of contingent assets and liabilities. The following critical accounting estimates, which are reviewed by the Company’s Audit Committee of the Board of Directors, are those management believes are the most critical to understand and evaluate our financial condition and results and require subjective or complex judgments. Actual results could differ from those estimates.</w:t>
      </w:r>
    </w:p>
    <w:p>
      <w:pPr>
        <w:spacing w:after="0" w:line="12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a summary of the Company’s significant accounting policies, see Part II, Item 8, Financial Statements and Supplementary Data, Note 1 to the Consolidated Financial Statements, which is incorporated by reference into this Item 7.</w:t>
      </w:r>
    </w:p>
    <w:p>
      <w:pPr>
        <w:spacing w:after="0" w:line="11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Income Taxes — </w:t>
      </w:r>
      <w:r>
        <w:rPr>
          <w:rFonts w:ascii="Times New Roman" w:cs="Times New Roman" w:eastAsia="Times New Roman" w:hAnsi="Times New Roman"/>
          <w:sz w:val="20"/>
          <w:szCs w:val="20"/>
          <w:color w:val="auto"/>
        </w:rPr>
        <w:t>The recognition of deferred tax assets requires management to make judgments regarding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future realization of these assets. As prescribed by the Financial Accounting Standards Board’s (“FASB”) Accounting Standards Codification (“ASC”) 740, “Income Taxes,” valuation allowances must be provided for those deferred tax assets for which it is more likely than not (a likelihood of more than 50%) that some portion or all of the deferred tax assets will not be realized. This guidance requires management to evaluate positive and negative evidence regarding the recoverability of deferred tax assets. The determination of whether the positive evidence outweighs the negative evidence and quantification of the valuation allowance requires management to make estimates and judgments of future financial results.</w:t>
      </w:r>
    </w:p>
    <w:p>
      <w:pPr>
        <w:spacing w:after="0" w:line="1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other assumptions. Actual results could differ from those estimates upon subsequent resolution of identified matters.</w:t>
      </w:r>
    </w:p>
    <w:p>
      <w:pPr>
        <w:spacing w:after="0" w:line="12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income tax rate is significantly affected by the tax rate on global operations. In addition to local country tax laws and regulations, this rate depends on the extent earnings are indefinitely reinvested outside of the US. Indefinite reinvestment is determined by management’s judgment about and intentions concerning the future operations of the Company. There have been no material changes in the underlying assumptions and estimates used in these calculations in the relevant period.</w:t>
      </w:r>
    </w:p>
    <w:p>
      <w:pPr>
        <w:spacing w:after="0" w:line="126" w:lineRule="exact"/>
        <w:rPr>
          <w:sz w:val="20"/>
          <w:szCs w:val="20"/>
          <w:color w:val="auto"/>
        </w:rPr>
      </w:pPr>
    </w:p>
    <w:p>
      <w:pPr>
        <w:jc w:val="both"/>
        <w:ind w:firstLine="400"/>
        <w:spacing w:after="0" w:line="264" w:lineRule="auto"/>
        <w:rPr>
          <w:sz w:val="20"/>
          <w:szCs w:val="20"/>
          <w:color w:val="auto"/>
        </w:rPr>
      </w:pPr>
      <w:r>
        <w:rPr>
          <w:rFonts w:ascii="Times New Roman" w:cs="Times New Roman" w:eastAsia="Times New Roman" w:hAnsi="Times New Roman"/>
          <w:sz w:val="19"/>
          <w:szCs w:val="19"/>
          <w:color w:val="auto"/>
        </w:rPr>
        <w:t>Refer to Part II, Item 8, Financial Statements and Supplementary Data, Note 13 which is incorporated by reference into this Item 7, for additional information regarding the Company’s deferred tax assets. The Company’s ability to realize these tax benefits may affect the Company’s reported income tax expense and net income.</w:t>
      </w:r>
    </w:p>
    <w:p>
      <w:pPr>
        <w:sectPr>
          <w:pgSz w:w="11880" w:h="15480" w:orient="portrait"/>
          <w:cols w:equalWidth="0" w:num="1">
            <w:col w:w="9120"/>
          </w:cols>
          <w:pgMar w:left="1380" w:top="1432" w:right="1380" w:bottom="534"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20"/>
          </w:cols>
          <w:pgMar w:left="1380" w:top="1432" w:right="1380" w:bottom="534" w:gutter="0" w:footer="0" w:header="0"/>
          <w:type w:val="continuous"/>
        </w:sectPr>
      </w:pPr>
    </w:p>
    <w:bookmarkStart w:id="41" w:name="page42"/>
    <w:bookmarkEnd w:id="41"/>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Revenue Recognition — </w:t>
      </w:r>
      <w:r>
        <w:rPr>
          <w:rFonts w:ascii="Times New Roman" w:cs="Times New Roman" w:eastAsia="Times New Roman" w:hAnsi="Times New Roman"/>
          <w:sz w:val="20"/>
          <w:szCs w:val="20"/>
          <w:color w:val="auto"/>
        </w:rPr>
        <w:t>Refer to Part II, Item 8, Financial Statements and Supplementary Data, Note 1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Note 3 which is incorporated by reference into this Item 7, for a complete discussion of our revenue recognition policies. The Company derives revenue from products and services provided under long-term agreements with its customers. The Company’s performance obligations under long-term agreements with its customers are generally satisfied over time.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project execution. The nature of these long-term agreements may give rise to several types of variable consideration, such as discounts and claims.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anticipated revenue from existing contracts.</w:t>
      </w:r>
    </w:p>
    <w:p>
      <w:pPr>
        <w:spacing w:after="0" w:line="130"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Goodwill — </w:t>
      </w:r>
      <w:r>
        <w:rPr>
          <w:rFonts w:ascii="Times New Roman" w:cs="Times New Roman" w:eastAsia="Times New Roman" w:hAnsi="Times New Roman"/>
          <w:sz w:val="20"/>
          <w:szCs w:val="20"/>
          <w:color w:val="auto"/>
        </w:rPr>
        <w:t>We evaluate goodwill for impairment annually during the fourth quarter, or whenever events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changes in circumstances indicate that it is more likely than not that the fair value of a reporting unit is less than its carrying amount.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an impairment to goodwill of the reporting unit. The Company uses a discounted cash flow method to determine the fair values of the reporting units.</w:t>
      </w:r>
    </w:p>
    <w:p>
      <w:pPr>
        <w:spacing w:after="0" w:line="13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 number of significant assumptions and estimates are involved in the estimation of the fair value of reporting units, including the identification of macroeconomic conditions, industry and market considerations, cost factors, overall financial performance, which may drive changes to future operating cash flows and market participant assumptions. The estimated fair value of a reporting unit is sensitive to changes in assumptions, including forecasted future operating cash flows, weighted-average cost of capital, terminal growth rates, and industry multiples.</w:t>
      </w:r>
    </w:p>
    <w:p>
      <w:pPr>
        <w:spacing w:after="0" w:line="1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considers historical experience and available information at the time the fair values of its reporting units are estimated. The Company believes the estimates and assumptions used in estimating the fair value of its reporting units are reasonable and appropriate; however, different assumptions and estimates could materially impact the estimated fair value of its reporting units and the resulting determinations about goodwill impairment. This could materially impact the Company’s Consolidated Statements of Operations and Consolidated Balance Sheets. There have been no material changes in the underlying assumptions and estimates used in these calculations in the relevant period. Future estimates may differ materially from current estimates and assumptions.</w:t>
      </w:r>
    </w:p>
    <w:p>
      <w:pPr>
        <w:spacing w:after="0" w:line="13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ectPr>
          <w:pgSz w:w="11880" w:h="15480" w:orient="portrait"/>
          <w:cols w:equalWidth="0" w:num="1">
            <w:col w:w="9120"/>
          </w:cols>
          <w:pgMar w:left="1380" w:top="1434" w:right="1380" w:bottom="53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20"/>
          </w:cols>
          <w:pgMar w:left="1380" w:top="1434" w:right="1380" w:bottom="534" w:gutter="0" w:footer="0" w:header="0"/>
          <w:type w:val="continuous"/>
        </w:sectPr>
      </w:pPr>
    </w:p>
    <w:bookmarkStart w:id="42" w:name="page43"/>
    <w:bookmarkEnd w:id="42"/>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Intangible Assets and Long-Lived Assets — </w:t>
      </w:r>
      <w:r>
        <w:rPr>
          <w:rFonts w:ascii="Times New Roman" w:cs="Times New Roman" w:eastAsia="Times New Roman" w:hAnsi="Times New Roman"/>
          <w:sz w:val="20"/>
          <w:szCs w:val="20"/>
          <w:color w:val="auto"/>
        </w:rPr>
        <w:t>The Company tests intangible assets and long-lived assets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impairment whenever events or changes in circumstances indicate that the carrying value of an asset or asset group may not be recoverable. Recoverability of assets is determined by comparing the estimated undiscounted future cash flows of the asset or asset group to their carrying amount. If the carrying value of the assets exceeds their estimated undiscounted future cash flows, an impairment loss would be determined as the difference between the fair value of the assets and its carrying value. Typically, the fair value of the assets would be determined using a discounted cash flow model which would be sensitive to judgments of what constitutes an asset group and certain assumptions such as estimated future financial performance, discount rates, and other assumptions that marketplace participants would use in their estimates of fair value. There have been no material changes in the underlying assumptions and estimates used in these calculations in the relevant period. The accounting estimate related to asset impairments is highly susceptible to change from period to period because it requires management to make assumptions about the existence of impairment indicators and cash flows over future years. These assumptions impact the amount of an impairment, which could materially adversely impact the Consolidated Statements of Operations.</w:t>
      </w:r>
    </w:p>
    <w:p>
      <w:pPr>
        <w:spacing w:after="0" w:line="13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Additional information concerning the impairments is set forth in Part II, Item 8, Financial Statements and Supplementary Data, Note 4 to the Consolidated Financial Statements included herein, which is incorporated by reference into this Item 7.</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accordance with SEC rules, the Company provides descriptions of the non-GAAP financial measures included in this Annual Report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13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views funding capacity, which is the net availability under the revolving credit agreement plus cash and cash equivalents, as an important metric as it demonstrates the borrowing capacity of the Company.</w:t>
      </w:r>
    </w:p>
    <w:p>
      <w:pPr>
        <w:spacing w:after="0" w:line="36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spacing w:after="0" w:line="13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Non-GAAP financial measures are not a substitute for GAAP financial results and should only be considered in conjunction with the Company’s financial information that is presented in accordance with GAAP. Quantitative reconciliations of funding capacity to the non-GAAP financial measures are presented in this Item 7.</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This item is not applicable to a smaller reporting company.</w:t>
      </w:r>
    </w:p>
    <w:p>
      <w:pPr>
        <w:sectPr>
          <w:pgSz w:w="11880" w:h="15480" w:orient="portrait"/>
          <w:cols w:equalWidth="0" w:num="1">
            <w:col w:w="9120"/>
          </w:cols>
          <w:pgMar w:left="1380" w:top="1434" w:right="1380" w:bottom="53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20"/>
          </w:cols>
          <w:pgMar w:left="1380" w:top="1434" w:right="1380" w:bottom="534" w:gutter="0" w:footer="0" w:header="0"/>
          <w:type w:val="continuous"/>
        </w:sectPr>
      </w:pPr>
    </w:p>
    <w:bookmarkStart w:id="43" w:name="page44"/>
    <w:bookmarkEnd w:id="43"/>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13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L.B. Foster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L.B. Foster Company and subsidiaries (the Company) as of December 31, 2025 and 2024, the related consolidated statements of operations, comprehensive income, stockholders’ equity and cash flows for each of the two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(2013 framework), and our report dated March 5, 2026 expressed an unqualified opinion thereon.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w:t>
      </w:r>
    </w:p>
    <w:p>
      <w:pPr>
        <w:spacing w:after="0" w:line="22" w:lineRule="exact"/>
        <w:rPr>
          <w:sz w:val="20"/>
          <w:szCs w:val="20"/>
          <w:color w:val="auto"/>
        </w:rPr>
      </w:pPr>
    </w:p>
    <w:p>
      <w:pPr>
        <w:jc w:val="both"/>
        <w:spacing w:after="0" w:line="247" w:lineRule="auto"/>
        <w:tabs>
          <w:tab w:leader="none" w:pos="29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20"/>
          </w:cols>
          <w:pgMar w:left="1380" w:top="1432" w:right="1380" w:bottom="534" w:gutter="0" w:footer="0" w:header="0"/>
          <w:type w:val="continuous"/>
        </w:sectPr>
      </w:pPr>
    </w:p>
    <w:bookmarkStart w:id="44" w:name="page45"/>
    <w:bookmarkEnd w:id="44"/>
    <w:p>
      <w:pPr>
        <w:spacing w:after="0" w:line="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 contract estimates</w:t>
      </w:r>
    </w:p>
    <w:p>
      <w:pPr>
        <w:spacing w:after="0" w:line="12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explained in Notes 1 and 3 to the consolidated financial statements, revenue is recog-</w:t>
      </w:r>
    </w:p>
    <w:p>
      <w:pPr>
        <w:spacing w:after="0" w:line="20" w:lineRule="exact"/>
        <w:rPr>
          <w:sz w:val="20"/>
          <w:szCs w:val="20"/>
          <w:color w:val="auto"/>
        </w:rPr>
      </w:pPr>
    </w:p>
    <w:p>
      <w:pPr>
        <w:jc w:val="both"/>
        <w:ind w:left="1840" w:hanging="1839"/>
        <w:spacing w:after="0" w:line="249" w:lineRule="auto"/>
        <w:tabs>
          <w:tab w:leader="none" w:pos="182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nized when the Company satisfies its performance obligations under a contract. The Company’s performance obligations under long-term agreements with its customers are generally satisfied over time. Revenue under these long-term agreements is generally recognized over time using an input measure based upon the proportion of actual costs incurred to estimated total project costs, which the Company believes best depicts the Company’s performance to date under the terms of the contract. For the year ended December 31, 2025, the Company recorded $29.1 million of over time input method rev-enue within net sales on its consolidated statement of operations. Accounting for these long-term agreements involves the use of various techniques to estimate total revenues and costs. Contract estimates are based on various assumptions to project the outcome of future events that may span several years. These assumptions include, among other things, sub-contractor costs, material costs, and total collections from the customer. Significant changes in the above estimates could impact the timing and amount of revenue and profit-ability of the Company’s long-term contracts.</w:t>
      </w:r>
    </w:p>
    <w:p>
      <w:pPr>
        <w:spacing w:after="0" w:line="260" w:lineRule="exact"/>
        <w:rPr>
          <w:sz w:val="20"/>
          <w:szCs w:val="20"/>
          <w:color w:val="auto"/>
        </w:rPr>
      </w:pPr>
    </w:p>
    <w:p>
      <w:pPr>
        <w:jc w:val="both"/>
        <w:ind w:left="1840"/>
        <w:spacing w:after="0" w:line="245" w:lineRule="auto"/>
        <w:rPr>
          <w:sz w:val="20"/>
          <w:szCs w:val="20"/>
          <w:color w:val="auto"/>
        </w:rPr>
      </w:pPr>
      <w:r>
        <w:rPr>
          <w:rFonts w:ascii="Times New Roman" w:cs="Times New Roman" w:eastAsia="Times New Roman" w:hAnsi="Times New Roman"/>
          <w:sz w:val="20"/>
          <w:szCs w:val="20"/>
          <w:color w:val="auto"/>
        </w:rPr>
        <w:t>Auditing these estimates requires auditor judgment because of the significant management judgment necessary to develop the estimated assumptions at completion due to the size and identified risks for each contract.</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How We Addressed </w:t>
      </w:r>
      <w:r>
        <w:rPr>
          <w:rFonts w:ascii="Times New Roman" w:cs="Times New Roman" w:eastAsia="Times New Roman" w:hAnsi="Times New Roman"/>
          <w:sz w:val="20"/>
          <w:szCs w:val="20"/>
          <w:color w:val="auto"/>
        </w:rPr>
        <w:t>We obtained an understanding, evaluated the design, and tested the operating effective-</w:t>
      </w:r>
      <w:r>
        <w:rPr>
          <w:rFonts w:ascii="Times New Roman" w:cs="Times New Roman" w:eastAsia="Times New Roman" w:hAnsi="Times New Roman"/>
          <w:sz w:val="20"/>
          <w:szCs w:val="20"/>
          <w:i w:val="1"/>
          <w:iCs w:val="1"/>
          <w:color w:val="auto"/>
        </w:rPr>
        <w:t xml:space="preserve">the Matter in Our </w:t>
      </w:r>
      <w:r>
        <w:rPr>
          <w:rFonts w:ascii="Times New Roman" w:cs="Times New Roman" w:eastAsia="Times New Roman" w:hAnsi="Times New Roman"/>
          <w:sz w:val="20"/>
          <w:szCs w:val="20"/>
          <w:color w:val="auto"/>
        </w:rPr>
        <w:t>ness of relevant internal controls over the Company’s process relating to the determination</w:t>
      </w:r>
    </w:p>
    <w:p>
      <w:pPr>
        <w:spacing w:after="0" w:line="22" w:lineRule="exact"/>
        <w:rPr>
          <w:sz w:val="20"/>
          <w:szCs w:val="20"/>
          <w:color w:val="auto"/>
        </w:rPr>
      </w:pPr>
    </w:p>
    <w:p>
      <w:pPr>
        <w:jc w:val="both"/>
        <w:ind w:left="1840" w:hanging="1839"/>
        <w:spacing w:after="0" w:line="246" w:lineRule="auto"/>
        <w:tabs>
          <w:tab w:leader="none" w:pos="182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of estimates for long-term projects. For example, we evaluated the design and tested the operating effectiveness of controls over management’s review of the current status of long-term projects, accumulation of costs incurred, costs remaining to complete and total contract value.</w:t>
      </w:r>
    </w:p>
    <w:p>
      <w:pPr>
        <w:spacing w:after="0" w:line="257" w:lineRule="exact"/>
        <w:rPr>
          <w:sz w:val="20"/>
          <w:szCs w:val="20"/>
          <w:color w:val="auto"/>
        </w:rPr>
      </w:pPr>
    </w:p>
    <w:p>
      <w:pPr>
        <w:jc w:val="both"/>
        <w:ind w:left="1840"/>
        <w:spacing w:after="0" w:line="248" w:lineRule="auto"/>
        <w:rPr>
          <w:sz w:val="20"/>
          <w:szCs w:val="20"/>
          <w:color w:val="auto"/>
        </w:rPr>
      </w:pPr>
      <w:r>
        <w:rPr>
          <w:rFonts w:ascii="Times New Roman" w:cs="Times New Roman" w:eastAsia="Times New Roman" w:hAnsi="Times New Roman"/>
          <w:sz w:val="20"/>
          <w:szCs w:val="20"/>
          <w:color w:val="auto"/>
        </w:rPr>
        <w:t>To test the total estimates for long-term contracts, our audit procedures included, among others, obtaining an understanding of the contract, evaluating the consistency of estimated costs with the initial budget, and understanding margin changes throughout the life of the contract. We also performed a retrospective review of management’s estimates for a sample of completed contracts by comparing initial estimates with the actual historical data to assess management’s ability to estimate.</w:t>
      </w:r>
    </w:p>
    <w:p>
      <w:pPr>
        <w:spacing w:after="0" w:line="2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/s/</w:t>
        <w:tab/>
        <w:t>Ernst &amp; Young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5, 2026</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20"/>
          </w:cols>
          <w:pgMar w:left="1380" w:top="1440" w:right="1380" w:bottom="534" w:gutter="0" w:footer="0" w:header="0"/>
          <w:type w:val="continuous"/>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8"/>
        </w:trPr>
        <w:tc>
          <w:tcPr>
            <w:tcW w:w="74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48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4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4,348</w:t>
            </w:r>
          </w:p>
        </w:tc>
        <w:tc>
          <w:tcPr>
            <w:tcW w:w="30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Accounts receivable — net (Note 5)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80,551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64,978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Contract assets (Note 3) . .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6,395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Inventories — net (Note 6)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60,219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70,506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current assets  . . . . . . . . . . . . . . . . . . . . . . . . . . . . . . . . . . . . . . . . . . . . . . . . . . . . . . . . . . . . . .</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5,358</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6,947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current assets  </w:t>
            </w:r>
            <w:r>
              <w:rPr>
                <w:rFonts w:ascii="Times New Roman" w:cs="Times New Roman" w:eastAsia="Times New Roman" w:hAnsi="Times New Roman"/>
                <w:sz w:val="18"/>
                <w:szCs w:val="18"/>
                <w:color w:val="auto"/>
              </w:rPr>
              <w:t>. . . . . . . . . . . . . . . . . . . . . . . . . . . . . . . . . . . . . . . . . . . . . . . . . . . . . . . . . . .</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156,871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161,605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Property, plant, and equipment — net (Note 7)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77,183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75,374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Operating lease right-of-use assets — net (Note 8)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28,309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18,480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Goodwill (Note 4) . . . . . . .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33,062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31,907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intangibles — net (Note 4)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11,526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14,801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tax assets (Note 13)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20,355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28,900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assets . . . . . . . . . . . . . . . . . . . . . . . . . . . . . . . . . . . . . . . . . . . . . . . . . . . . . . . . . . . . . . . . . . . . .</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3,066</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3,483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 . . . . . . . . . . . . . . . . . . . . . . . . . . . . . . . . . . . . . . . . . . . . . . . . . . . . . . . . . . . . . . . .</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330,372</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748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4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Accounts payable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52,519</w:t>
            </w:r>
          </w:p>
        </w:tc>
        <w:tc>
          <w:tcPr>
            <w:tcW w:w="30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50,083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revenue (Note 3)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5,900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10,205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Accrued payroll and employee benefits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11,346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15,393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Current maturities of long-term debt (Note 9)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accrued liabilities . . . . . . . . . . . . . . . . . . . . . . . . . . . . . . . . . . . . . . . . . . . . . . . . . . . . . . . . . . .</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14,003</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12,448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current liabilities </w:t>
            </w:r>
            <w:r>
              <w:rPr>
                <w:rFonts w:ascii="Times New Roman" w:cs="Times New Roman" w:eastAsia="Times New Roman" w:hAnsi="Times New Roman"/>
                <w:sz w:val="18"/>
                <w:szCs w:val="18"/>
                <w:color w:val="auto"/>
              </w:rPr>
              <w:t>. . . . . . . . . . . . . . . . . . . . . . . . . . . . . . . . . . . . . . . . . . . . . . . . . . . . . . . . .</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Long-term debt (Note 9) . .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42,603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46,773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tax liabilities (Note 13)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Long-term operating lease liabilities (Note 8)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24,266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14,709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long-term liabilities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2,681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par value $0.01, authorized 20,000,000 shares; shares issued at December 31,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630"/>
              <w:spacing w:after="0" w:line="200" w:lineRule="exact"/>
              <w:rPr>
                <w:sz w:val="20"/>
                <w:szCs w:val="20"/>
                <w:color w:val="auto"/>
              </w:rPr>
            </w:pPr>
            <w:r>
              <w:rPr>
                <w:rFonts w:ascii="Times New Roman" w:cs="Times New Roman" w:eastAsia="Times New Roman" w:hAnsi="Times New Roman"/>
                <w:sz w:val="18"/>
                <w:szCs w:val="18"/>
                <w:color w:val="auto"/>
              </w:rPr>
              <w:t>2025 and December 31, 2024, 11,115,779; shares outstanding at December 31, 2025 and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December 31, 2024, 10,135,410 and 10,573,432, respectively (Note 10)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Paid-in capital . . . . . . . . . .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44,782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43,550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Retained earnings . . . . . . . . . . . . . . . . . . . . . . . . . . . . . . . . . . . . . . . . . . . . . . . . . . . . . . . . . . . . . . . .</w:t>
            </w:r>
          </w:p>
        </w:tc>
        <w:tc>
          <w:tcPr>
            <w:tcW w:w="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95"/>
              </w:rPr>
              <w:t>175,124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95"/>
              </w:rPr>
              <w:t>167,579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ind w:left="180"/>
              <w:spacing w:after="0" w:line="200" w:lineRule="exact"/>
              <w:rPr>
                <w:sz w:val="20"/>
                <w:szCs w:val="20"/>
                <w:color w:val="auto"/>
              </w:rPr>
            </w:pPr>
            <w:r>
              <w:rPr>
                <w:rFonts w:ascii="Times New Roman" w:cs="Times New Roman" w:eastAsia="Times New Roman" w:hAnsi="Times New Roman"/>
                <w:sz w:val="18"/>
                <w:szCs w:val="18"/>
                <w:color w:val="auto"/>
              </w:rPr>
              <w:t>Treasury stock — at cost, common stock, shares at December 31, 2025 and December 31, 2024,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980,369 and 542,347, respectively (Note 10) . . . . . . . . . . . . . . . . . . . . . . . . . . . . . . . . . . . . . . . . .</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line="200" w:lineRule="exact"/>
              <w:rPr>
                <w:sz w:val="20"/>
                <w:szCs w:val="20"/>
                <w:color w:val="auto"/>
              </w:rPr>
            </w:pPr>
            <w:r>
              <w:rPr>
                <w:rFonts w:ascii="Times New Roman" w:cs="Times New Roman" w:eastAsia="Times New Roman" w:hAnsi="Times New Roman"/>
                <w:sz w:val="18"/>
                <w:szCs w:val="18"/>
                <w:color w:val="auto"/>
              </w:rPr>
              <w:t>(23,852)</w:t>
            </w:r>
          </w:p>
        </w:tc>
        <w:tc>
          <w:tcPr>
            <w:tcW w:w="100" w:type="dxa"/>
            <w:vAlign w:val="bottom"/>
          </w:tcPr>
          <w:p>
            <w:pPr>
              <w:spacing w:after="0"/>
              <w:rPr>
                <w:sz w:val="17"/>
                <w:szCs w:val="17"/>
                <w:color w:val="auto"/>
              </w:rPr>
            </w:pPr>
          </w:p>
        </w:tc>
        <w:tc>
          <w:tcPr>
            <w:tcW w:w="64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62"/>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Accumulated other comprehensive loss (Note 11) . . . . . . . . . . . . . . . . . . . . . . . . . . . . . . . . . . . . . . .</w:t>
            </w:r>
          </w:p>
        </w:tc>
        <w:tc>
          <w:tcPr>
            <w:tcW w:w="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(20,889)</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0" w:type="dxa"/>
            <w:vAlign w:val="bottom"/>
          </w:tcPr>
          <w:p>
            <w:pPr>
              <w:spacing w:after="0"/>
              <w:rPr>
                <w:sz w:val="1"/>
                <w:szCs w:val="1"/>
                <w:color w:val="auto"/>
              </w:rPr>
            </w:pPr>
          </w:p>
        </w:tc>
      </w:tr>
      <w:tr>
        <w:trPr>
          <w:trHeight w:val="238"/>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L.B. Foster Company stockholders’ equity </w:t>
            </w:r>
            <w:r>
              <w:rPr>
                <w:rFonts w:ascii="Times New Roman" w:cs="Times New Roman" w:eastAsia="Times New Roman" w:hAnsi="Times New Roman"/>
                <w:sz w:val="18"/>
                <w:szCs w:val="18"/>
                <w:color w:val="auto"/>
              </w:rPr>
              <w:t>. . . . . . . . . . . . . . . . . . . . . . . . . . . . . . . . . . .</w:t>
            </w: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175,276</w:t>
            </w: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178,316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8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Noncontrolling interest . . . . . . . . . . . . . . . . . . . . . . . . . . . . . . . . . . . . . . . . . . . . . . . . . . . . . . . . . . . . . .</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722</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stockholders’ equity </w:t>
            </w:r>
            <w:r>
              <w:rPr>
                <w:rFonts w:ascii="Times New Roman" w:cs="Times New Roman" w:eastAsia="Times New Roman" w:hAnsi="Times New Roman"/>
                <w:sz w:val="18"/>
                <w:szCs w:val="18"/>
                <w:color w:val="auto"/>
              </w:rPr>
              <w:t>. . . . . . . . . . . . . . . . . . . . . . . . . . . . . . . . . . . . . . . . . . . . . . . . . . . . . .</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175,998</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179,014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TOTAL LIABILITIES AND STOCKHOLDERS’ EQUITY </w:t>
            </w:r>
            <w:r>
              <w:rPr>
                <w:rFonts w:ascii="Times New Roman" w:cs="Times New Roman" w:eastAsia="Times New Roman" w:hAnsi="Times New Roman"/>
                <w:sz w:val="18"/>
                <w:szCs w:val="18"/>
                <w:color w:val="auto"/>
              </w:rPr>
              <w:t>. . . . . . . . . . . . . . . . . . . . . . . . . . . . .</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330,372</w:t>
            </w:r>
          </w:p>
        </w:tc>
        <w:tc>
          <w:tcPr>
            <w:tcW w:w="3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334,550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180"/>
          </w:cols>
          <w:pgMar w:left="1380" w:top="1432" w:right="1320" w:bottom="534" w:gutter="0" w:footer="0" w:header="0"/>
        </w:sectPr>
      </w:pP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80"/>
          </w:cols>
          <w:pgMar w:left="1380" w:top="1432" w:right="1320" w:bottom="534" w:gutter="0" w:footer="0" w:header="0"/>
          <w:type w:val="continuous"/>
        </w:sectPr>
      </w:pPr>
    </w:p>
    <w:bookmarkStart w:id="46" w:name="page47"/>
    <w:bookmarkEnd w:id="46"/>
    <w:p>
      <w:pPr>
        <w:jc w:val="center"/>
        <w:ind w:right="60"/>
        <w:spacing w:after="0" w:line="249" w:lineRule="auto"/>
        <w:rPr>
          <w:sz w:val="20"/>
          <w:szCs w:val="20"/>
          <w:color w:val="auto"/>
        </w:rPr>
      </w:pPr>
      <w:r>
        <w:rPr>
          <w:rFonts w:ascii="Times New Roman" w:cs="Times New Roman" w:eastAsia="Times New Roman" w:hAnsi="Times New Roman"/>
          <w:sz w:val="20"/>
          <w:szCs w:val="20"/>
          <w:b w:val="1"/>
          <w:bCs w:val="1"/>
          <w:color w:val="auto"/>
        </w:rPr>
        <w:t>L.B. FOSTER COMPANY AND SUBSIDIARIES CONSOLIDATED STATEMENTS OF OPERATIONS (In thousands, except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0"/>
        </w:trPr>
        <w:tc>
          <w:tcPr>
            <w:tcW w:w="7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Sales of goods . . .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481,392</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462,659</w:t>
            </w:r>
          </w:p>
        </w:tc>
        <w:tc>
          <w:tcPr>
            <w:tcW w:w="60" w:type="dxa"/>
            <w:vAlign w:val="bottom"/>
          </w:tcPr>
          <w:p>
            <w:pPr>
              <w:spacing w:after="0"/>
              <w:rPr>
                <w:sz w:val="24"/>
                <w:szCs w:val="24"/>
                <w:color w:val="auto"/>
              </w:rPr>
            </w:pPr>
          </w:p>
        </w:tc>
      </w:tr>
      <w:tr>
        <w:trPr>
          <w:trHeight w:val="28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Sales of services  .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58,617</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68,106</w:t>
            </w:r>
          </w:p>
        </w:tc>
        <w:tc>
          <w:tcPr>
            <w:tcW w:w="60" w:type="dxa"/>
            <w:vAlign w:val="bottom"/>
          </w:tcPr>
          <w:p>
            <w:pPr>
              <w:spacing w:after="0"/>
              <w:rPr>
                <w:sz w:val="24"/>
                <w:szCs w:val="24"/>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(Note 3)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540,009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530,765</w:t>
            </w:r>
          </w:p>
        </w:tc>
        <w:tc>
          <w:tcPr>
            <w:tcW w:w="60" w:type="dxa"/>
            <w:vAlign w:val="bottom"/>
          </w:tcPr>
          <w:p>
            <w:pPr>
              <w:spacing w:after="0"/>
              <w:rPr>
                <w:sz w:val="24"/>
                <w:szCs w:val="24"/>
                <w:color w:val="auto"/>
              </w:rPr>
            </w:pPr>
          </w:p>
        </w:tc>
      </w:tr>
      <w:tr>
        <w:trPr>
          <w:trHeight w:val="28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370,947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352,556</w:t>
            </w:r>
          </w:p>
        </w:tc>
        <w:tc>
          <w:tcPr>
            <w:tcW w:w="60" w:type="dxa"/>
            <w:vAlign w:val="bottom"/>
          </w:tcPr>
          <w:p>
            <w:pPr>
              <w:spacing w:after="0"/>
              <w:rPr>
                <w:sz w:val="24"/>
                <w:szCs w:val="24"/>
                <w:color w:val="auto"/>
              </w:rPr>
            </w:pPr>
          </w:p>
        </w:tc>
      </w:tr>
      <w:tr>
        <w:trPr>
          <w:trHeight w:val="28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 sold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55,310</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60,147</w:t>
            </w:r>
          </w:p>
        </w:tc>
        <w:tc>
          <w:tcPr>
            <w:tcW w:w="60" w:type="dxa"/>
            <w:vAlign w:val="bottom"/>
          </w:tcPr>
          <w:p>
            <w:pPr>
              <w:spacing w:after="0"/>
              <w:rPr>
                <w:sz w:val="24"/>
                <w:szCs w:val="24"/>
                <w:color w:val="auto"/>
              </w:rPr>
            </w:pP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cost of sales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426,257</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412,703</w:t>
            </w:r>
          </w:p>
        </w:tc>
        <w:tc>
          <w:tcPr>
            <w:tcW w:w="60" w:type="dxa"/>
            <w:vAlign w:val="bottom"/>
          </w:tcPr>
          <w:p>
            <w:pPr>
              <w:spacing w:after="0"/>
              <w:rPr>
                <w:sz w:val="24"/>
                <w:szCs w:val="24"/>
                <w:color w:val="auto"/>
              </w:rPr>
            </w:pP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113,752</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118,062</w:t>
            </w:r>
          </w:p>
        </w:tc>
        <w:tc>
          <w:tcPr>
            <w:tcW w:w="60" w:type="dxa"/>
            <w:vAlign w:val="bottom"/>
          </w:tcPr>
          <w:p>
            <w:pPr>
              <w:spacing w:after="0"/>
              <w:rPr>
                <w:sz w:val="24"/>
                <w:szCs w:val="24"/>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Selling and administrative expenses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88,556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96,398</w:t>
            </w:r>
          </w:p>
        </w:tc>
        <w:tc>
          <w:tcPr>
            <w:tcW w:w="60" w:type="dxa"/>
            <w:vAlign w:val="bottom"/>
          </w:tcPr>
          <w:p>
            <w:pPr>
              <w:spacing w:after="0"/>
              <w:rPr>
                <w:sz w:val="24"/>
                <w:szCs w:val="24"/>
                <w:color w:val="auto"/>
              </w:rPr>
            </w:pPr>
          </w:p>
        </w:tc>
      </w:tr>
      <w:tr>
        <w:trPr>
          <w:trHeight w:val="28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former joint venture facility  . . . . . . . . . . . . . . . . . . . . . . . . . . . . . . . . . .</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(3,477)</w:t>
            </w:r>
          </w:p>
        </w:tc>
      </w:tr>
      <w:tr>
        <w:trPr>
          <w:trHeight w:val="28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 (Note 4) . . . . . . . . . . . . . . . . . . . . . . . . . . . . . . . . . . . . . . . . . . . . . .</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4,628</w:t>
            </w:r>
          </w:p>
        </w:tc>
        <w:tc>
          <w:tcPr>
            <w:tcW w:w="60" w:type="dxa"/>
            <w:vAlign w:val="bottom"/>
          </w:tcPr>
          <w:p>
            <w:pPr>
              <w:spacing w:after="0"/>
              <w:rPr>
                <w:sz w:val="24"/>
                <w:szCs w:val="24"/>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20,513</w:t>
            </w:r>
          </w:p>
        </w:tc>
        <w:tc>
          <w:tcPr>
            <w:tcW w:w="60" w:type="dxa"/>
            <w:vAlign w:val="bottom"/>
          </w:tcPr>
          <w:p>
            <w:pPr>
              <w:spacing w:after="0"/>
              <w:rPr>
                <w:sz w:val="24"/>
                <w:szCs w:val="24"/>
                <w:color w:val="auto"/>
              </w:rPr>
            </w:pPr>
          </w:p>
        </w:tc>
      </w:tr>
      <w:tr>
        <w:trPr>
          <w:trHeight w:val="28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 net . . . . . . . . . . . . .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4,992</w:t>
            </w:r>
          </w:p>
        </w:tc>
        <w:tc>
          <w:tcPr>
            <w:tcW w:w="60" w:type="dxa"/>
            <w:vAlign w:val="bottom"/>
          </w:tcPr>
          <w:p>
            <w:pPr>
              <w:spacing w:after="0"/>
              <w:rPr>
                <w:sz w:val="24"/>
                <w:szCs w:val="24"/>
                <w:color w:val="auto"/>
              </w:rPr>
            </w:pPr>
          </w:p>
        </w:tc>
      </w:tr>
      <w:tr>
        <w:trPr>
          <w:trHeight w:val="28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 net (Note 17) . . . . . . . . . . . . . . . . . . . . . . . . . . . . . . . . . . . . . .</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(420)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60" w:type="dxa"/>
            <w:vAlign w:val="bottom"/>
          </w:tcPr>
          <w:p>
            <w:pPr>
              <w:spacing w:after="0"/>
              <w:rPr>
                <w:sz w:val="24"/>
                <w:szCs w:val="24"/>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 . . . . . . . . . . . . .</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17,416</w:t>
            </w: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14,445</w:t>
            </w:r>
          </w:p>
        </w:tc>
        <w:tc>
          <w:tcPr>
            <w:tcW w:w="60" w:type="dxa"/>
            <w:vAlign w:val="bottom"/>
          </w:tcPr>
          <w:p>
            <w:pPr>
              <w:spacing w:after="0"/>
              <w:rPr>
                <w:sz w:val="24"/>
                <w:szCs w:val="24"/>
                <w:color w:val="auto"/>
              </w:rPr>
            </w:pPr>
          </w:p>
        </w:tc>
      </w:tr>
      <w:tr>
        <w:trPr>
          <w:trHeight w:val="284"/>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 (Note 13) . . .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(28,398)</w:t>
            </w: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 . . . . . .</w:t>
            </w: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3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42,843</w:t>
            </w:r>
          </w:p>
        </w:tc>
        <w:tc>
          <w:tcPr>
            <w:tcW w:w="60" w:type="dxa"/>
            <w:vAlign w:val="bottom"/>
          </w:tcPr>
          <w:p>
            <w:pPr>
              <w:spacing w:after="0"/>
              <w:rPr>
                <w:sz w:val="24"/>
                <w:szCs w:val="24"/>
                <w:color w:val="auto"/>
              </w:rPr>
            </w:pP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noncontrolling interest . . . . . . . . . . . . . . . . . . . . . . . . . . . . . . . . . .</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2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L.B. Foster Company . . . . . . . . . . . . . . . . . . . . . . . . . . . . . . . .</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7,545</w:t>
            </w:r>
          </w:p>
        </w:tc>
        <w:tc>
          <w:tcPr>
            <w:tcW w:w="30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42,946</w:t>
            </w:r>
          </w:p>
        </w:tc>
        <w:tc>
          <w:tcPr>
            <w:tcW w:w="60" w:type="dxa"/>
            <w:vAlign w:val="bottom"/>
          </w:tcPr>
          <w:p>
            <w:pPr>
              <w:spacing w:after="0"/>
              <w:rPr>
                <w:sz w:val="24"/>
                <w:szCs w:val="24"/>
                <w:color w:val="auto"/>
              </w:rPr>
            </w:pPr>
          </w:p>
        </w:tc>
      </w:tr>
      <w:tr>
        <w:trPr>
          <w:trHeight w:val="24"/>
        </w:trPr>
        <w:tc>
          <w:tcPr>
            <w:tcW w:w="7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Basic earnings per common share (Note 12)  . . . . . . . . . . . . . . . . . . . . . . . . . . . . . . . . . .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73</w:t>
            </w:r>
          </w:p>
        </w:tc>
        <w:tc>
          <w:tcPr>
            <w:tcW w:w="3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u w:val="single" w:color="auto"/>
                <w:color w:val="auto"/>
              </w:rPr>
              <w:t>01</w:t>
            </w:r>
          </w:p>
        </w:tc>
        <w:tc>
          <w:tcPr>
            <w:tcW w:w="60" w:type="dxa"/>
            <w:vAlign w:val="bottom"/>
          </w:tcPr>
          <w:p>
            <w:pPr>
              <w:spacing w:after="0"/>
              <w:rPr>
                <w:sz w:val="24"/>
                <w:szCs w:val="24"/>
                <w:color w:val="auto"/>
              </w:rPr>
            </w:pPr>
          </w:p>
        </w:tc>
      </w:tr>
      <w:tr>
        <w:trPr>
          <w:trHeight w:val="24"/>
        </w:trPr>
        <w:tc>
          <w:tcPr>
            <w:tcW w:w="7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16"/>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per common share (Note 12) . . . . . . . . . . . . . . . . . . . . . . . . . . . . . . . . .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69</w:t>
            </w:r>
          </w:p>
        </w:tc>
        <w:tc>
          <w:tcPr>
            <w:tcW w:w="3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89</w:t>
            </w:r>
          </w:p>
        </w:tc>
        <w:tc>
          <w:tcPr>
            <w:tcW w:w="60" w:type="dxa"/>
            <w:vAlign w:val="bottom"/>
          </w:tcPr>
          <w:p>
            <w:pPr>
              <w:spacing w:after="0"/>
              <w:rPr>
                <w:sz w:val="24"/>
                <w:szCs w:val="24"/>
                <w:color w:val="auto"/>
              </w:rPr>
            </w:pPr>
          </w:p>
        </w:tc>
      </w:tr>
      <w:tr>
        <w:trPr>
          <w:trHeight w:val="24"/>
        </w:trPr>
        <w:tc>
          <w:tcPr>
            <w:tcW w:w="7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12"/>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shares outstanding  .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10,721</w:t>
            </w:r>
          </w:p>
        </w:tc>
        <w:tc>
          <w:tcPr>
            <w:tcW w:w="60" w:type="dxa"/>
            <w:vAlign w:val="bottom"/>
          </w:tcPr>
          <w:p>
            <w:pPr>
              <w:spacing w:after="0"/>
              <w:rPr>
                <w:sz w:val="24"/>
                <w:szCs w:val="24"/>
                <w:color w:val="auto"/>
              </w:rPr>
            </w:pPr>
          </w:p>
        </w:tc>
      </w:tr>
      <w:tr>
        <w:trPr>
          <w:trHeight w:val="28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 average shares outstanding . . . . . . .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180"/>
          </w:cols>
          <w:pgMar w:left="1380" w:top="1434" w:right="1320" w:bottom="534" w:gutter="0" w:footer="0" w:header="0"/>
        </w:sectPr>
      </w:pP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80"/>
          </w:cols>
          <w:pgMar w:left="1380" w:top="1434" w:right="1320" w:bottom="534" w:gutter="0" w:footer="0" w:header="0"/>
          <w:type w:val="continuous"/>
        </w:sectPr>
      </w:pPr>
    </w:p>
    <w:bookmarkStart w:id="47" w:name="page48"/>
    <w:bookmarkEnd w:id="4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88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4796155</wp:posOffset>
                </wp:positionH>
                <wp:positionV relativeFrom="paragraph">
                  <wp:posOffset>13335</wp:posOffset>
                </wp:positionV>
                <wp:extent cx="9950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50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65pt,1.05pt" to="456pt,1.05pt" o:allowincell="f" strokecolor="#000000" strokeweight="0.5pt"/>
            </w:pict>
          </mc:Fallback>
        </mc:AlternateConten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6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32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 . . . . . . . .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$ 7,419</w:t>
            </w:r>
          </w:p>
        </w:tc>
        <w:tc>
          <w:tcPr>
            <w:tcW w:w="3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42,843</w:t>
            </w:r>
          </w:p>
        </w:tc>
        <w:tc>
          <w:tcPr>
            <w:tcW w:w="60" w:type="dxa"/>
            <w:vAlign w:val="bottom"/>
          </w:tcPr>
          <w:p>
            <w:pPr>
              <w:spacing w:after="0"/>
              <w:rPr>
                <w:sz w:val="24"/>
                <w:szCs w:val="24"/>
                <w:color w:val="auto"/>
              </w:rPr>
            </w:pPr>
          </w:p>
        </w:tc>
      </w:tr>
      <w:tr>
        <w:trPr>
          <w:trHeight w:val="32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w:t>
            </w: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(2,887)</w:t>
            </w: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Unrealized loss on cash flow hedges, net of tax benefit of $99 and $203, respectively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(289)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w:t>
            </w: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Pension and post-retirement benefit plans benefit, net of tax benefit $0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(1,524)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Reclassification of pension liability adjustments to earnings, net of tax expense of $0 and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75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$424, respectively*  . . . . . . . . . . . . . . . . . . . . . . . . . . . . . . . . . . . . . . . . . . . . . . . . . . . . . . .</w:t>
            </w:r>
          </w:p>
        </w:tc>
        <w:tc>
          <w:tcPr>
            <w:tcW w:w="92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19"/>
                <w:szCs w:val="19"/>
                <w:color w:val="auto"/>
              </w:rPr>
            </w:pPr>
          </w:p>
        </w:tc>
      </w:tr>
      <w:tr>
        <w:trPr>
          <w:trHeight w:val="316"/>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Total comprehensive income . . . . . . . . . . . . . . . . . . . . . . . . . . . . . . . . . . . . . . . . . . . . . . . . . .</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8,396</w:t>
            </w:r>
          </w:p>
        </w:tc>
        <w:tc>
          <w:tcPr>
            <w:tcW w:w="3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40,377</w:t>
            </w:r>
          </w:p>
        </w:tc>
        <w:tc>
          <w:tcPr>
            <w:tcW w:w="60" w:type="dxa"/>
            <w:vAlign w:val="bottom"/>
          </w:tcPr>
          <w:p>
            <w:pPr>
              <w:spacing w:after="0"/>
              <w:rPr>
                <w:sz w:val="24"/>
                <w:szCs w:val="24"/>
                <w:color w:val="auto"/>
              </w:rPr>
            </w:pP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Less comprehensive loss attributable to noncontrolling interest:</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noncontrolling interest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8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 . . . . . . . . . . . . . . . . . . . . . . . . . . . . . . . . . . . . . . . .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4"/>
                <w:szCs w:val="24"/>
                <w:color w:val="auto"/>
              </w:rPr>
            </w:pPr>
          </w:p>
        </w:tc>
      </w:tr>
      <w:tr>
        <w:trPr>
          <w:trHeight w:val="32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Amounts attributable to noncontrolling interest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20"/>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attributable to L.B. Foster Company . . . . . . . . . . . . . . . . . . . . . . . . .</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$ 8,372</w:t>
            </w:r>
          </w:p>
        </w:tc>
        <w:tc>
          <w:tcPr>
            <w:tcW w:w="30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40,403</w:t>
            </w:r>
          </w:p>
        </w:tc>
        <w:tc>
          <w:tcPr>
            <w:tcW w:w="60" w:type="dxa"/>
            <w:vAlign w:val="bottom"/>
          </w:tcPr>
          <w:p>
            <w:pPr>
              <w:spacing w:after="0"/>
              <w:rPr>
                <w:sz w:val="24"/>
                <w:szCs w:val="24"/>
                <w:color w:val="auto"/>
              </w:rPr>
            </w:pPr>
          </w:p>
        </w:tc>
      </w:tr>
      <w:tr>
        <w:trPr>
          <w:trHeight w:val="24"/>
        </w:trPr>
        <w:tc>
          <w:tcPr>
            <w:tcW w:w="75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97" w:lineRule="exact"/>
        <w:rPr>
          <w:sz w:val="20"/>
          <w:szCs w:val="20"/>
          <w:color w:val="auto"/>
        </w:rPr>
      </w:pPr>
    </w:p>
    <w:p>
      <w:pPr>
        <w:ind w:left="340" w:right="60" w:hanging="340"/>
        <w:spacing w:after="0" w:line="238" w:lineRule="auto"/>
        <w:tabs>
          <w:tab w:leader="none" w:pos="340" w:val="left"/>
        </w:tabs>
        <w:numPr>
          <w:ilvl w:val="0"/>
          <w:numId w:val="1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Reclassifications out of Accumulated other comprehensive loss for pension obligations are reflected in Sell-ing and administrative expense and pension settlement costs are reflected in Other (income) expense — net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180"/>
          </w:cols>
          <w:pgMar w:left="1380" w:top="1432" w:right="1320" w:bottom="534"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180"/>
          </w:cols>
          <w:pgMar w:left="1380" w:top="1432" w:right="1320" w:bottom="534" w:gutter="0" w:footer="0" w:header="0"/>
          <w:type w:val="continuous"/>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0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52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4476750</wp:posOffset>
                </wp:positionH>
                <wp:positionV relativeFrom="paragraph">
                  <wp:posOffset>13335</wp:posOffset>
                </wp:positionV>
                <wp:extent cx="118745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1.05pt" to="446pt,1.05pt" o:allowincell="f" strokecolor="#000000" strokeweight="0.5pt"/>
            </w:pict>
          </mc:Fallback>
        </mc:AlternateConten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0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Net income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7,419</w:t>
            </w:r>
          </w:p>
        </w:tc>
        <w:tc>
          <w:tcPr>
            <w:tcW w:w="40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42,843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income taxes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8,369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(29,145)</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Depreciation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9,143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Amortization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3,311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Inventory and fixed asset impairments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1,445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Equity (income) loss in nonconsolidated investment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Gain on sales and disposals of property, plant, and equipment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Stock-based compensation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5,056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3,834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Change in operating assets and liabilities: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0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Accounts receivable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(14,766)</w:t>
            </w:r>
          </w:p>
        </w:tc>
        <w:tc>
          <w:tcPr>
            <w:tcW w:w="100" w:type="dxa"/>
            <w:vAlign w:val="bottom"/>
          </w:tcPr>
          <w:p>
            <w:pPr>
              <w:spacing w:after="0"/>
              <w:rPr>
                <w:sz w:val="17"/>
                <w:szCs w:val="17"/>
                <w:color w:val="auto"/>
              </w:rPr>
            </w:pPr>
          </w:p>
        </w:tc>
        <w:tc>
          <w:tcPr>
            <w:tcW w:w="7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(12,262)</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Contract assets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11,059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12,433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Inventories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9,581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current assets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1,768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924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noncurrent assets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4,747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Accounts payable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2,010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10,399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revenue . . .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Accrued payroll and employee benefits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Accrued settlement .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current liabilities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1,007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06"/>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Other liabilities . . . .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3,406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cash provided by operating activities . . . . . . . . . . . . . . . . . . . . . . . . . . . . . . . . . . . . . . . . .</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Proceeds from the sale of property, plant, and equipment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3,895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Capital expenditures on property, plant, and equipment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(10,424)</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(9,791)</w:t>
            </w:r>
          </w:p>
        </w:tc>
        <w:tc>
          <w:tcPr>
            <w:tcW w:w="0" w:type="dxa"/>
            <w:vAlign w:val="bottom"/>
          </w:tcPr>
          <w:p>
            <w:pPr>
              <w:spacing w:after="0"/>
              <w:rPr>
                <w:sz w:val="1"/>
                <w:szCs w:val="1"/>
                <w:color w:val="auto"/>
              </w:rPr>
            </w:pPr>
          </w:p>
        </w:tc>
      </w:tr>
      <w:tr>
        <w:trPr>
          <w:trHeight w:val="206"/>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Acquisitions, net of cash acquired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40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cash used in investing activities . . . . . . . . . . . . . . . . . . . . . . . . . . . . . . . . . . . . . . . . . . . . .</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Repayments of debt .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w w:val="96"/>
              </w:rPr>
              <w:t>(313,545)</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w w:val="96"/>
              </w:rPr>
              <w:t>(230,640)</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Proceeds from debt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308,005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222,646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Debt issuance costs . . . . . .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Treasury stock acquisitions . . . . . . . . . . . .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(16,511)</w:t>
            </w: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206"/>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Deferred payment for Skratch acquisition  . . . . . . . . . . . . . . . . . . . . . . . . . . . . . . . . . . . . . .</w:t>
            </w:r>
          </w:p>
        </w:tc>
        <w:tc>
          <w:tcPr>
            <w:tcW w:w="80" w:type="dxa"/>
            <w:vAlign w:val="bottom"/>
          </w:tcPr>
          <w:p>
            <w:pPr>
              <w:spacing w:after="0"/>
              <w:rPr>
                <w:sz w:val="17"/>
                <w:szCs w:val="17"/>
                <w:color w:val="auto"/>
              </w:rPr>
            </w:pPr>
          </w:p>
        </w:tc>
        <w:tc>
          <w:tcPr>
            <w:tcW w:w="104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cash used in financing activities . . . . . . . . . . . . . . . . . . . . . . . . . . . . . . . . . . . . . . . . . . . . .</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 . . . . . . . . . . . . . . . . . . . . . . . . .</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Net increase (decrease) in cash and cash equivalents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1,894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6"/>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Cash and cash equivalents at beginning of period  . . . . . . . . . . . . . . . . . . . . . . . . . . . . . . . . . . . .</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2,454</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2,560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Cash and cash equivalents at end of period  . . . . . . . . . . . . . . . . . . . . . . . . . . . . . . . . . . . . . . . . .</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4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Net interest paid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4,924</w:t>
            </w:r>
          </w:p>
        </w:tc>
        <w:tc>
          <w:tcPr>
            <w:tcW w:w="40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4,659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6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Net income taxes paid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1,631</w:t>
            </w:r>
          </w:p>
        </w:tc>
        <w:tc>
          <w:tcPr>
            <w:tcW w:w="40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1,628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060"/>
          </w:cols>
          <w:pgMar w:left="1380" w:top="1432" w:right="1440" w:bottom="534" w:gutter="0" w:footer="0" w:header="0"/>
        </w:sect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060"/>
          </w:cols>
          <w:pgMar w:left="1380" w:top="1432" w:right="1440" w:bottom="534" w:gutter="0" w:footer="0" w:header="0"/>
          <w:type w:val="continuous"/>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6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20" w:type="dxa"/>
            <w:vAlign w:val="bottom"/>
          </w:tcPr>
          <w:p>
            <w:pPr>
              <w:spacing w:after="0"/>
              <w:rPr>
                <w:sz w:val="13"/>
                <w:szCs w:val="13"/>
                <w:color w:val="auto"/>
              </w:rPr>
            </w:pPr>
          </w:p>
        </w:tc>
        <w:tc>
          <w:tcPr>
            <w:tcW w:w="2480" w:type="dxa"/>
            <w:vAlign w:val="bottom"/>
            <w:gridSpan w:val="7"/>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Paid-in   Retained   Treasury</w:t>
            </w:r>
          </w:p>
        </w:tc>
        <w:tc>
          <w:tcPr>
            <w:tcW w:w="118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6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2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6"/>
                <w:szCs w:val="16"/>
                <w:color w:val="auto"/>
              </w:rPr>
            </w:pPr>
          </w:p>
        </w:tc>
        <w:tc>
          <w:tcPr>
            <w:tcW w:w="640" w:type="dxa"/>
            <w:vAlign w:val="bottom"/>
            <w:tcBorders>
              <w:bottom w:val="single" w:sz="8" w:color="auto"/>
            </w:tcBorders>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1"/>
              <w:spacing w:after="0" w:line="182" w:lineRule="exact"/>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6"/>
                <w:szCs w:val="16"/>
                <w:color w:val="auto"/>
              </w:rPr>
            </w:pPr>
          </w:p>
        </w:tc>
        <w:tc>
          <w:tcPr>
            <w:tcW w:w="1040" w:type="dxa"/>
            <w:vAlign w:val="bottom"/>
            <w:tcBorders>
              <w:bottom w:val="single" w:sz="8" w:color="auto"/>
            </w:tcBorders>
            <w:gridSpan w:val="3"/>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101"/>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6"/>
                <w:szCs w:val="16"/>
                <w:color w:val="auto"/>
              </w:rPr>
            </w:pPr>
          </w:p>
        </w:tc>
      </w:tr>
      <w:tr>
        <w:trPr>
          <w:trHeight w:val="264"/>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2023 . . .</w:t>
            </w: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111</w:t>
            </w: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43,111</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124,633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(6,494)</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 (19,250)</w:t>
            </w: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$ 724</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142,835</w:t>
            </w:r>
          </w:p>
        </w:tc>
        <w:tc>
          <w:tcPr>
            <w:tcW w:w="60" w:type="dxa"/>
            <w:vAlign w:val="bottom"/>
          </w:tcPr>
          <w:p>
            <w:pPr>
              <w:spacing w:after="0"/>
              <w:rPr>
                <w:sz w:val="22"/>
                <w:szCs w:val="22"/>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6"/>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 . . . . . . . . . . .</w:t>
            </w:r>
          </w:p>
        </w:tc>
        <w:tc>
          <w:tcPr>
            <w:tcW w:w="12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42,843</w:t>
            </w:r>
          </w:p>
        </w:tc>
        <w:tc>
          <w:tcPr>
            <w:tcW w:w="60" w:type="dxa"/>
            <w:vAlign w:val="bottom"/>
          </w:tcPr>
          <w:p>
            <w:pPr>
              <w:spacing w:after="0"/>
              <w:rPr>
                <w:sz w:val="24"/>
                <w:szCs w:val="24"/>
                <w:color w:val="auto"/>
              </w:rPr>
            </w:pPr>
          </w:p>
        </w:tc>
      </w:tr>
      <w:tr>
        <w:trPr>
          <w:trHeight w:val="28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(loss), net of tax:</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0"/>
        </w:trPr>
        <w:tc>
          <w:tcPr>
            <w:tcW w:w="2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Pension liability</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adjustment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19"/>
                <w:szCs w:val="19"/>
                <w:color w:val="auto"/>
              </w:rPr>
            </w:pPr>
          </w:p>
        </w:tc>
      </w:tr>
      <w:tr>
        <w:trPr>
          <w:trHeight w:val="280"/>
        </w:trPr>
        <w:tc>
          <w:tcPr>
            <w:tcW w:w="2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adjustment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(2,887)</w:t>
            </w:r>
          </w:p>
        </w:tc>
        <w:tc>
          <w:tcPr>
            <w:tcW w:w="120" w:type="dxa"/>
            <w:vAlign w:val="bottom"/>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(2,810)</w:t>
            </w:r>
          </w:p>
        </w:tc>
      </w:tr>
      <w:tr>
        <w:trPr>
          <w:trHeight w:val="280"/>
        </w:trPr>
        <w:tc>
          <w:tcPr>
            <w:tcW w:w="2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derivative loss on</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cash flow hedges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(593)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(593)</w:t>
            </w: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Purchase of 300,302 common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shares for treasury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(6,808)</w:t>
            </w: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(6,808)</w:t>
            </w:r>
          </w:p>
        </w:tc>
      </w:tr>
      <w:tr>
        <w:trPr>
          <w:trHeight w:val="220"/>
        </w:trPr>
        <w:tc>
          <w:tcPr>
            <w:tcW w:w="2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Issuance of 139,799 common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shares, net of shares withheld</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for taxes  . . .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(3,523)</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2,094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(1,429)</w:t>
            </w: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Stock-based compensation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3,834</w:t>
            </w:r>
          </w:p>
        </w:tc>
        <w:tc>
          <w:tcPr>
            <w:tcW w:w="1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3,834</w:t>
            </w:r>
          </w:p>
        </w:tc>
        <w:tc>
          <w:tcPr>
            <w:tcW w:w="60" w:type="dxa"/>
            <w:vAlign w:val="bottom"/>
          </w:tcPr>
          <w:p>
            <w:pPr>
              <w:spacing w:after="0"/>
              <w:rPr>
                <w:sz w:val="19"/>
                <w:szCs w:val="19"/>
                <w:color w:val="auto"/>
              </w:rPr>
            </w:pPr>
          </w:p>
        </w:tc>
      </w:tr>
      <w:tr>
        <w:trPr>
          <w:trHeight w:val="220"/>
        </w:trPr>
        <w:tc>
          <w:tcPr>
            <w:tcW w:w="2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Investment of noncontrolling</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interest  . . . .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128</w:t>
            </w:r>
          </w:p>
        </w:tc>
        <w:tc>
          <w:tcPr>
            <w:tcW w:w="12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2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Balance, December 31, 2024 . . .</w:t>
            </w: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43,550</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167,579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6"/>
              </w:rPr>
              <w:t>(11,208)</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(21,716)</w:t>
            </w:r>
          </w:p>
        </w:tc>
        <w:tc>
          <w:tcPr>
            <w:tcW w:w="1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179,014</w:t>
            </w:r>
          </w:p>
        </w:tc>
        <w:tc>
          <w:tcPr>
            <w:tcW w:w="60" w:type="dxa"/>
            <w:vAlign w:val="bottom"/>
          </w:tcPr>
          <w:p>
            <w:pPr>
              <w:spacing w:after="0"/>
              <w:rPr>
                <w:sz w:val="22"/>
                <w:szCs w:val="22"/>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2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income (loss) . . . . . . . . . . . .</w:t>
            </w:r>
          </w:p>
        </w:tc>
        <w:tc>
          <w:tcPr>
            <w:tcW w:w="12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(126)</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60" w:type="dxa"/>
            <w:vAlign w:val="bottom"/>
          </w:tcPr>
          <w:p>
            <w:pPr>
              <w:spacing w:after="0"/>
              <w:rPr>
                <w:sz w:val="22"/>
                <w:szCs w:val="22"/>
                <w:color w:val="auto"/>
              </w:rPr>
            </w:pPr>
          </w:p>
        </w:tc>
      </w:tr>
      <w:tr>
        <w:trPr>
          <w:trHeight w:val="220"/>
        </w:trPr>
        <w:tc>
          <w:tcPr>
            <w:tcW w:w="2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Other comprehensive income</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(loss), net of tax:</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Pension asset adjustment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(1,524)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(1,524)</w:t>
            </w: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Foreign currency translation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adjustment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2,640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2,790</w:t>
            </w:r>
          </w:p>
        </w:tc>
        <w:tc>
          <w:tcPr>
            <w:tcW w:w="60" w:type="dxa"/>
            <w:vAlign w:val="bottom"/>
          </w:tcPr>
          <w:p>
            <w:pPr>
              <w:spacing w:after="0"/>
              <w:rPr>
                <w:sz w:val="19"/>
                <w:szCs w:val="19"/>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Unrealized derivative loss 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cash flow hedges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(289)</w:t>
            </w: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Purchase of 582,389 common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shares for treasury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96"/>
              </w:rPr>
              <w:t>(14,436)</w:t>
            </w: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(14,436)</w:t>
            </w:r>
          </w:p>
        </w:tc>
      </w:tr>
      <w:tr>
        <w:trPr>
          <w:trHeight w:val="220"/>
        </w:trPr>
        <w:tc>
          <w:tcPr>
            <w:tcW w:w="2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Issuance of 144,367 common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shares, net of shares withheld</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28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for taxes  . . . . . . . . . . . . . . . . .</w:t>
            </w:r>
          </w:p>
        </w:tc>
        <w:tc>
          <w:tcPr>
            <w:tcW w:w="120" w:type="dxa"/>
            <w:vAlign w:val="bottom"/>
          </w:tcPr>
          <w:p>
            <w:pPr>
              <w:spacing w:after="0"/>
              <w:rPr>
                <w:sz w:val="19"/>
                <w:szCs w:val="19"/>
                <w:color w:val="auto"/>
              </w:rPr>
            </w:pPr>
          </w:p>
        </w:tc>
        <w:tc>
          <w:tcPr>
            <w:tcW w:w="52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(3,824)</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80" w:type="dxa"/>
            <w:vAlign w:val="bottom"/>
            <w:gridSpan w:val="3"/>
          </w:tcPr>
          <w:p>
            <w:pPr>
              <w:jc w:val="right"/>
              <w:ind w:right="4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(2,032)</w:t>
            </w:r>
          </w:p>
        </w:tc>
      </w:tr>
      <w:tr>
        <w:trPr>
          <w:trHeight w:val="284"/>
        </w:trPr>
        <w:tc>
          <w:tcPr>
            <w:tcW w:w="2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Stock-based compensation . . . . .</w:t>
            </w:r>
          </w:p>
        </w:tc>
        <w:tc>
          <w:tcPr>
            <w:tcW w:w="12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5,056</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5,056</w:t>
            </w:r>
          </w:p>
        </w:tc>
        <w:tc>
          <w:tcPr>
            <w:tcW w:w="6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2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Balance, December 31, 2025 . . .</w:t>
            </w: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111</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44,782</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175,124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6"/>
              </w:rPr>
              <w:t>(23,852)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(20,889)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$ 722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175,998</w:t>
            </w:r>
          </w:p>
        </w:tc>
        <w:tc>
          <w:tcPr>
            <w:tcW w:w="60" w:type="dxa"/>
            <w:vAlign w:val="bottom"/>
          </w:tcPr>
          <w:p>
            <w:pPr>
              <w:spacing w:after="0"/>
              <w:rPr>
                <w:sz w:val="24"/>
                <w:szCs w:val="24"/>
                <w:color w:val="auto"/>
              </w:rPr>
            </w:pPr>
          </w:p>
        </w:tc>
      </w:tr>
      <w:tr>
        <w:trPr>
          <w:trHeight w:val="24"/>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180"/>
          </w:cols>
          <w:pgMar w:left="1380" w:top="1432" w:right="1320" w:bottom="534"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180"/>
          </w:cols>
          <w:pgMar w:left="1380" w:top="1432" w:right="1320" w:bottom="534"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 unless otherwise noted)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Summary of Significant Accounting Policies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Organization, operations, and basis of consolidation</w:t>
      </w:r>
    </w:p>
    <w:p>
      <w:pPr>
        <w:spacing w:after="0" w:line="11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L.B. Foster Company and its wholly-owned subsidiaries, joint ventures, and partnerships in which a controlling interest is held. Inter-company transactions and accounts have been eliminated. The Company utilizes the equity method of accounting for companies where its ownership is less than or equal to 50% and significant influence exists.</w:t>
      </w:r>
    </w:p>
    <w:p>
      <w:pPr>
        <w:spacing w:after="0" w:line="1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L.B. Foster Company (together with its subsidiaries, 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operated in two reporting segments: Rail, Technologies, and Services (“Rail”) and Infrastructure Solutions (“Infrastructure”). The Rail segment is comprised of several manufacturing and distribution businesses that provide a variety of products and services for freight and passenger railroads and industrial companies throughout the world. The Infrastructure segment is composed of ten operating facilities across the US providing engineered precast concrete solutions, as well as fabricated bridge, protective pipe coating, and pipe threading offerings across North America.</w:t>
      </w:r>
    </w:p>
    <w:p>
      <w:pPr>
        <w:spacing w:after="0" w:line="11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August 30, 2023, the Company announced the discontinuation of its Bridge Products grid deck product line and completed its remaining customer obligations in 2025. The grid deck product line is reported in the Bridge Products division within the Infrastructure segment.</w:t>
      </w:r>
    </w:p>
    <w:p>
      <w:pPr>
        <w:spacing w:after="0" w:line="1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During 2025, the Company announced the discontinuation of the Automation and Materials Handling (“AMH”) product line and substantially completed its remaining customer obligations in 2025. AMH was reported in the Technology Services and Solutions business unit within the Rail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11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generally accepted accounting principles (“US GAAP”) requires management to make estimates, judgments, and assumptions that affect the amounts reported in the financial statements and accompanying notes. Actual results could differ from those estimates and changes in these estimates are recorded when known.</w:t>
      </w:r>
    </w:p>
    <w:p>
      <w:pPr>
        <w:spacing w:after="0" w:line="199" w:lineRule="exact"/>
        <w:rPr>
          <w:sz w:val="20"/>
          <w:szCs w:val="20"/>
          <w:color w:val="auto"/>
        </w:rPr>
      </w:pPr>
    </w:p>
    <w:p>
      <w:pPr>
        <w:jc w:val="right"/>
        <w:ind w:right="6520"/>
        <w:spacing w:after="0"/>
        <w:rPr>
          <w:sz w:val="20"/>
          <w:szCs w:val="20"/>
          <w:color w:val="auto"/>
        </w:rPr>
      </w:pPr>
      <w:r>
        <w:rPr>
          <w:rFonts w:ascii="Times New Roman" w:cs="Times New Roman" w:eastAsia="Times New Roman" w:hAnsi="Times New Roman"/>
          <w:sz w:val="20"/>
          <w:szCs w:val="20"/>
          <w:b w:val="1"/>
          <w:bCs w:val="1"/>
          <w:u w:val="single" w:color="auto"/>
          <w:color w:val="auto"/>
        </w:rPr>
        <w:t>Significant accounting policies</w:t>
      </w:r>
    </w:p>
    <w:p>
      <w:pPr>
        <w:spacing w:after="0" w:line="106" w:lineRule="exact"/>
        <w:rPr>
          <w:sz w:val="20"/>
          <w:szCs w:val="20"/>
          <w:color w:val="auto"/>
        </w:rPr>
      </w:pPr>
    </w:p>
    <w:p>
      <w:pPr>
        <w:jc w:val="right"/>
        <w:ind w:right="6580"/>
        <w:spacing w:after="0"/>
        <w:rPr>
          <w:sz w:val="20"/>
          <w:szCs w:val="20"/>
          <w:color w:val="auto"/>
        </w:rPr>
      </w:pPr>
      <w:r>
        <w:rPr>
          <w:rFonts w:ascii="Times New Roman" w:cs="Times New Roman" w:eastAsia="Times New Roman" w:hAnsi="Times New Roman"/>
          <w:sz w:val="20"/>
          <w:szCs w:val="20"/>
          <w:i w:val="1"/>
          <w:iCs w:val="1"/>
          <w:u w:val="single" w:color="auto"/>
          <w:color w:val="auto"/>
        </w:rPr>
        <w:t>Cash and cash equivalents</w:t>
      </w:r>
    </w:p>
    <w:p>
      <w:pPr>
        <w:spacing w:after="0" w:line="11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considers cash and other instruments with maturities of three months or less when purchased to be cash and cash equivalents. The Company invests available funds in a manner to preserve investment principal and maintain liquidity. Cash and cash equivalents held in non-domestic accounts were $4,029 and $1,882 as of December 31, 2025 and 2024, respectively.</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Accounts Receivable</w:t>
      </w:r>
    </w:p>
    <w:p>
      <w:pPr>
        <w:spacing w:after="0" w:line="11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Trade receivables are carried at their estimated collectible amounts. Trade credit is generally extended on a short-term basis; thus trade receivables do not bear interest. Credit is extended based upon an evaluation of the customer’s financial condition and, while collateral is not required, the Company periodically receives surety bonds that guarantee payment. Credit terms are consistent with industry standards and practices.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Allowance for credit losses</w:t>
      </w:r>
    </w:p>
    <w:p>
      <w:pPr>
        <w:spacing w:after="0" w:line="11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Company established the allowance for credit losses by calculating the amount to reserve based on the age of a given trade receivable and considering historical collection patterns, bad debt expense experience,</w:t>
      </w:r>
    </w:p>
    <w:p>
      <w:pPr>
        <w:sectPr>
          <w:pgSz w:w="11880" w:h="15480" w:orient="portrait"/>
          <w:cols w:equalWidth="0" w:num="1">
            <w:col w:w="9120"/>
          </w:cols>
          <w:pgMar w:left="1380" w:top="1432" w:right="1380" w:bottom="53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120"/>
          </w:cols>
          <w:pgMar w:left="1380" w:top="1432" w:right="1380" w:bottom="534" w:gutter="0" w:footer="0" w:header="0"/>
          <w:type w:val="continuous"/>
        </w:sectPr>
      </w:pPr>
    </w:p>
    <w:bookmarkStart w:id="51" w:name="page52"/>
    <w:bookmarkEnd w:id="51"/>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 Reserves for uncollectible accounts are recorded as part of “Selling and administrative expenses” in the Consolidated Statements of Operations.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also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 contract assets related to short-term, less complex contracts. Management also regularly reviews collection patterns and future expected collections and makes necessary revisions to allowance for credit losses related to contract assets.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Inventory</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Inventory is valued at the lower of average cost or net realizable value. Slow-moving inventory is reviewed and adjusted regularly, based upon product knowledge, physical inventory observation, inventory turnover, and the age of the inventory. Inventory costs include materials, direct labor, manufacturing overhead, and other direct costs.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Property, plant, and equipment</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Depreciation and amortization are recorded on a straight-line basis over the estimated useful lives of 10 to 40 years for buildings and 2 to 50 years for machinery and equipment. Leasehold improvements are amortized over 3 to 19 years, which represent the lives of the respective leases or the lives of the improvements, whichever is shorter. Depreciation expense is recorded within “Cost of goods sold,” “Cost of services sold,” and “Selling and administrative expenses” on the Consolidated Statements of Operations based upon the particular asset’s use. The Company reviews a long-lived asset for impairment whenever events or changes in circumstances indicate that the carrying amount of the asset may not be recoverable. The Company recognizes an impairment loss if the carrying amount of a long-lived asset is not recoverable and exceeds its fair value.</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Maintenance, repairs, and minor renewals are charged to operations as incurred. Major renewals and betterments that substantially extend the useful life of the property are capitalized at cost. Upon the sale or other disposition of assets, the costs and related accumulated depreciation and amortization are removed from the accounts and the resulting gain or loss, if any, is reflected in “Cost of goods sold,” “Cost of services sold,” and “Selling and administrative expenses” on the Consolidated Statements of Operations based upon the particular asset’s use.</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Goodwill and other intangible assets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Goodwill is the cost of an acquisition less the fair value of the identifiable net assets of the acquired business. Goodwill is tested annually for impairment or more often if there are indicators of impairment within a reporting unit. A reporting unit is an operating segment or a component of an operating segment for which discrete financial information is available and reviewed by management on a regular basis. The goodwill impairment test involves comparing the fair value of a reporting unit to its carrying value, including goodwill. When evaluating for impairment the Company may first consider qualitative factors to assess whether there are indicators that it is more likely than not that the fair value of a reporting unit may not exceed its carrying amount. If we do not perform a qualitative assessment, or if we determine that it is more like than not that the fair value of the reporting unit does not exceed its carrying value, we perform a quantitative assessment by comparing the fair value of a reporting unit to its carrying value, including goodwill. If the carrying amount of the reporting unit exceeds its fair value, an impairment loss equal to the excess amount up to the goodwill balance is recorded as a component of operations. The Company’s quantitative analysis uses a discounted cash flow method within the income approach to determine the fair values of the reporting units. The Company performs its annual impairment tests in the fourth quarter.</w:t>
      </w:r>
    </w:p>
    <w:p>
      <w:pPr>
        <w:sectPr>
          <w:pgSz w:w="11880" w:h="15480" w:orient="portrait"/>
          <w:cols w:equalWidth="0" w:num="1">
            <w:col w:w="9120"/>
          </w:cols>
          <w:pgMar w:left="1380" w:top="1440" w:right="1380" w:bottom="534"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120"/>
          </w:cols>
          <w:pgMar w:left="1380" w:top="1440" w:right="1380" w:bottom="534" w:gutter="0" w:footer="0" w:header="0"/>
          <w:type w:val="continuous"/>
        </w:sectPr>
      </w:pPr>
    </w:p>
    <w:bookmarkStart w:id="52" w:name="page53"/>
    <w:bookmarkEnd w:id="52"/>
    <w:p>
      <w:pPr>
        <w:spacing w:after="0" w:line="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fourth quarter 2025 annual test included the assessment of a quantitative analysis to determine whether it was more likely than not that the fair value of each reporting unit is less than its carrying value. The quantitative assessment considers fair value as the price that would be received to sell an asset or paid to transfer a liability in an orderly transaction between market participants at the measurement date. The quantitative assessment primarily relied on the discounted cash flow method within the income approach to value the reporting units. Any impairment charges are based on both historic and future expected business results that no longer support the carrying value of the reporting unit. The Company also monitors the recoverability of the long-lived assets associated with certain reporting units of the Company and the long-term financial projections of the businesses to assess for asset impairment. No impairment was recorded during 2025.</w:t>
      </w:r>
    </w:p>
    <w:p>
      <w:pPr>
        <w:spacing w:after="0" w:line="14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has no indefinite-lived intangible assets. The Company reviews a long-lived intangible asset for impairment whenever events or changes in circumstances indicate that the carrying amount of the asset may not be recoverable. All intangible assets are amortized over their estimated useful lives.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Environmental remediation and compliance</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Environmental remediation costs are accrued when a liability is probable and costs are estimable. Environmental compliance costs, which principally include the disposal of waste generated by routine operations, are expensed as incurred. Reserves are not reduced by potential claims for recovery and are not discounted. Claims for recovery are recognized as agreements are reached with third parties or as amounts are received. Reserves are periodically reviewed throughout the year and adjusted to reflect current remediation progress, prospective estimates of required activity, and other factors that may be relevant, including changes in technology or regulations.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Revenue recognition</w:t>
      </w:r>
    </w:p>
    <w:p>
      <w:pPr>
        <w:spacing w:after="0" w:line="14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revenues are comprised of product and service sales, including products and services provided under long-term agreements with its customers. All revenue is recognized when the Company satisfies its performance obligations under the respective contract, either implicit or explicit, by transferring the promised product or rendering a service to its customer either when or as its customer obtains control of the product or the service is rendered. Deferred revenue consists of customer billings or payments received for which the revenue recognition criteria have not yet been met as well as contract liabilities (billings in excess of costs) on over time contracts. Advance payments from customers typically relate to contracts for which the Company has significantly fulfilled its obligations, but due to the Company’s continuing involvement with the project, revenue is precluded from being recognized until the performance obligation is met for the customer.</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Product warranty</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maintains a current warranty liability for the repair or replacement of defective products. For certain manufactured products, an accrual is made on a monthly basis as a percentage of cost of sales based upon historical experience. For long-lived construction products, a warranty is established when the claim is known and quantifiable. The product warranty accrual is periodically adjusted based on the identification or resolution of known individual product warranty claims or due to changes in the Company’s historical warranty experience. As of December 31, 2025 and 2024, the product warranty reserve was $652 and $602, respectively.</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Income taxes</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financial statement carrying amounts of assets and liabilities and their respective tax bases. Deferred taxes are measured using enacted tax laws and rates expected to be in effect when such differences are recovered or settled. The effect of a change in tax rates on deferred taxes is recognized in income in the period that includes the enactment date of the change. The Company has also elected to record income taxes associated with global intangible low-taxed income (“GILTI”) as period costs if and when incurred.</w:t>
      </w:r>
    </w:p>
    <w:p>
      <w:pPr>
        <w:sectPr>
          <w:pgSz w:w="11880" w:h="15480" w:orient="portrait"/>
          <w:cols w:equalWidth="0" w:num="1">
            <w:col w:w="9120"/>
          </w:cols>
          <w:pgMar w:left="1380" w:top="1440" w:right="1380" w:bottom="534"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120"/>
          </w:cols>
          <w:pgMar w:left="1380" w:top="1440" w:right="1380" w:bottom="534" w:gutter="0" w:footer="0" w:header="0"/>
          <w:type w:val="continuous"/>
        </w:sectPr>
      </w:pPr>
    </w:p>
    <w:bookmarkStart w:id="53" w:name="page54"/>
    <w:bookmarkEnd w:id="53"/>
    <w:p>
      <w:pPr>
        <w:spacing w:after="0" w:line="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makes judgments regarding the recognition of deferred tax assets and the future realization of these assets. As prescribed by the FASB’s ASC 740, “Income Taxes” and applicable guidance, valuation allowances must be provided for those deferred tax assets for which it is more likely than not (a likelihood of more than 50%) that some portion or all of the deferred tax assets will not be realized. The guidance requires the Company to evaluate positive and negative evidence regarding the recoverability of deferred tax assets. The determination of whether the positive evidence outweighs the negative evidence and quantification of the valuation allowance requires the Company to make estimates and judgments of future financial results. The Company has concluded that for purposes of quantifying valuation allowances, it would be appropriate to consider the reversal of taxable temporary differences related to indefinite-lived intangible assets when assessing the realizability of deferred tax assets that upon reversal, would give rise to operating losses that do not expire.</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evaluates all tax positions taken on its federal, state, and foreign tax filings to determine if the position is more likely than not to be sustained upon examination. For positions that meet the more likely than not to be sustained criteria, the largest amount of benefit to be realized upon ultimate settlement is determined on a cumulative probability basis. A previously recognized tax position is derecognized when it is subsequently determined that a tax position no longer meets the more likely than not threshold to be sustained. The evaluation of the sustainability of a tax position and the expected tax benefit is based on judgment, historical experience, and various other assumptions. Actual results could differ from those estimates upon subsequent resolution of identified matters. The Company accrues interest and penalties related to unrecognized tax benefits in its provision for income taxes.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Foreign currency translation</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assets and liabilities of the Company’s foreign subsidiaries are measured using the local currency as the functional currency and are translated into US dollars at exchange rates as of the balance sheet date. Income statement amounts are translated at the weighted-average rates of exchange during the year. The translation adjustment is accumulated as a separate component of “Accumulated other comprehensive loss” within the Consolidated Balance Sheets. Foreign currency transaction gains and losses are included in “Other income or expense.”</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Research and development</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expenses research and development costs as costs are incurred. For the years ended December 31, 2025 and 2024, research and development expenses were $3,643 and $2,831, respectively, and were principally related to the Company’s friction management and railroad monitoring system products within the Rail segment.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Recently issued accounting guidance</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No. 2023-09, Income Taxes (Topic 740): Improvements to Income Tax Disclosures (“ASU 2023-09”). ASU 2023-09 requires entities to disclose additional information with respect to the effective tax rate reconciliation and disaggregation of income tax expense and income taxes paid by jurisdiction. The Company adopted this guidance for the year ended December 31, 2025 and applied to the guidance retrospectively to all periods presented in the financial statements. The expanded disclosures of the provision of ASU 2023-09 are included in Note 13. ASU 2023-09 affects only disclosures with no impacts to the Company’s financial condition, results of operations, and cash flows.</w:t>
      </w:r>
    </w:p>
    <w:p>
      <w:pPr>
        <w:spacing w:after="0" w:line="200" w:lineRule="exact"/>
        <w:rPr>
          <w:sz w:val="20"/>
          <w:szCs w:val="20"/>
          <w:color w:val="auto"/>
        </w:rPr>
      </w:pPr>
    </w:p>
    <w:p>
      <w:pPr>
        <w:spacing w:after="0" w:line="29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w:t>
      </w:r>
    </w:p>
    <w:p>
      <w:pPr>
        <w:sectPr>
          <w:pgSz w:w="11880" w:h="15480" w:orient="portrait"/>
          <w:cols w:equalWidth="0" w:num="1">
            <w:col w:w="9120"/>
          </w:cols>
          <w:pgMar w:left="1380" w:top="1440" w:right="1380" w:bottom="53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120"/>
          </w:cols>
          <w:pgMar w:left="1380" w:top="1440" w:right="1380" w:bottom="534" w:gutter="0" w:footer="0" w:header="0"/>
          <w:type w:val="continuous"/>
        </w:sectPr>
      </w:pPr>
    </w:p>
    <w:bookmarkStart w:id="54" w:name="page55"/>
    <w:bookmarkEnd w:id="54"/>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September 2025, the FASB issued Accounting Standards Update 2025-06, Intangibles — Goodwill and Other — Internal-Use Software (Subtopic 350-40) (“ASU 2025-06”), which provides targeted improvements related to the accounting for costs incurred in the development of internal-use software. The amendment replaces the previous stage-based model with clearer guidance on capitalization thresholds and implementation costs. The amendments are effective for annual periods beginning after December 15, 2027, and interim reporting periods within those annual reporting periods. Early adoption is permitted as of the beginning of an annual reporting period. The Company is currently evaluating the impact of adopting this guidance on the consolidated financial statements and related disclosures.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Business Segments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determines its operating segments based on how the Company’s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13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two reportable segments: Rail and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13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Rail reporting segment consists of the Rail Products, Global Friction Management, and Technology Services and Solutions business units, which was evaluated based on the factors outlined above. The Rail reporting segment engineers, manufactures, and assembles friction management products and railway wayside data collection, application systems, railroad condition monitoring systems and equipment, wheel impact load detection systems, management systems, and provides services for these products. The Rail segment also provides a full line of new and used rail, trackwork, and accessories to railroads, mines, and other customers in the rail industry as well as designs and produces insulated rail joints, power rail, track fasteners, coverboards, and special accessories for mass transit and other rail systems. In addition, the Rail segment provides controls, displays, and telecommunication contract management solutions for the transit, control room, and customer information and display sectors to enhance safety, operational efficiency, and customer experience.</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During year ended December 31, 2025, the Company announced the discontinuation of its Automation and Materials Handling product line (“AMH Exit”) which was reported in the Technology Services and Solutions business unit within the Rail segment. The decision to exit was due to the Company’s initiatives to scale back businesses in the United Kingdom. The Company completed all remaining customer obligations in 2025. This product line had net sales of $1,843 and $5,230 for the years ended December 31, 2025 and 2024, respectively. The Company has incurred a total of $1,351 in exit costs associated with the AMH Exit, which included $615 in inventory write-offs, $40 in fixed asset write-offs, $507 in personnel expenses, and $189 in other exit costs. Exit costs of $1,085 were recorded in “Cost of goods sold” and $266 were recorded in “Selling and administrative expenses” within our Rail segment. The Company does not expect to incur additional material exit costs.</w:t>
      </w:r>
    </w:p>
    <w:p>
      <w:pPr>
        <w:sectPr>
          <w:pgSz w:w="11880" w:h="15480" w:orient="portrait"/>
          <w:cols w:equalWidth="0" w:num="1">
            <w:col w:w="9120"/>
          </w:cols>
          <w:pgMar w:left="1380" w:top="1440" w:right="1380" w:bottom="534"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120"/>
          </w:cols>
          <w:pgMar w:left="1380" w:top="1440" w:right="1380" w:bottom="534" w:gutter="0" w:footer="0" w:header="0"/>
          <w:type w:val="continuous"/>
        </w:sectPr>
      </w:pPr>
    </w:p>
    <w:bookmarkStart w:id="55" w:name="page56"/>
    <w:bookmarkEnd w:id="55"/>
    <w:p>
      <w:pPr>
        <w:spacing w:after="0" w:line="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Infrastructure segment consists of the Precast Concrete Products and Steel Products business units. The Precast Concrete Products business unit produces precast concrete buildings and a variety of specialty precast concrete products for use in several infrastructure end markets, including transportation, energy, and general infrastructure. The precast concrete buildings are primarily used as restrooms, concession stands, and protective storage buildings in national, state, and municipal parks, while other precast products include sound walls, bridge beams and other wet/dry utilities concrete products. The Company leased a facility in Lake County, Florida in 2024, which produced precast concrete wall systems as operations commenced in 2025. The Steel Products business unit also produces threaded pipe products for industrial water well and irrigation markets as well as pipe coatings for oil and gas markets. In addition, the segment produces fabricated bridge forms.</w:t>
      </w:r>
    </w:p>
    <w:p>
      <w:pPr>
        <w:spacing w:after="0" w:line="13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August 30, 2023, the Company announced the discontinuation of its Bridge Products grid deck product line (the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bridge grid deck product line completed substantially all customer obligations as of December 31, 2025. For the years ended December 31, 2025 and 2024, the product line had $1,637 and $3,700 in sales, respectively. During 2024, the Company incurred an immaterial amount of exit costs, all of which were personnel expenses.</w:t>
      </w:r>
    </w:p>
    <w:p>
      <w:pPr>
        <w:spacing w:after="0" w:line="13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w:t>
      </w:r>
    </w:p>
    <w:p>
      <w:pPr>
        <w:spacing w:after="0" w:line="1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expense — net, which are managed on a consolidated basis, are not allocated to the operating segments.</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120"/>
          </w:cols>
          <w:pgMar w:left="1380" w:top="1440" w:right="1380" w:bottom="534" w:gutter="0" w:footer="0" w:header="0"/>
          <w:type w:val="continuous"/>
        </w:sectPr>
      </w:pPr>
    </w:p>
    <w:bookmarkStart w:id="56" w:name="page57"/>
    <w:bookmarkEnd w:id="56"/>
    <w:p>
      <w:pPr>
        <w:ind w:left="400"/>
        <w:spacing w:after="0"/>
        <w:rPr>
          <w:sz w:val="20"/>
          <w:szCs w:val="20"/>
          <w:color w:val="auto"/>
        </w:rPr>
      </w:pPr>
      <w:r>
        <w:rPr>
          <w:rFonts w:ascii="Times New Roman" w:cs="Times New Roman" w:eastAsia="Times New Roman" w:hAnsi="Times New Roman"/>
          <w:sz w:val="20"/>
          <w:szCs w:val="20"/>
          <w:color w:val="auto"/>
        </w:rPr>
        <w:t>The operating results of the Company’s reportable segments were as follows as of and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00" w:type="dxa"/>
            <w:vAlign w:val="bottom"/>
            <w:gridSpan w:val="5"/>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Rail, Technologies,</w:t>
            </w:r>
          </w:p>
        </w:tc>
        <w:tc>
          <w:tcPr>
            <w:tcW w:w="1280" w:type="dxa"/>
            <w:vAlign w:val="bottom"/>
            <w:gridSpan w:val="5"/>
          </w:tcPr>
          <w:p>
            <w:pPr>
              <w:jc w:val="center"/>
              <w:ind w:right="300"/>
              <w:spacing w:after="0" w:line="170" w:lineRule="exact"/>
              <w:rPr>
                <w:sz w:val="20"/>
                <w:szCs w:val="20"/>
                <w:color w:val="auto"/>
              </w:rPr>
            </w:pPr>
            <w:r>
              <w:rPr>
                <w:rFonts w:ascii="Times New Roman" w:cs="Times New Roman" w:eastAsia="Times New Roman" w:hAnsi="Times New Roman"/>
                <w:sz w:val="16"/>
                <w:szCs w:val="16"/>
                <w:b w:val="1"/>
                <w:bCs w:val="1"/>
                <w:color w:val="auto"/>
                <w:w w:val="99"/>
              </w:rPr>
              <w:t>Infrastructure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600" w:type="dxa"/>
            <w:vAlign w:val="bottom"/>
            <w:gridSpan w:val="5"/>
          </w:tcPr>
          <w:p>
            <w:pPr>
              <w:ind w:left="220"/>
              <w:spacing w:after="0" w:line="182" w:lineRule="exact"/>
              <w:rPr>
                <w:sz w:val="20"/>
                <w:szCs w:val="20"/>
                <w:color w:val="auto"/>
              </w:rPr>
            </w:pPr>
            <w:r>
              <w:rPr>
                <w:rFonts w:ascii="Times New Roman" w:cs="Times New Roman" w:eastAsia="Times New Roman" w:hAnsi="Times New Roman"/>
                <w:sz w:val="16"/>
                <w:szCs w:val="16"/>
                <w:b w:val="1"/>
                <w:bCs w:val="1"/>
                <w:color w:val="auto"/>
              </w:rPr>
              <w:t>and Services</w:t>
            </w:r>
          </w:p>
        </w:tc>
        <w:tc>
          <w:tcPr>
            <w:tcW w:w="80" w:type="dxa"/>
            <w:vAlign w:val="bottom"/>
          </w:tcPr>
          <w:p>
            <w:pPr>
              <w:spacing w:after="0"/>
              <w:rPr>
                <w:sz w:val="16"/>
                <w:szCs w:val="16"/>
                <w:color w:val="auto"/>
              </w:rPr>
            </w:pPr>
          </w:p>
        </w:tc>
        <w:tc>
          <w:tcPr>
            <w:tcW w:w="1200" w:type="dxa"/>
            <w:vAlign w:val="bottom"/>
            <w:gridSpan w:val="4"/>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100" w:type="dxa"/>
            <w:vAlign w:val="bottom"/>
          </w:tcPr>
          <w:p>
            <w:pPr>
              <w:spacing w:after="0"/>
              <w:rPr>
                <w:sz w:val="16"/>
                <w:szCs w:val="16"/>
                <w:color w:val="auto"/>
              </w:rPr>
            </w:pPr>
          </w:p>
        </w:tc>
        <w:tc>
          <w:tcPr>
            <w:tcW w:w="78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 . . . . . . . . . . . . . . .</w:t>
            </w:r>
          </w:p>
        </w:tc>
        <w:tc>
          <w:tcPr>
            <w:tcW w:w="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305,726</w:t>
            </w:r>
          </w:p>
        </w:tc>
        <w:tc>
          <w:tcPr>
            <w:tcW w:w="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234,283</w:t>
            </w:r>
          </w:p>
        </w:tc>
        <w:tc>
          <w:tcPr>
            <w:tcW w:w="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540,009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Cost of sales . . . . . . . . .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(243,396)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6"/>
              </w:rPr>
              <w:t>(182,861)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(426,257)</w:t>
            </w: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Selling and administrative employment costs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(29,301)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(23,441)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(52,742)</w:t>
            </w:r>
          </w:p>
        </w:tc>
        <w:tc>
          <w:tcPr>
            <w:tcW w:w="0" w:type="dxa"/>
            <w:vAlign w:val="bottom"/>
          </w:tcPr>
          <w:p>
            <w:pPr>
              <w:spacing w:after="0"/>
              <w:rPr>
                <w:sz w:val="1"/>
                <w:szCs w:val="1"/>
                <w:color w:val="auto"/>
              </w:rPr>
            </w:pPr>
          </w:p>
        </w:tc>
      </w:tr>
      <w:tr>
        <w:trPr>
          <w:trHeight w:val="34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Purchased services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(6,679)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(5,632)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(12,311)</w:t>
            </w: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line="280" w:lineRule="exact"/>
              <w:rPr>
                <w:sz w:val="20"/>
                <w:szCs w:val="20"/>
                <w:color w:val="auto"/>
              </w:rPr>
            </w:pPr>
            <w:r>
              <w:rPr>
                <w:rFonts w:ascii="Times New Roman" w:cs="Times New Roman" w:eastAsia="Times New Roman" w:hAnsi="Times New Roman"/>
                <w:sz w:val="20"/>
                <w:szCs w:val="20"/>
                <w:color w:val="auto"/>
              </w:rPr>
              <w:t>General administrative costs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(8,628)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(5,381)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(14,009)</w:t>
            </w:r>
          </w:p>
        </w:tc>
        <w:tc>
          <w:tcPr>
            <w:tcW w:w="0" w:type="dxa"/>
            <w:vAlign w:val="bottom"/>
          </w:tcPr>
          <w:p>
            <w:pPr>
              <w:spacing w:after="0"/>
              <w:rPr>
                <w:sz w:val="1"/>
                <w:szCs w:val="1"/>
                <w:color w:val="auto"/>
              </w:rPr>
            </w:pPr>
          </w:p>
        </w:tc>
      </w:tr>
      <w:tr>
        <w:trPr>
          <w:trHeight w:val="224"/>
        </w:trPr>
        <w:tc>
          <w:tcPr>
            <w:tcW w:w="542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Amortization expense . . . . . . . . . . . . . . . . . . . . . . . . . . . . . . .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(2,130)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(1,181)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(3,311)</w:t>
            </w:r>
          </w:p>
        </w:tc>
        <w:tc>
          <w:tcPr>
            <w:tcW w:w="0" w:type="dxa"/>
            <w:vAlign w:val="bottom"/>
          </w:tcPr>
          <w:p>
            <w:pPr>
              <w:spacing w:after="0"/>
              <w:rPr>
                <w:sz w:val="1"/>
                <w:szCs w:val="1"/>
                <w:color w:val="auto"/>
              </w:rPr>
            </w:pPr>
          </w:p>
        </w:tc>
      </w:tr>
      <w:tr>
        <w:trPr>
          <w:trHeight w:val="31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Segment operating income  . . . . . . . . . . . . . . . . . . . . . . . . . . . . . .</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15,592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4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Reconciliation of segment operating income</w:t>
            </w: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5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segment operating income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expense — net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income — net  . .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Public company costs  .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(4,395)</w:t>
            </w: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Corporate executive management costs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(2,130)</w:t>
            </w:r>
          </w:p>
        </w:tc>
        <w:tc>
          <w:tcPr>
            <w:tcW w:w="0" w:type="dxa"/>
            <w:vAlign w:val="bottom"/>
          </w:tcPr>
          <w:p>
            <w:pPr>
              <w:spacing w:after="0"/>
              <w:rPr>
                <w:sz w:val="1"/>
                <w:szCs w:val="1"/>
                <w:color w:val="auto"/>
              </w:rPr>
            </w:pPr>
          </w:p>
        </w:tc>
      </w:tr>
      <w:tr>
        <w:trPr>
          <w:trHeight w:val="28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Corporate management stock-based compensation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(2,864)</w:t>
            </w:r>
          </w:p>
        </w:tc>
        <w:tc>
          <w:tcPr>
            <w:tcW w:w="0" w:type="dxa"/>
            <w:vAlign w:val="bottom"/>
          </w:tcPr>
          <w:p>
            <w:pPr>
              <w:spacing w:after="0"/>
              <w:rPr>
                <w:sz w:val="1"/>
                <w:szCs w:val="1"/>
                <w:color w:val="auto"/>
              </w:rPr>
            </w:pPr>
          </w:p>
        </w:tc>
      </w:tr>
      <w:tr>
        <w:trPr>
          <w:trHeight w:val="284"/>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corporate expenses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32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before income taxes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60" w:hanging="340"/>
        <w:spacing w:after="0" w:line="207" w:lineRule="auto"/>
        <w:tabs>
          <w:tab w:leader="none" w:pos="340" w:val="left"/>
        </w:tabs>
        <w:numPr>
          <w:ilvl w:val="0"/>
          <w:numId w:val="12"/>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20"/>
          <w:szCs w:val="20"/>
          <w:i w:val="1"/>
          <w:iCs w:val="1"/>
          <w:color w:val="auto"/>
        </w:rPr>
        <w:t>Purchased services costs generally include contractor services, insurance expenditures, rental expense, and legal services.</w:t>
      </w:r>
    </w:p>
    <w:p>
      <w:pPr>
        <w:spacing w:after="0" w:line="23" w:lineRule="exact"/>
        <w:rPr>
          <w:rFonts w:ascii="Times New Roman" w:cs="Times New Roman" w:eastAsia="Times New Roman" w:hAnsi="Times New Roman"/>
          <w:sz w:val="26"/>
          <w:szCs w:val="26"/>
          <w:i w:val="1"/>
          <w:iCs w:val="1"/>
          <w:color w:val="auto"/>
          <w:vertAlign w:val="superscript"/>
        </w:rPr>
      </w:pPr>
    </w:p>
    <w:p>
      <w:pPr>
        <w:ind w:left="340" w:right="60" w:hanging="340"/>
        <w:spacing w:after="0" w:line="207" w:lineRule="auto"/>
        <w:tabs>
          <w:tab w:leader="none" w:pos="340" w:val="left"/>
        </w:tabs>
        <w:numPr>
          <w:ilvl w:val="0"/>
          <w:numId w:val="12"/>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20"/>
          <w:szCs w:val="20"/>
          <w:i w:val="1"/>
          <w:iCs w:val="1"/>
          <w:color w:val="auto"/>
        </w:rPr>
        <w:t>General administrative costs generally include office supplies, utilities, advertising, bad debt expense, and restructuring expenditures.</w:t>
      </w:r>
    </w:p>
    <w:p>
      <w:pPr>
        <w:sectPr>
          <w:pgSz w:w="11880" w:h="15480" w:orient="portrait"/>
          <w:cols w:equalWidth="0" w:num="1">
            <w:col w:w="9180"/>
          </w:cols>
          <w:pgMar w:left="1380" w:top="1432" w:right="132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180"/>
          </w:cols>
          <w:pgMar w:left="1380" w:top="1432" w:right="1320" w:bottom="534" w:gutter="0" w:footer="0" w:header="0"/>
          <w:type w:val="continuous"/>
        </w:sectPr>
      </w:pPr>
    </w:p>
    <w:bookmarkStart w:id="57" w:name="page58"/>
    <w:bookmarkEnd w:id="57"/>
    <w:p>
      <w:pPr>
        <w:spacing w:after="0" w:line="2"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auto"/>
        </w:rPr>
        <w:t>Included in the Rail segment operating income for the year ended December 31, 2025, was $2,184 in expenses related to restructuring in the UK business and $1,351 of AMH Exit costs.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00" w:type="dxa"/>
            <w:vAlign w:val="bottom"/>
            <w:gridSpan w:val="5"/>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Rail, Technologies,</w:t>
            </w:r>
          </w:p>
        </w:tc>
        <w:tc>
          <w:tcPr>
            <w:tcW w:w="1280" w:type="dxa"/>
            <w:vAlign w:val="bottom"/>
            <w:gridSpan w:val="5"/>
          </w:tcPr>
          <w:p>
            <w:pPr>
              <w:jc w:val="center"/>
              <w:ind w:right="300"/>
              <w:spacing w:after="0" w:line="170" w:lineRule="exact"/>
              <w:rPr>
                <w:sz w:val="20"/>
                <w:szCs w:val="20"/>
                <w:color w:val="auto"/>
              </w:rPr>
            </w:pPr>
            <w:r>
              <w:rPr>
                <w:rFonts w:ascii="Times New Roman" w:cs="Times New Roman" w:eastAsia="Times New Roman" w:hAnsi="Times New Roman"/>
                <w:sz w:val="16"/>
                <w:szCs w:val="16"/>
                <w:b w:val="1"/>
                <w:bCs w:val="1"/>
                <w:color w:val="auto"/>
                <w:w w:val="99"/>
              </w:rPr>
              <w:t>Infrastructure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600" w:type="dxa"/>
            <w:vAlign w:val="bottom"/>
            <w:gridSpan w:val="5"/>
          </w:tcPr>
          <w:p>
            <w:pPr>
              <w:ind w:left="220"/>
              <w:spacing w:after="0" w:line="182" w:lineRule="exact"/>
              <w:rPr>
                <w:sz w:val="20"/>
                <w:szCs w:val="20"/>
                <w:color w:val="auto"/>
              </w:rPr>
            </w:pPr>
            <w:r>
              <w:rPr>
                <w:rFonts w:ascii="Times New Roman" w:cs="Times New Roman" w:eastAsia="Times New Roman" w:hAnsi="Times New Roman"/>
                <w:sz w:val="16"/>
                <w:szCs w:val="16"/>
                <w:b w:val="1"/>
                <w:bCs w:val="1"/>
                <w:color w:val="auto"/>
              </w:rPr>
              <w:t>and Services</w:t>
            </w:r>
          </w:p>
        </w:tc>
        <w:tc>
          <w:tcPr>
            <w:tcW w:w="80" w:type="dxa"/>
            <w:vAlign w:val="bottom"/>
          </w:tcPr>
          <w:p>
            <w:pPr>
              <w:spacing w:after="0"/>
              <w:rPr>
                <w:sz w:val="16"/>
                <w:szCs w:val="16"/>
                <w:color w:val="auto"/>
              </w:rPr>
            </w:pPr>
          </w:p>
        </w:tc>
        <w:tc>
          <w:tcPr>
            <w:tcW w:w="1200" w:type="dxa"/>
            <w:vAlign w:val="bottom"/>
            <w:gridSpan w:val="4"/>
          </w:tcPr>
          <w:p>
            <w:pPr>
              <w:jc w:val="center"/>
              <w:ind w:right="380"/>
              <w:spacing w:after="0" w:line="182" w:lineRule="exact"/>
              <w:rPr>
                <w:sz w:val="20"/>
                <w:szCs w:val="20"/>
                <w:color w:val="auto"/>
              </w:rPr>
            </w:pPr>
            <w:r>
              <w:rPr>
                <w:rFonts w:ascii="Times New Roman" w:cs="Times New Roman" w:eastAsia="Times New Roman" w:hAnsi="Times New Roman"/>
                <w:sz w:val="16"/>
                <w:szCs w:val="16"/>
                <w:b w:val="1"/>
                <w:bCs w:val="1"/>
                <w:color w:val="auto"/>
                <w:w w:val="98"/>
              </w:rPr>
              <w:t>Solutions</w:t>
            </w:r>
          </w:p>
        </w:tc>
        <w:tc>
          <w:tcPr>
            <w:tcW w:w="100" w:type="dxa"/>
            <w:vAlign w:val="bottom"/>
          </w:tcPr>
          <w:p>
            <w:pPr>
              <w:spacing w:after="0"/>
              <w:rPr>
                <w:sz w:val="16"/>
                <w:szCs w:val="16"/>
                <w:color w:val="auto"/>
              </w:rPr>
            </w:pPr>
          </w:p>
        </w:tc>
        <w:tc>
          <w:tcPr>
            <w:tcW w:w="78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sales  . . . . . . . . . . . . . . . . . . . . . . . . . . . . . . . . . . . . . . . . . . . .</w:t>
            </w:r>
          </w:p>
        </w:tc>
        <w:tc>
          <w:tcPr>
            <w:tcW w:w="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326,869</w:t>
            </w:r>
          </w:p>
        </w:tc>
        <w:tc>
          <w:tcPr>
            <w:tcW w:w="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203,896</w:t>
            </w:r>
          </w:p>
        </w:tc>
        <w:tc>
          <w:tcPr>
            <w:tcW w:w="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530,765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Cost of sales . . . . . . . . . . . . . . .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(254,400)</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6"/>
              </w:rPr>
              <w:t>(158,303)</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(412,703)</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Selling and administrative employment costs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(32,002)</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(23,868)</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(55,870)</w:t>
            </w:r>
          </w:p>
        </w:tc>
        <w:tc>
          <w:tcPr>
            <w:tcW w:w="0" w:type="dxa"/>
            <w:vAlign w:val="bottom"/>
          </w:tcPr>
          <w:p>
            <w:pPr>
              <w:spacing w:after="0"/>
              <w:rPr>
                <w:sz w:val="1"/>
                <w:szCs w:val="1"/>
                <w:color w:val="auto"/>
              </w:rPr>
            </w:pPr>
          </w:p>
        </w:tc>
      </w:tr>
      <w:tr>
        <w:trPr>
          <w:trHeight w:val="312"/>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Purchased services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(7,410)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(6,336)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(13,746)</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line="266" w:lineRule="exact"/>
              <w:rPr>
                <w:sz w:val="20"/>
                <w:szCs w:val="20"/>
                <w:color w:val="auto"/>
              </w:rPr>
            </w:pPr>
            <w:r>
              <w:rPr>
                <w:rFonts w:ascii="Times New Roman" w:cs="Times New Roman" w:eastAsia="Times New Roman" w:hAnsi="Times New Roman"/>
                <w:sz w:val="20"/>
                <w:szCs w:val="20"/>
                <w:color w:val="auto"/>
              </w:rPr>
              <w:t>General administrative costs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(7,796)</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(4,735)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(12,531)</w:t>
            </w:r>
          </w:p>
        </w:tc>
        <w:tc>
          <w:tcPr>
            <w:tcW w:w="0" w:type="dxa"/>
            <w:vAlign w:val="bottom"/>
          </w:tcPr>
          <w:p>
            <w:pPr>
              <w:spacing w:after="0"/>
              <w:rPr>
                <w:sz w:val="1"/>
                <w:szCs w:val="1"/>
                <w:color w:val="auto"/>
              </w:rPr>
            </w:pPr>
          </w:p>
        </w:tc>
      </w:tr>
      <w:tr>
        <w:trPr>
          <w:trHeight w:val="224"/>
        </w:trPr>
        <w:tc>
          <w:tcPr>
            <w:tcW w:w="542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Amortization expense . . . . . . . . . . . . . . . . . . . . . . . . . . . . . . .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(3,349)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(1,279)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(4,628)</w:t>
            </w:r>
          </w:p>
        </w:tc>
        <w:tc>
          <w:tcPr>
            <w:tcW w:w="0" w:type="dxa"/>
            <w:vAlign w:val="bottom"/>
          </w:tcPr>
          <w:p>
            <w:pPr>
              <w:spacing w:after="0"/>
              <w:rPr>
                <w:sz w:val="1"/>
                <w:szCs w:val="1"/>
                <w:color w:val="auto"/>
              </w:rPr>
            </w:pPr>
          </w:p>
        </w:tc>
      </w:tr>
      <w:tr>
        <w:trPr>
          <w:trHeight w:val="302"/>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Segment operating income  . . . . . . . . . . . . . . . . . . . . . . . . . . . . . .</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21,912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9,375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42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Reconciliation of segment operating income</w:t>
            </w: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5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segment operating income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31,287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Gain on sales of former joint venture facility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expense — net  . . . . . .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(4,992)</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expense — net . . . . . . . .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Public company costs  . . . . . . .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Corporate executive management costs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(5,726)</w:t>
            </w:r>
          </w:p>
        </w:tc>
        <w:tc>
          <w:tcPr>
            <w:tcW w:w="0" w:type="dxa"/>
            <w:vAlign w:val="bottom"/>
          </w:tcPr>
          <w:p>
            <w:pPr>
              <w:spacing w:after="0"/>
              <w:rPr>
                <w:sz w:val="1"/>
                <w:szCs w:val="1"/>
                <w:color w:val="auto"/>
              </w:rPr>
            </w:pPr>
          </w:p>
        </w:tc>
      </w:tr>
      <w:tr>
        <w:trPr>
          <w:trHeight w:val="26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Corporate management stock-based compensation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0" w:type="dxa"/>
            <w:vAlign w:val="bottom"/>
          </w:tcPr>
          <w:p>
            <w:pPr>
              <w:spacing w:after="0"/>
              <w:rPr>
                <w:sz w:val="1"/>
                <w:szCs w:val="1"/>
                <w:color w:val="auto"/>
              </w:rPr>
            </w:pPr>
          </w:p>
        </w:tc>
      </w:tr>
      <w:tr>
        <w:trPr>
          <w:trHeight w:val="270"/>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corporate expenses  . . . . . . . . . . . . . . . . . . . . . . . . . . . . .</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0" w:type="dxa"/>
            <w:vAlign w:val="bottom"/>
          </w:tcPr>
          <w:p>
            <w:pPr>
              <w:spacing w:after="0"/>
              <w:rPr>
                <w:sz w:val="1"/>
                <w:szCs w:val="1"/>
                <w:color w:val="auto"/>
              </w:rPr>
            </w:pPr>
          </w:p>
        </w:tc>
      </w:tr>
      <w:tr>
        <w:trPr>
          <w:trHeight w:val="306"/>
        </w:trPr>
        <w:tc>
          <w:tcPr>
            <w:tcW w:w="5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before income taxes . . . . . . . . . . . . . . . . . . . . . . . . . . .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right="60" w:hanging="340"/>
        <w:spacing w:after="0" w:line="207" w:lineRule="auto"/>
        <w:tabs>
          <w:tab w:leader="none" w:pos="340" w:val="left"/>
        </w:tabs>
        <w:numPr>
          <w:ilvl w:val="0"/>
          <w:numId w:val="13"/>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20"/>
          <w:szCs w:val="20"/>
          <w:i w:val="1"/>
          <w:iCs w:val="1"/>
          <w:color w:val="auto"/>
        </w:rPr>
        <w:t>Purchased services costs generally include contractor services, insurance expenditures, rental expense, and legal services.</w:t>
      </w:r>
    </w:p>
    <w:p>
      <w:pPr>
        <w:spacing w:after="0" w:line="23" w:lineRule="exact"/>
        <w:rPr>
          <w:rFonts w:ascii="Times New Roman" w:cs="Times New Roman" w:eastAsia="Times New Roman" w:hAnsi="Times New Roman"/>
          <w:sz w:val="26"/>
          <w:szCs w:val="26"/>
          <w:i w:val="1"/>
          <w:iCs w:val="1"/>
          <w:color w:val="auto"/>
          <w:vertAlign w:val="superscript"/>
        </w:rPr>
      </w:pPr>
    </w:p>
    <w:p>
      <w:pPr>
        <w:ind w:left="340" w:right="60" w:hanging="340"/>
        <w:spacing w:after="0" w:line="207" w:lineRule="auto"/>
        <w:tabs>
          <w:tab w:leader="none" w:pos="340" w:val="left"/>
        </w:tabs>
        <w:numPr>
          <w:ilvl w:val="0"/>
          <w:numId w:val="13"/>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20"/>
          <w:szCs w:val="20"/>
          <w:i w:val="1"/>
          <w:iCs w:val="1"/>
          <w:color w:val="auto"/>
        </w:rPr>
        <w:t>General administrative costs generally include office supplies, utilities, advertising, bad debt expense, and restructuring expenditures.</w:t>
      </w:r>
    </w:p>
    <w:p>
      <w:pPr>
        <w:spacing w:after="0" w:line="110"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Included in the Rail segment operating income for the year ended December 31, 2024, was a $1,134 expense related to restructuring.</w:t>
      </w:r>
    </w:p>
    <w:p>
      <w:pPr>
        <w:spacing w:after="0" w:line="110"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auto"/>
        </w:rPr>
        <w:t>Included in the Infrastructure segment operating income for the year ended December 31, 2024 was gain on the sale of ancillary property within the Steel Products business unit for total consideration of $1,300 generating an $815 gain on sale recorded in “Cost of goods sold” and a $113 expense related to restructuring.</w:t>
      </w:r>
    </w:p>
    <w:p>
      <w:pPr>
        <w:spacing w:after="0" w:line="104"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2024, the Company sold a former joint venture facility located in Magnolia, Texas generating a $3,477 gain on sale recorded in “Gain on sale of former joint venture facility” which is included as a component of corporate operating income.</w:t>
      </w:r>
    </w:p>
    <w:p>
      <w:pPr>
        <w:spacing w:after="0" w:line="104" w:lineRule="exact"/>
        <w:rPr>
          <w:sz w:val="20"/>
          <w:szCs w:val="20"/>
          <w:color w:val="auto"/>
        </w:rPr>
      </w:pPr>
    </w:p>
    <w:p>
      <w:pPr>
        <w:jc w:val="both"/>
        <w:ind w:right="60" w:firstLine="400"/>
        <w:spacing w:after="0" w:line="239" w:lineRule="auto"/>
        <w:rPr>
          <w:sz w:val="20"/>
          <w:szCs w:val="20"/>
          <w:color w:val="auto"/>
        </w:rPr>
      </w:pPr>
      <w:r>
        <w:rPr>
          <w:rFonts w:ascii="Times New Roman" w:cs="Times New Roman" w:eastAsia="Times New Roman" w:hAnsi="Times New Roman"/>
          <w:sz w:val="20"/>
          <w:szCs w:val="20"/>
          <w:color w:val="auto"/>
        </w:rPr>
        <w:t>Reconciliations of reportable segment assets, depreciation and amortization, and expenditures for long-lived assets to the Company’s consolidated totals are as follows as of and for the years ended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70"/>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Expenditures</w:t>
            </w:r>
          </w:p>
        </w:tc>
      </w:tr>
      <w:tr>
        <w:trPr>
          <w:trHeight w:val="160"/>
        </w:trPr>
        <w:tc>
          <w:tcPr>
            <w:tcW w:w="582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520" w:type="dxa"/>
            <w:vAlign w:val="bottom"/>
            <w:gridSpan w:val="6"/>
          </w:tcPr>
          <w:p>
            <w:pPr>
              <w:ind w:left="300"/>
              <w:spacing w:after="0" w:line="160" w:lineRule="exact"/>
              <w:rPr>
                <w:sz w:val="20"/>
                <w:szCs w:val="20"/>
                <w:color w:val="auto"/>
              </w:rPr>
            </w:pPr>
            <w:r>
              <w:rPr>
                <w:rFonts w:ascii="Times New Roman" w:cs="Times New Roman" w:eastAsia="Times New Roman" w:hAnsi="Times New Roman"/>
                <w:sz w:val="16"/>
                <w:szCs w:val="16"/>
                <w:b w:val="1"/>
                <w:bCs w:val="1"/>
                <w:color w:val="auto"/>
              </w:rPr>
              <w:t>Depreciation/</w:t>
            </w:r>
          </w:p>
        </w:tc>
        <w:tc>
          <w:tcPr>
            <w:tcW w:w="10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Long-Lived</w:t>
            </w:r>
          </w:p>
        </w:tc>
      </w:tr>
      <w:tr>
        <w:trPr>
          <w:trHeight w:val="190"/>
        </w:trPr>
        <w:tc>
          <w:tcPr>
            <w:tcW w:w="5820" w:type="dxa"/>
            <w:vAlign w:val="bottom"/>
          </w:tcPr>
          <w:p>
            <w:pPr>
              <w:spacing w:after="0"/>
              <w:rPr>
                <w:sz w:val="16"/>
                <w:szCs w:val="16"/>
                <w:color w:val="auto"/>
              </w:rPr>
            </w:pPr>
          </w:p>
        </w:tc>
        <w:tc>
          <w:tcPr>
            <w:tcW w:w="740" w:type="dxa"/>
            <w:vAlign w:val="bottom"/>
            <w:tcBorders>
              <w:bottom w:val="single" w:sz="8" w:color="auto"/>
            </w:tcBorders>
          </w:tcPr>
          <w:p>
            <w:pPr>
              <w:jc w:val="right"/>
              <w:ind w:right="66"/>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6"/>
                <w:szCs w:val="16"/>
                <w:color w:val="auto"/>
              </w:rPr>
            </w:pPr>
          </w:p>
        </w:tc>
        <w:tc>
          <w:tcPr>
            <w:tcW w:w="92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r>
      <w:tr>
        <w:trPr>
          <w:trHeight w:val="306"/>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Rail, Technologies, and Services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$155,552</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200" w:type="dxa"/>
            <w:vAlign w:val="bottom"/>
          </w:tcPr>
          <w:p>
            <w:pPr>
              <w:spacing w:after="0"/>
              <w:rPr>
                <w:sz w:val="24"/>
                <w:szCs w:val="24"/>
                <w:color w:val="auto"/>
              </w:rPr>
            </w:pPr>
          </w:p>
        </w:tc>
      </w:tr>
      <w:tr>
        <w:trPr>
          <w:trHeight w:val="270"/>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Infrastructure Solutions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128,489</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6,665</w:t>
            </w:r>
          </w:p>
        </w:tc>
        <w:tc>
          <w:tcPr>
            <w:tcW w:w="200" w:type="dxa"/>
            <w:vAlign w:val="bottom"/>
          </w:tcPr>
          <w:p>
            <w:pPr>
              <w:spacing w:after="0"/>
              <w:rPr>
                <w:sz w:val="23"/>
                <w:szCs w:val="23"/>
                <w:color w:val="auto"/>
              </w:rPr>
            </w:pPr>
          </w:p>
        </w:tc>
      </w:tr>
      <w:tr>
        <w:trPr>
          <w:trHeight w:val="302"/>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Reportable segment total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284,041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10,392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8,627</w:t>
            </w:r>
          </w:p>
        </w:tc>
        <w:tc>
          <w:tcPr>
            <w:tcW w:w="200" w:type="dxa"/>
            <w:vAlign w:val="bottom"/>
          </w:tcPr>
          <w:p>
            <w:pPr>
              <w:spacing w:after="0"/>
              <w:rPr>
                <w:sz w:val="24"/>
                <w:szCs w:val="24"/>
                <w:color w:val="auto"/>
              </w:rPr>
            </w:pPr>
          </w:p>
        </w:tc>
      </w:tr>
      <w:tr>
        <w:trPr>
          <w:trHeight w:val="270"/>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Corporate . . . . . . .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46,331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200" w:type="dxa"/>
            <w:vAlign w:val="bottom"/>
          </w:tcPr>
          <w:p>
            <w:pPr>
              <w:spacing w:after="0"/>
              <w:rPr>
                <w:sz w:val="23"/>
                <w:szCs w:val="23"/>
                <w:color w:val="auto"/>
              </w:rPr>
            </w:pPr>
          </w:p>
        </w:tc>
      </w:tr>
      <w:tr>
        <w:trPr>
          <w:trHeight w:val="306"/>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330,372</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12,454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10,424</w:t>
            </w:r>
          </w:p>
        </w:tc>
        <w:tc>
          <w:tcPr>
            <w:tcW w:w="200" w:type="dxa"/>
            <w:vAlign w:val="bottom"/>
          </w:tcPr>
          <w:p>
            <w:pPr>
              <w:spacing w:after="0"/>
              <w:rPr>
                <w:sz w:val="24"/>
                <w:szCs w:val="24"/>
                <w:color w:val="auto"/>
              </w:rPr>
            </w:pPr>
          </w:p>
        </w:tc>
      </w:tr>
      <w:tr>
        <w:trPr>
          <w:trHeight w:val="24"/>
        </w:trPr>
        <w:tc>
          <w:tcPr>
            <w:tcW w:w="5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80"/>
          </w:cols>
          <w:pgMar w:left="1380" w:top="1440" w:right="1320" w:bottom="534" w:gutter="0" w:footer="0" w:header="0"/>
        </w:sectPr>
      </w:pP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180"/>
          </w:cols>
          <w:pgMar w:left="1380" w:top="1440" w:right="1320" w:bottom="534"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70"/>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3"/>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Expenditures</w:t>
            </w:r>
          </w:p>
        </w:tc>
      </w:tr>
      <w:tr>
        <w:trPr>
          <w:trHeight w:val="160"/>
        </w:trPr>
        <w:tc>
          <w:tcPr>
            <w:tcW w:w="582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520" w:type="dxa"/>
            <w:vAlign w:val="bottom"/>
            <w:gridSpan w:val="6"/>
          </w:tcPr>
          <w:p>
            <w:pPr>
              <w:ind w:left="300"/>
              <w:spacing w:after="0" w:line="160" w:lineRule="exact"/>
              <w:rPr>
                <w:sz w:val="20"/>
                <w:szCs w:val="20"/>
                <w:color w:val="auto"/>
              </w:rPr>
            </w:pPr>
            <w:r>
              <w:rPr>
                <w:rFonts w:ascii="Times New Roman" w:cs="Times New Roman" w:eastAsia="Times New Roman" w:hAnsi="Times New Roman"/>
                <w:sz w:val="16"/>
                <w:szCs w:val="16"/>
                <w:b w:val="1"/>
                <w:bCs w:val="1"/>
                <w:color w:val="auto"/>
              </w:rPr>
              <w:t>Depreciation/</w:t>
            </w:r>
          </w:p>
        </w:tc>
        <w:tc>
          <w:tcPr>
            <w:tcW w:w="10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Long-Lived</w:t>
            </w:r>
          </w:p>
        </w:tc>
      </w:tr>
      <w:tr>
        <w:trPr>
          <w:trHeight w:val="190"/>
        </w:trPr>
        <w:tc>
          <w:tcPr>
            <w:tcW w:w="5820" w:type="dxa"/>
            <w:vAlign w:val="bottom"/>
          </w:tcPr>
          <w:p>
            <w:pPr>
              <w:spacing w:after="0"/>
              <w:rPr>
                <w:sz w:val="16"/>
                <w:szCs w:val="16"/>
                <w:color w:val="auto"/>
              </w:rPr>
            </w:pPr>
          </w:p>
        </w:tc>
        <w:tc>
          <w:tcPr>
            <w:tcW w:w="740" w:type="dxa"/>
            <w:vAlign w:val="bottom"/>
            <w:tcBorders>
              <w:bottom w:val="single" w:sz="8" w:color="auto"/>
            </w:tcBorders>
          </w:tcPr>
          <w:p>
            <w:pPr>
              <w:jc w:val="right"/>
              <w:ind w:right="66"/>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6"/>
                <w:szCs w:val="16"/>
                <w:color w:val="auto"/>
              </w:rPr>
            </w:pPr>
          </w:p>
        </w:tc>
        <w:tc>
          <w:tcPr>
            <w:tcW w:w="920" w:type="dxa"/>
            <w:vAlign w:val="bottom"/>
            <w:tcBorders>
              <w:bottom w:val="single" w:sz="8" w:color="auto"/>
            </w:tcBorders>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Assets</w:t>
            </w:r>
          </w:p>
        </w:tc>
      </w:tr>
      <w:tr>
        <w:trPr>
          <w:trHeight w:val="320"/>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Rail, Technologies, and Services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$158,859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$2,032</w:t>
            </w:r>
          </w:p>
        </w:tc>
        <w:tc>
          <w:tcPr>
            <w:tcW w:w="240" w:type="dxa"/>
            <w:vAlign w:val="bottom"/>
          </w:tcPr>
          <w:p>
            <w:pPr>
              <w:spacing w:after="0"/>
              <w:rPr>
                <w:sz w:val="24"/>
                <w:szCs w:val="24"/>
                <w:color w:val="auto"/>
              </w:rPr>
            </w:pPr>
          </w:p>
        </w:tc>
      </w:tr>
      <w:tr>
        <w:trPr>
          <w:trHeight w:val="284"/>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Infrastructure Solutions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123,755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6,366</w:t>
            </w:r>
          </w:p>
        </w:tc>
        <w:tc>
          <w:tcPr>
            <w:tcW w:w="240" w:type="dxa"/>
            <w:vAlign w:val="bottom"/>
          </w:tcPr>
          <w:p>
            <w:pPr>
              <w:spacing w:after="0"/>
              <w:rPr>
                <w:sz w:val="24"/>
                <w:szCs w:val="24"/>
                <w:color w:val="auto"/>
              </w:rPr>
            </w:pPr>
          </w:p>
        </w:tc>
      </w:tr>
      <w:tr>
        <w:trPr>
          <w:trHeight w:val="316"/>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Reportable segments total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282,614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12,210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8,398</w:t>
            </w:r>
          </w:p>
        </w:tc>
        <w:tc>
          <w:tcPr>
            <w:tcW w:w="240" w:type="dxa"/>
            <w:vAlign w:val="bottom"/>
          </w:tcPr>
          <w:p>
            <w:pPr>
              <w:spacing w:after="0"/>
              <w:rPr>
                <w:sz w:val="24"/>
                <w:szCs w:val="24"/>
                <w:color w:val="auto"/>
              </w:rPr>
            </w:pPr>
          </w:p>
        </w:tc>
      </w:tr>
      <w:tr>
        <w:trPr>
          <w:trHeight w:val="284"/>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Corporate . . . . . . . . . . . . . .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51,936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240" w:type="dxa"/>
            <w:vAlign w:val="bottom"/>
          </w:tcPr>
          <w:p>
            <w:pPr>
              <w:spacing w:after="0"/>
              <w:rPr>
                <w:sz w:val="24"/>
                <w:szCs w:val="24"/>
                <w:color w:val="auto"/>
              </w:rPr>
            </w:pPr>
          </w:p>
        </w:tc>
      </w:tr>
      <w:tr>
        <w:trPr>
          <w:trHeight w:val="320"/>
        </w:trPr>
        <w:tc>
          <w:tcPr>
            <w:tcW w:w="58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334,550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14,080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9,791</w:t>
            </w:r>
          </w:p>
        </w:tc>
        <w:tc>
          <w:tcPr>
            <w:tcW w:w="240" w:type="dxa"/>
            <w:vAlign w:val="bottom"/>
          </w:tcPr>
          <w:p>
            <w:pPr>
              <w:spacing w:after="0"/>
              <w:rPr>
                <w:sz w:val="24"/>
                <w:szCs w:val="24"/>
                <w:color w:val="auto"/>
              </w:rPr>
            </w:pPr>
          </w:p>
        </w:tc>
      </w:tr>
      <w:tr>
        <w:trPr>
          <w:trHeight w:val="24"/>
        </w:trPr>
        <w:tc>
          <w:tcPr>
            <w:tcW w:w="5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18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no single customer accounted for more than 10% of the Company’s consolidated net sales. For the year ended December 31, 2024, net sales to one customer of the Rail segment represented approximately $71,800 of the Company’s consolidated net sales. Sales between segments were immaterial and eliminated in consolidation.</w:t>
      </w:r>
    </w:p>
    <w:p>
      <w:pPr>
        <w:spacing w:after="0" w:line="13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Company’s sales by major geographic region in which the Company had operations for the years ended December 31:</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$481,422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$454,694</w:t>
            </w: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Canada . . . . . .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22,088</w:t>
            </w:r>
          </w:p>
        </w:tc>
      </w:tr>
      <w:tr>
        <w:trPr>
          <w:trHeight w:val="28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44,086</w:t>
            </w:r>
          </w:p>
        </w:tc>
      </w:tr>
      <w:tr>
        <w:trPr>
          <w:trHeight w:val="284"/>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6,745</w:t>
            </w:r>
          </w:p>
        </w:tc>
        <w:tc>
          <w:tcPr>
            <w:tcW w:w="3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9,897</w:t>
            </w:r>
          </w:p>
        </w:tc>
      </w:tr>
      <w:tr>
        <w:trPr>
          <w:trHeight w:val="32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net sales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540,009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530,765</w:t>
            </w:r>
          </w:p>
        </w:tc>
      </w:tr>
      <w:tr>
        <w:trPr>
          <w:trHeight w:val="24"/>
        </w:trPr>
        <w:tc>
          <w:tcPr>
            <w:tcW w:w="65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Company’s long-lived assets by geographic region as of December 31:</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$74,179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$72,899</w:t>
            </w:r>
          </w:p>
        </w:tc>
      </w:tr>
      <w:tr>
        <w:trPr>
          <w:trHeight w:val="28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Canada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8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1,765</w:t>
            </w: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3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r>
      <w:tr>
        <w:trPr>
          <w:trHeight w:val="32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property, plant, and equipment — net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77,183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75,374</w:t>
            </w:r>
          </w:p>
        </w:tc>
      </w:tr>
      <w:tr>
        <w:trPr>
          <w:trHeight w:val="24"/>
        </w:trPr>
        <w:tc>
          <w:tcPr>
            <w:tcW w:w="67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Company’s sales by major product and service line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6520" w:type="dxa"/>
            <w:vAlign w:val="bottom"/>
          </w:tcPr>
          <w:p>
            <w:pPr>
              <w:spacing w:after="0"/>
              <w:rPr>
                <w:sz w:val="17"/>
                <w:szCs w:val="17"/>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Rail Products .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$188,255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$207,696</w:t>
            </w:r>
          </w:p>
        </w:tc>
      </w:tr>
      <w:tr>
        <w:trPr>
          <w:trHeight w:val="28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Global Friction Management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65,984</w:t>
            </w:r>
          </w:p>
        </w:tc>
      </w:tr>
      <w:tr>
        <w:trPr>
          <w:trHeight w:val="284"/>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Technology Services and Solutions  . . . . . . . . . . . . . . . . . . . . . . . . . . . . . . . . .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38,958</w:t>
            </w:r>
          </w:p>
        </w:tc>
        <w:tc>
          <w:tcPr>
            <w:tcW w:w="3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53,189</w:t>
            </w:r>
          </w:p>
        </w:tc>
      </w:tr>
      <w:tr>
        <w:trPr>
          <w:trHeight w:val="32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Rail, Technologies, and Services  . . . . . . . . . . . . . . . . . . . . . . . . . . . . . . . . .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305,726</w:t>
            </w:r>
          </w:p>
        </w:tc>
        <w:tc>
          <w:tcPr>
            <w:tcW w:w="3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326,869</w:t>
            </w:r>
          </w:p>
        </w:tc>
      </w:tr>
      <w:tr>
        <w:trPr>
          <w:trHeight w:val="316"/>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Precast Concrete Products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136,043</w:t>
            </w:r>
          </w:p>
        </w:tc>
      </w:tr>
      <w:tr>
        <w:trPr>
          <w:trHeight w:val="284"/>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Steel Products . . . . . . . . . . . . . . . . . . . . . . . . . . . . . . . . . . . . . . . . . . . . . . . . . .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71,160</w:t>
            </w:r>
          </w:p>
        </w:tc>
        <w:tc>
          <w:tcPr>
            <w:tcW w:w="3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67,853</w:t>
            </w:r>
          </w:p>
        </w:tc>
      </w:tr>
      <w:tr>
        <w:trPr>
          <w:trHeight w:val="32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Infrastructure Solutions . . . . . . . . . . . . . . . . . . . . . . . . . . . . . . . . . . . . . . . . .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234,283</w:t>
            </w:r>
          </w:p>
        </w:tc>
        <w:tc>
          <w:tcPr>
            <w:tcW w:w="3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203,896</w:t>
            </w:r>
          </w:p>
        </w:tc>
      </w:tr>
      <w:tr>
        <w:trPr>
          <w:trHeight w:val="32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net sales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540,009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530,765</w:t>
            </w:r>
          </w:p>
        </w:tc>
      </w:tr>
      <w:tr>
        <w:trPr>
          <w:trHeight w:val="24"/>
        </w:trPr>
        <w:tc>
          <w:tcPr>
            <w:tcW w:w="65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39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120"/>
          </w:cols>
          <w:pgMar w:left="1380" w:top="1390" w:right="1380" w:bottom="534"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153" w:lineRule="exact"/>
        <w:rPr>
          <w:sz w:val="20"/>
          <w:szCs w:val="20"/>
          <w:color w:val="auto"/>
        </w:rPr>
      </w:pPr>
    </w:p>
    <w:p>
      <w:pPr>
        <w:jc w:val="both"/>
        <w:ind w:right="40" w:firstLine="400"/>
        <w:spacing w:after="0" w:line="249" w:lineRule="auto"/>
        <w:rPr>
          <w:sz w:val="20"/>
          <w:szCs w:val="20"/>
          <w:color w:val="auto"/>
        </w:rPr>
      </w:pPr>
      <w:r>
        <w:rPr>
          <w:rFonts w:ascii="Times New Roman" w:cs="Times New Roman" w:eastAsia="Times New Roman" w:hAnsi="Times New Roman"/>
          <w:sz w:val="20"/>
          <w:szCs w:val="20"/>
          <w:color w:val="auto"/>
        </w:rPr>
        <w:t>The Company’s revenues are comprised of product and service sales, including products and services provided under long-term agreements with its customers. All revenue is recognized when the Company satisfies its performance obligations under the contract, either implicit or explicit, by transferring the promised product or rendering a service to its customer either when its customer obtains control of the product or as the service is rendered. A performance obligation is a promise in a contract to transfer a distinct product or render a specific service to a customer. A contract’s transaction price is allocated to each distinct performance obligation. The majority of the Company’s contracts have a single performance obligation, as the promise to transfer products or render services is not separately identifiable from other promises in the contract and, therefore, not distinct. Revenue is measured as the amount of consideration the Company expects to receive in exchange for transferring products or providing services. Revenue is recorded net of returns, allowances, and customer discounts. Sales, value added, and other taxes collected from customers and remitted to governmental authorities are accounted for on a net (excluded from revenues) basis. Shipping and handling costs are included in cost of goods sold.</w:t>
      </w:r>
    </w:p>
    <w:p>
      <w:pPr>
        <w:spacing w:after="0" w:line="150" w:lineRule="exact"/>
        <w:rPr>
          <w:sz w:val="20"/>
          <w:szCs w:val="20"/>
          <w:color w:val="auto"/>
        </w:rPr>
      </w:pPr>
    </w:p>
    <w:p>
      <w:pPr>
        <w:jc w:val="both"/>
        <w:ind w:right="40" w:firstLine="400"/>
        <w:spacing w:after="0" w:line="249" w:lineRule="auto"/>
        <w:rPr>
          <w:sz w:val="20"/>
          <w:szCs w:val="20"/>
          <w:color w:val="auto"/>
        </w:rPr>
      </w:pPr>
      <w:r>
        <w:rPr>
          <w:rFonts w:ascii="Times New Roman" w:cs="Times New Roman" w:eastAsia="Times New Roman" w:hAnsi="Times New Roman"/>
          <w:sz w:val="20"/>
          <w:szCs w:val="20"/>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w:t>
      </w:r>
    </w:p>
    <w:p>
      <w:pPr>
        <w:spacing w:after="0" w:line="147" w:lineRule="exact"/>
        <w:rPr>
          <w:sz w:val="20"/>
          <w:szCs w:val="20"/>
          <w:color w:val="auto"/>
        </w:rPr>
      </w:pPr>
    </w:p>
    <w:p>
      <w:pPr>
        <w:jc w:val="both"/>
        <w:ind w:right="40" w:firstLine="400"/>
        <w:spacing w:after="0" w:line="246" w:lineRule="auto"/>
        <w:rPr>
          <w:sz w:val="20"/>
          <w:szCs w:val="20"/>
          <w:color w:val="auto"/>
        </w:rPr>
      </w:pPr>
      <w:r>
        <w:rPr>
          <w:rFonts w:ascii="Times New Roman" w:cs="Times New Roman" w:eastAsia="Times New Roman" w:hAnsi="Times New Roman"/>
          <w:sz w:val="20"/>
          <w:szCs w:val="20"/>
          <w:color w:val="auto"/>
        </w:rPr>
        <w:t>The Company records contract liabilities in “Deferred revenue” within the Consolidated Balance Sheets. Deferred revenue of $5,900 and $10,205 as of December 31, 2025 and 2024, respectively, consisted of customer billings or payments received for which the revenue recognition criteria had not yet been met as well as contract liabilities (billings in excess of costs) on over time revenue projects.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the years ended December 31, 2025 and 2024, revenue recognized over time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280" w:type="dxa"/>
            <w:vAlign w:val="bottom"/>
            <w:gridSpan w:val="9"/>
          </w:tcPr>
          <w:p>
            <w:pPr>
              <w:jc w:val="center"/>
              <w:ind w:left="185"/>
              <w:spacing w:after="0"/>
              <w:rPr>
                <w:sz w:val="20"/>
                <w:szCs w:val="20"/>
                <w:color w:val="auto"/>
              </w:rPr>
            </w:pPr>
            <w:r>
              <w:rPr>
                <w:rFonts w:ascii="Times New Roman" w:cs="Times New Roman" w:eastAsia="Times New Roman" w:hAnsi="Times New Roman"/>
                <w:sz w:val="16"/>
                <w:szCs w:val="16"/>
                <w:b w:val="1"/>
                <w:bCs w:val="1"/>
                <w:color w:val="auto"/>
                <w:w w:val="99"/>
              </w:rPr>
              <w:t>Percentage of Total Net Sales</w:t>
            </w:r>
          </w:p>
        </w:tc>
      </w:tr>
      <w:tr>
        <w:trPr>
          <w:trHeight w:val="190"/>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45"/>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6"/>
                <w:szCs w:val="16"/>
                <w:color w:val="auto"/>
              </w:rPr>
            </w:pPr>
          </w:p>
        </w:tc>
        <w:tc>
          <w:tcPr>
            <w:tcW w:w="1940" w:type="dxa"/>
            <w:vAlign w:val="bottom"/>
            <w:tcBorders>
              <w:bottom w:val="single" w:sz="8" w:color="auto"/>
            </w:tcBorders>
            <w:gridSpan w:val="7"/>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40" w:type="dxa"/>
            <w:vAlign w:val="bottom"/>
          </w:tcPr>
          <w:p>
            <w:pPr>
              <w:spacing w:after="0"/>
              <w:rPr>
                <w:sz w:val="16"/>
                <w:szCs w:val="16"/>
                <w:color w:val="auto"/>
              </w:rPr>
            </w:pPr>
          </w:p>
        </w:tc>
      </w:tr>
      <w:tr>
        <w:trPr>
          <w:trHeight w:val="200"/>
        </w:trPr>
        <w:tc>
          <w:tcPr>
            <w:tcW w:w="5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20"/>
        </w:trPr>
        <w:tc>
          <w:tcPr>
            <w:tcW w:w="50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Over time input method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52,706</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5.4%</w:t>
            </w:r>
          </w:p>
        </w:tc>
        <w:tc>
          <w:tcPr>
            <w:tcW w:w="1120" w:type="dxa"/>
            <w:vAlign w:val="bottom"/>
            <w:gridSpan w:val="4"/>
          </w:tcPr>
          <w:p>
            <w:pPr>
              <w:ind w:left="540"/>
              <w:spacing w:after="0"/>
              <w:rPr>
                <w:sz w:val="20"/>
                <w:szCs w:val="20"/>
                <w:color w:val="auto"/>
              </w:rPr>
            </w:pPr>
            <w:r>
              <w:rPr>
                <w:rFonts w:ascii="Times New Roman" w:cs="Times New Roman" w:eastAsia="Times New Roman" w:hAnsi="Times New Roman"/>
                <w:sz w:val="20"/>
                <w:szCs w:val="20"/>
                <w:color w:val="auto"/>
              </w:rPr>
              <w:t>10.0%</w:t>
            </w:r>
          </w:p>
        </w:tc>
        <w:tc>
          <w:tcPr>
            <w:tcW w:w="40" w:type="dxa"/>
            <w:vAlign w:val="bottom"/>
          </w:tcPr>
          <w:p>
            <w:pPr>
              <w:spacing w:after="0"/>
              <w:rPr>
                <w:sz w:val="24"/>
                <w:szCs w:val="24"/>
                <w:color w:val="auto"/>
              </w:rPr>
            </w:pPr>
          </w:p>
        </w:tc>
      </w:tr>
      <w:tr>
        <w:trPr>
          <w:trHeight w:val="284"/>
        </w:trPr>
        <w:tc>
          <w:tcPr>
            <w:tcW w:w="50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Over time output method . . . . . . . . . . . . . . . . . . . . . . . . . . . .</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92,548</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4</w:t>
            </w:r>
          </w:p>
        </w:tc>
        <w:tc>
          <w:tcPr>
            <w:tcW w:w="240" w:type="dxa"/>
            <w:vAlign w:val="bottom"/>
          </w:tcPr>
          <w:p>
            <w:pPr>
              <w:spacing w:after="0"/>
              <w:rPr>
                <w:sz w:val="24"/>
                <w:szCs w:val="24"/>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w w:val="91"/>
              </w:rPr>
              <w:t>17.</w:t>
            </w:r>
            <w:r>
              <w:rPr>
                <w:rFonts w:ascii="Times New Roman" w:cs="Times New Roman" w:eastAsia="Times New Roman" w:hAnsi="Times New Roman"/>
                <w:sz w:val="20"/>
                <w:szCs w:val="20"/>
                <w:u w:val="single" w:color="auto"/>
                <w:color w:val="auto"/>
                <w:w w:val="91"/>
              </w:rPr>
              <w:t>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50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over time sales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128,476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145,254</w:t>
            </w: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23.8%</w:t>
            </w:r>
          </w:p>
        </w:tc>
        <w:tc>
          <w:tcPr>
            <w:tcW w:w="1120" w:type="dxa"/>
            <w:vAlign w:val="bottom"/>
            <w:gridSpan w:val="4"/>
          </w:tcPr>
          <w:p>
            <w:pPr>
              <w:ind w:left="540"/>
              <w:spacing w:after="0"/>
              <w:rPr>
                <w:sz w:val="20"/>
                <w:szCs w:val="20"/>
                <w:color w:val="auto"/>
              </w:rPr>
            </w:pPr>
            <w:r>
              <w:rPr>
                <w:rFonts w:ascii="Times New Roman" w:cs="Times New Roman" w:eastAsia="Times New Roman" w:hAnsi="Times New Roman"/>
                <w:sz w:val="20"/>
                <w:szCs w:val="20"/>
                <w:color w:val="auto"/>
              </w:rPr>
              <w:t>27.4%</w:t>
            </w:r>
          </w:p>
        </w:tc>
        <w:tc>
          <w:tcPr>
            <w:tcW w:w="40" w:type="dxa"/>
            <w:vAlign w:val="bottom"/>
          </w:tcPr>
          <w:p>
            <w:pPr>
              <w:spacing w:after="0"/>
              <w:rPr>
                <w:sz w:val="24"/>
                <w:szCs w:val="24"/>
                <w:color w:val="auto"/>
              </w:rPr>
            </w:pPr>
          </w:p>
        </w:tc>
      </w:tr>
      <w:tr>
        <w:trPr>
          <w:trHeight w:val="24"/>
        </w:trPr>
        <w:tc>
          <w:tcPr>
            <w:tcW w:w="50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95" w:lineRule="exact"/>
        <w:rPr>
          <w:sz w:val="20"/>
          <w:szCs w:val="20"/>
          <w:color w:val="auto"/>
        </w:rPr>
      </w:pPr>
    </w:p>
    <w:p>
      <w:pPr>
        <w:jc w:val="both"/>
        <w:ind w:right="40" w:firstLine="400"/>
        <w:spacing w:after="0" w:line="249" w:lineRule="auto"/>
        <w:rPr>
          <w:sz w:val="20"/>
          <w:szCs w:val="20"/>
          <w:color w:val="auto"/>
        </w:rPr>
      </w:pPr>
      <w:r>
        <w:rPr>
          <w:rFonts w:ascii="Times New Roman" w:cs="Times New Roman" w:eastAsia="Times New Roman" w:hAnsi="Times New Roman"/>
          <w:sz w:val="20"/>
          <w:szCs w:val="20"/>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w:t>
      </w:r>
    </w:p>
    <w:p>
      <w:pPr>
        <w:sectPr>
          <w:pgSz w:w="11880" w:h="15480" w:orient="portrait"/>
          <w:cols w:equalWidth="0" w:num="1">
            <w:col w:w="9160"/>
          </w:cols>
          <w:pgMar w:left="1380" w:top="1432" w:right="1340" w:bottom="534" w:gutter="0" w:footer="0" w:header="0"/>
        </w:sect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160"/>
          </w:cols>
          <w:pgMar w:left="1380" w:top="1432" w:right="1340" w:bottom="534" w:gutter="0" w:footer="0" w:header="0"/>
          <w:type w:val="continuous"/>
        </w:sectPr>
      </w:pPr>
    </w:p>
    <w:bookmarkStart w:id="60" w:name="page61"/>
    <w:bookmarkEnd w:id="60"/>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resulting in changes to anticipated revenue from existing contracts. In the event that a contract loss becomes known, the entire amount of the estimated loss is recognized in the Consolidated Statements of Operations. During the years ended December 31, 2025 and 2024, the Company recorded reductions to net sales stemming from changes in actual and expected values of certain commercial contracts of $4,271 and $2,593, respectively.</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majority of the Company’s revenue is from products transferred and services rendered to customers at a point in time, which is inherent in all major product and service categories. Point in time revenue accounted for 76.2% and 72.6% of revenue for the years ended December 31, 2025 and 2024, respectively. The Company recognizes revenue at the point in time in which the customer obtains control of the product or service, which is generally when product title passes to the customer upon shipment or the service has been rendered to the customer. In limited cases, title does not transfer upon shipment and revenue is not recognized until the customer has received the products at a designated physical location.</w:t>
      </w:r>
    </w:p>
    <w:p>
      <w:pPr>
        <w:spacing w:after="0" w:line="1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For the years ended December 31, 2025 and 2024, net sales by the timing of the transfer of goods and serv-ices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Rail, Technologies,</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740" w:type="dxa"/>
            <w:vAlign w:val="bottom"/>
          </w:tcPr>
          <w:p>
            <w:pPr>
              <w:spacing w:after="0"/>
              <w:rPr>
                <w:sz w:val="16"/>
                <w:szCs w:val="16"/>
                <w:color w:val="auto"/>
              </w:rPr>
            </w:pPr>
          </w:p>
        </w:tc>
      </w:tr>
      <w:tr>
        <w:trPr>
          <w:trHeight w:val="190"/>
        </w:trPr>
        <w:tc>
          <w:tcPr>
            <w:tcW w:w="21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Year Ended December 31, 2025</w:t>
            </w:r>
          </w:p>
        </w:tc>
        <w:tc>
          <w:tcPr>
            <w:tcW w:w="3340" w:type="dxa"/>
            <w:vAlign w:val="bottom"/>
          </w:tcPr>
          <w:p>
            <w:pPr>
              <w:spacing w:after="0"/>
              <w:rPr>
                <w:sz w:val="16"/>
                <w:szCs w:val="16"/>
                <w:color w:val="auto"/>
              </w:rPr>
            </w:pPr>
          </w:p>
        </w:tc>
        <w:tc>
          <w:tcPr>
            <w:tcW w:w="12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and Services</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300" w:type="dxa"/>
            <w:vAlign w:val="bottom"/>
          </w:tcPr>
          <w:p>
            <w:pPr>
              <w:spacing w:after="0"/>
              <w:rPr>
                <w:sz w:val="16"/>
                <w:szCs w:val="16"/>
                <w:color w:val="auto"/>
              </w:rPr>
            </w:pPr>
          </w:p>
        </w:tc>
        <w:tc>
          <w:tcPr>
            <w:tcW w:w="740" w:type="dxa"/>
            <w:vAlign w:val="bottom"/>
            <w:tcBorders>
              <w:bottom w:val="single" w:sz="8" w:color="auto"/>
            </w:tcBorders>
          </w:tcPr>
          <w:p>
            <w:pPr>
              <w:ind w:left="1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Point in time .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.$264,150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$147,383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$411,533</w:t>
            </w:r>
          </w:p>
        </w:tc>
      </w:tr>
      <w:tr>
        <w:trPr>
          <w:trHeight w:val="284"/>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w w:val="99"/>
              </w:rPr>
              <w:t>Over time  . . .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.41,576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86,900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128,476</w:t>
            </w:r>
          </w:p>
        </w:tc>
      </w:tr>
      <w:tr>
        <w:trPr>
          <w:trHeight w:val="20"/>
        </w:trPr>
        <w:tc>
          <w:tcPr>
            <w:tcW w:w="2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32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net sales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305,726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234,283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540,009</w:t>
            </w:r>
          </w:p>
        </w:tc>
      </w:tr>
      <w:tr>
        <w:trPr>
          <w:trHeight w:val="24"/>
        </w:trPr>
        <w:tc>
          <w:tcPr>
            <w:tcW w:w="2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r>
        <w:trPr>
          <w:trHeight w:val="402"/>
        </w:trPr>
        <w:tc>
          <w:tcPr>
            <w:tcW w:w="2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Rail, Technologies,</w:t>
            </w: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740" w:type="dxa"/>
            <w:vAlign w:val="bottom"/>
          </w:tcPr>
          <w:p>
            <w:pPr>
              <w:spacing w:after="0"/>
              <w:rPr>
                <w:sz w:val="24"/>
                <w:szCs w:val="24"/>
                <w:color w:val="auto"/>
              </w:rPr>
            </w:pPr>
          </w:p>
        </w:tc>
      </w:tr>
      <w:tr>
        <w:trPr>
          <w:trHeight w:val="190"/>
        </w:trPr>
        <w:tc>
          <w:tcPr>
            <w:tcW w:w="21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3340" w:type="dxa"/>
            <w:vAlign w:val="bottom"/>
          </w:tcPr>
          <w:p>
            <w:pPr>
              <w:spacing w:after="0"/>
              <w:rPr>
                <w:sz w:val="16"/>
                <w:szCs w:val="16"/>
                <w:color w:val="auto"/>
              </w:rPr>
            </w:pPr>
          </w:p>
        </w:tc>
        <w:tc>
          <w:tcPr>
            <w:tcW w:w="1280" w:type="dxa"/>
            <w:vAlign w:val="bottom"/>
            <w:tcBorders>
              <w:bottom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and Services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03"/>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2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Point in time .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.$263,432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$122,079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$385,511</w:t>
            </w:r>
          </w:p>
        </w:tc>
      </w:tr>
      <w:tr>
        <w:trPr>
          <w:trHeight w:val="284"/>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w w:val="99"/>
              </w:rPr>
              <w:t>Over time  . . .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.63,437</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81,817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145,254</w:t>
            </w:r>
          </w:p>
        </w:tc>
      </w:tr>
      <w:tr>
        <w:trPr>
          <w:trHeight w:val="20"/>
        </w:trPr>
        <w:tc>
          <w:tcPr>
            <w:tcW w:w="21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32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net sales . . . . . . . . . .</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326,869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203,896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530,765</w:t>
            </w:r>
          </w:p>
        </w:tc>
      </w:tr>
      <w:tr>
        <w:trPr>
          <w:trHeight w:val="24"/>
        </w:trPr>
        <w:tc>
          <w:tcPr>
            <w:tcW w:w="2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18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billed receivables, costs in excess of billings (contract assets), and billings in excess of costs (contract liabilities), included in deferred revenue on the Consolidated Balance Sheets.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Company’s contract assets: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Contract Assets</w:t>
            </w:r>
          </w:p>
        </w:tc>
        <w:tc>
          <w:tcPr>
            <w:tcW w:w="0" w:type="dxa"/>
            <w:vAlign w:val="bottom"/>
          </w:tcPr>
          <w:p>
            <w:pPr>
              <w:spacing w:after="0"/>
              <w:rPr>
                <w:sz w:val="1"/>
                <w:szCs w:val="1"/>
                <w:color w:val="auto"/>
              </w:rPr>
            </w:pPr>
          </w:p>
        </w:tc>
      </w:tr>
      <w:tr>
        <w:trPr>
          <w:trHeight w:val="32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 balance as of December 31, 2024  . . . . . . . . . . . . . . . . . . . . . . . . . . . . . . . . . . . . . .</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8"/>
              </w:rPr>
              <w:t>.$16,720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but not yet billed  . . . . . . . . . . . . . . . . . . . . . . . . . . . . . . . . . . . . . . . . . . . . . .</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7"/>
              </w:rPr>
              <w:t>.3,607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contract assets . . . . . . . . . . . . . . . . . . . . . . . . . . . . . . . . . . . . . . . . . . . . . . . . . . . .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.(4,271)</w:t>
            </w:r>
          </w:p>
        </w:tc>
        <w:tc>
          <w:tcPr>
            <w:tcW w:w="0" w:type="dxa"/>
            <w:vAlign w:val="bottom"/>
          </w:tcPr>
          <w:p>
            <w:pPr>
              <w:spacing w:after="0"/>
              <w:rPr>
                <w:sz w:val="1"/>
                <w:szCs w:val="1"/>
                <w:color w:val="auto"/>
              </w:rPr>
            </w:pPr>
          </w:p>
        </w:tc>
      </w:tr>
      <w:tr>
        <w:trPr>
          <w:trHeight w:val="28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Transfers from contract asset balance to accounts receivable . . . . . . . . . . . . . . . . . . . . . . . . . . . .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.(9,661)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 balance as of December 31, 2025  . . . . . . . . . . . . . . . . . . . . . . . . . . . . . . . . . . . . . .</w:t>
            </w: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.$ 6,395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7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Company’s contract liabilities: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780" w:type="dxa"/>
            <w:vAlign w:val="bottom"/>
          </w:tcPr>
          <w:p>
            <w:pPr>
              <w:spacing w:after="0"/>
              <w:rPr>
                <w:sz w:val="24"/>
                <w:szCs w:val="24"/>
                <w:color w:val="auto"/>
              </w:rPr>
            </w:pPr>
          </w:p>
        </w:tc>
        <w:tc>
          <w:tcPr>
            <w:tcW w:w="1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Contract Liabilities</w:t>
            </w:r>
          </w:p>
        </w:tc>
        <w:tc>
          <w:tcPr>
            <w:tcW w:w="0" w:type="dxa"/>
            <w:vAlign w:val="bottom"/>
          </w:tcPr>
          <w:p>
            <w:pPr>
              <w:spacing w:after="0"/>
              <w:rPr>
                <w:sz w:val="1"/>
                <w:szCs w:val="1"/>
                <w:color w:val="auto"/>
              </w:rPr>
            </w:pPr>
          </w:p>
        </w:tc>
      </w:tr>
      <w:tr>
        <w:trPr>
          <w:trHeight w:val="32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liability balance as of December 31, 2024 . . . . . .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$ 1,991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from contract liabilities . . . . . . . . . . . . . . . . . . . . . . . . . . . . . . . . . . . . . . . .</w:t>
            </w: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(1,869)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Increase in billings in excess of costs, excluding revenue recognized . . . . . . . . . . . . . . . . . . . . .</w:t>
            </w:r>
          </w:p>
        </w:tc>
        <w:tc>
          <w:tcPr>
            <w:tcW w:w="360" w:type="dxa"/>
            <w:vAlign w:val="bottom"/>
            <w:gridSpan w:val="2"/>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2025  . . . . . . . . . . . . . . . . . . . . . . . . . . . . . . . . . . . . . . . .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974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has established policies regarding allowance for credit losses associated with contract assets, which includes standalone reserve assessments for its long-term, complex contracts as needed as well as detailed regular review and updates to contract margins, progress, and value. A standard reserve threshold is applied to</w:t>
      </w:r>
    </w:p>
    <w:p>
      <w:pPr>
        <w:sectPr>
          <w:pgSz w:w="11880" w:h="15480" w:orient="portrait"/>
          <w:cols w:equalWidth="0" w:num="1">
            <w:col w:w="9120"/>
          </w:cols>
          <w:pgMar w:left="1380" w:top="1440" w:right="1380" w:bottom="534"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120"/>
          </w:cols>
          <w:pgMar w:left="1380" w:top="1440" w:right="1380" w:bottom="534" w:gutter="0" w:footer="0" w:header="0"/>
          <w:type w:val="continuous"/>
        </w:sectPr>
      </w:pPr>
    </w:p>
    <w:bookmarkStart w:id="61" w:name="page62"/>
    <w:bookmarkEnd w:id="61"/>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contract assets related to short-term, less complex contracts. Management also regularly reviews collection patterns and future expected collections and makes necessary revisions to allowance for credit losses related to contract assets.</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approximately $189,338 of remaining performance obligations, which is also referred to as backlog. Approximately 6.7% of the backlog as of December 31, 2025 was related to projects that are anticipated to extend beyond December 31, 2026.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Goodwill and Other Intangible Assets</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2025 and 2024, the following table represents the goodwill balance by reportable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Rail, Technologies,</w:t>
            </w: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40" w:type="dxa"/>
            <w:vAlign w:val="bottom"/>
          </w:tcPr>
          <w:p>
            <w:pPr>
              <w:spacing w:after="0"/>
              <w:rPr>
                <w:sz w:val="16"/>
                <w:szCs w:val="16"/>
                <w:color w:val="auto"/>
              </w:rPr>
            </w:pPr>
          </w:p>
        </w:tc>
      </w:tr>
      <w:tr>
        <w:trPr>
          <w:trHeight w:val="190"/>
        </w:trPr>
        <w:tc>
          <w:tcPr>
            <w:tcW w:w="5600" w:type="dxa"/>
            <w:vAlign w:val="bottom"/>
          </w:tcPr>
          <w:p>
            <w:pPr>
              <w:spacing w:after="0"/>
              <w:rPr>
                <w:sz w:val="16"/>
                <w:szCs w:val="16"/>
                <w:color w:val="auto"/>
              </w:rPr>
            </w:pPr>
          </w:p>
        </w:tc>
        <w:tc>
          <w:tcPr>
            <w:tcW w:w="1580" w:type="dxa"/>
            <w:vAlign w:val="bottom"/>
            <w:gridSpan w:val="4"/>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and Services</w:t>
            </w:r>
          </w:p>
        </w:tc>
        <w:tc>
          <w:tcPr>
            <w:tcW w:w="180" w:type="dxa"/>
            <w:vAlign w:val="bottom"/>
          </w:tcPr>
          <w:p>
            <w:pPr>
              <w:spacing w:after="0"/>
              <w:rPr>
                <w:sz w:val="16"/>
                <w:szCs w:val="16"/>
                <w:color w:val="auto"/>
              </w:rPr>
            </w:pPr>
          </w:p>
        </w:tc>
        <w:tc>
          <w:tcPr>
            <w:tcW w:w="1120" w:type="dxa"/>
            <w:vAlign w:val="bottom"/>
            <w:gridSpan w:val="3"/>
          </w:tcPr>
          <w:p>
            <w:pPr>
              <w:jc w:val="center"/>
              <w:ind w:right="480"/>
              <w:spacing w:after="0" w:line="182" w:lineRule="exact"/>
              <w:rPr>
                <w:sz w:val="20"/>
                <w:szCs w:val="20"/>
                <w:color w:val="auto"/>
              </w:rPr>
            </w:pPr>
            <w:r>
              <w:rPr>
                <w:rFonts w:ascii="Times New Roman" w:cs="Times New Roman" w:eastAsia="Times New Roman" w:hAnsi="Times New Roman"/>
                <w:sz w:val="16"/>
                <w:szCs w:val="16"/>
                <w:b w:val="1"/>
                <w:bCs w:val="1"/>
                <w:color w:val="auto"/>
              </w:rPr>
              <w:t>Solutions</w:t>
            </w:r>
          </w:p>
        </w:tc>
        <w:tc>
          <w:tcPr>
            <w:tcW w:w="640" w:type="dxa"/>
            <w:vAlign w:val="bottom"/>
          </w:tcPr>
          <w:p>
            <w:pPr>
              <w:jc w:val="right"/>
              <w:ind w:right="45"/>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2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 . . . . . . . . . . . . . . . . . . . . . . . . . .</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$20,231</w:t>
            </w:r>
          </w:p>
        </w:tc>
        <w:tc>
          <w:tcPr>
            <w:tcW w:w="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$11,676</w:t>
            </w: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$31,907</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impact . . . . . . . . . . . . . . . . . . . . . . . . .</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r>
      <w:tr>
        <w:trPr>
          <w:trHeight w:val="20"/>
        </w:trPr>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32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2025: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21,386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11,676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33,062</w:t>
            </w:r>
          </w:p>
        </w:tc>
      </w:tr>
      <w:tr>
        <w:trPr>
          <w:trHeight w:val="24"/>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r>
    </w:tbl>
    <w:p>
      <w:pPr>
        <w:spacing w:after="0" w:line="18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2025, the Company performed a quantitative test for impairment of goodwill due to weakened economic conditions and recent increases in the costs of certain materials, labor, and other pressures unfavorably impacting financial results. The Company determined the implied fair value of its reporting units by using assumptions we believe would be a reasonable market participant’s view in a hypothetical purchase to develop the discounted cash flows of the respective reporting units. These assumptions include future cash flows, discount rates, and market participant assumptions. The results of the test indicated that all reporting units that maintain goodwill adequately exceeded their carrying value and were not subject to impairment. As a result of the procedures performed as outlined above, no impairments were recorded in 2025.</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2025 and 2024, the components of the Company’s intangible assets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70"/>
        </w:trPr>
        <w:tc>
          <w:tcPr>
            <w:tcW w:w="4740" w:type="dxa"/>
            <w:vAlign w:val="bottom"/>
          </w:tcPr>
          <w:p>
            <w:pPr>
              <w:spacing w:after="0"/>
              <w:rPr>
                <w:sz w:val="14"/>
                <w:szCs w:val="14"/>
                <w:color w:val="auto"/>
              </w:rPr>
            </w:pPr>
          </w:p>
        </w:tc>
        <w:tc>
          <w:tcPr>
            <w:tcW w:w="12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43"/>
              <w:spacing w:after="0" w:line="170" w:lineRule="exact"/>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60"/>
        </w:trPr>
        <w:tc>
          <w:tcPr>
            <w:tcW w:w="474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3"/>
                <w:szCs w:val="13"/>
                <w:color w:val="auto"/>
              </w:rPr>
            </w:pPr>
          </w:p>
        </w:tc>
        <w:tc>
          <w:tcPr>
            <w:tcW w:w="6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300" w:type="dxa"/>
            <w:vAlign w:val="bottom"/>
          </w:tcPr>
          <w:p>
            <w:pPr>
              <w:spacing w:after="0"/>
              <w:rPr>
                <w:sz w:val="13"/>
                <w:szCs w:val="13"/>
                <w:color w:val="auto"/>
              </w:rPr>
            </w:pPr>
          </w:p>
        </w:tc>
        <w:tc>
          <w:tcPr>
            <w:tcW w:w="12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r>
      <w:tr>
        <w:trPr>
          <w:trHeight w:val="190"/>
        </w:trPr>
        <w:tc>
          <w:tcPr>
            <w:tcW w:w="4740" w:type="dxa"/>
            <w:vAlign w:val="bottom"/>
          </w:tcPr>
          <w:p>
            <w:pPr>
              <w:spacing w:after="0"/>
              <w:rPr>
                <w:sz w:val="16"/>
                <w:szCs w:val="16"/>
                <w:color w:val="auto"/>
              </w:rPr>
            </w:pPr>
          </w:p>
        </w:tc>
        <w:tc>
          <w:tcPr>
            <w:tcW w:w="12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Period In Years</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300" w:type="dxa"/>
            <w:vAlign w:val="bottom"/>
          </w:tcPr>
          <w:p>
            <w:pPr>
              <w:spacing w:after="0"/>
              <w:rPr>
                <w:sz w:val="16"/>
                <w:szCs w:val="16"/>
                <w:color w:val="auto"/>
              </w:rPr>
            </w:pPr>
          </w:p>
        </w:tc>
        <w:tc>
          <w:tcPr>
            <w:tcW w:w="920" w:type="dxa"/>
            <w:vAlign w:val="bottom"/>
            <w:tcBorders>
              <w:bottom w:val="single" w:sz="8" w:color="auto"/>
            </w:tcBorders>
            <w:gridSpan w:val="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00" w:type="dxa"/>
            <w:vAlign w:val="bottom"/>
          </w:tcPr>
          <w:p>
            <w:pPr>
              <w:spacing w:after="0"/>
              <w:rPr>
                <w:sz w:val="16"/>
                <w:szCs w:val="16"/>
                <w:color w:val="auto"/>
              </w:rPr>
            </w:pPr>
          </w:p>
        </w:tc>
        <w:tc>
          <w:tcPr>
            <w:tcW w:w="64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32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Patents . . . . . . .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10</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28,771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(22,331)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6,440</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Trademarks and trade names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(5,818)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2,237</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Technology  . . .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32,819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(30,224)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2,595</w:t>
            </w:r>
          </w:p>
        </w:tc>
      </w:tr>
      <w:tr>
        <w:trPr>
          <w:trHeight w:val="28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Favorable lease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0"/>
        </w:trPr>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r>
      <w:tr>
        <w:trPr>
          <w:trHeight w:val="320"/>
        </w:trPr>
        <w:tc>
          <w:tcPr>
            <w:tcW w:w="4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70,296</w:t>
            </w:r>
          </w:p>
        </w:tc>
        <w:tc>
          <w:tcPr>
            <w:tcW w:w="122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(58,770)</w:t>
            </w:r>
          </w:p>
        </w:tc>
        <w:tc>
          <w:tcPr>
            <w:tcW w:w="3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11,526</w:t>
            </w:r>
          </w:p>
        </w:tc>
      </w:tr>
      <w:tr>
        <w:trPr>
          <w:trHeight w:val="24"/>
        </w:trPr>
        <w:tc>
          <w:tcPr>
            <w:tcW w:w="4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auto"/>
              <w:bottom w:val="single" w:sz="8" w:color="auto"/>
            </w:tcBorders>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20" w:type="dxa"/>
            <w:vAlign w:val="bottom"/>
            <w:tcBorders>
              <w:top w:val="single" w:sz="8" w:color="auto"/>
              <w:bottom w:val="single" w:sz="8" w:color="auto"/>
            </w:tcBorders>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r>
      <w:tr>
        <w:trPr>
          <w:trHeight w:val="432"/>
        </w:trPr>
        <w:tc>
          <w:tcPr>
            <w:tcW w:w="47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70"/>
        </w:trPr>
        <w:tc>
          <w:tcPr>
            <w:tcW w:w="4740" w:type="dxa"/>
            <w:vAlign w:val="bottom"/>
          </w:tcPr>
          <w:p>
            <w:pPr>
              <w:spacing w:after="0"/>
              <w:rPr>
                <w:sz w:val="14"/>
                <w:szCs w:val="14"/>
                <w:color w:val="auto"/>
              </w:rPr>
            </w:pPr>
          </w:p>
        </w:tc>
        <w:tc>
          <w:tcPr>
            <w:tcW w:w="12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43"/>
              <w:spacing w:after="0" w:line="170" w:lineRule="exact"/>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160"/>
        </w:trPr>
        <w:tc>
          <w:tcPr>
            <w:tcW w:w="474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3"/>
                <w:szCs w:val="13"/>
                <w:color w:val="auto"/>
              </w:rPr>
            </w:pPr>
          </w:p>
        </w:tc>
        <w:tc>
          <w:tcPr>
            <w:tcW w:w="6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300" w:type="dxa"/>
            <w:vAlign w:val="bottom"/>
          </w:tcPr>
          <w:p>
            <w:pPr>
              <w:spacing w:after="0"/>
              <w:rPr>
                <w:sz w:val="13"/>
                <w:szCs w:val="13"/>
                <w:color w:val="auto"/>
              </w:rPr>
            </w:pPr>
          </w:p>
        </w:tc>
        <w:tc>
          <w:tcPr>
            <w:tcW w:w="1220" w:type="dxa"/>
            <w:vAlign w:val="bottom"/>
            <w:gridSpan w:val="5"/>
          </w:tcPr>
          <w:p>
            <w:pPr>
              <w:jc w:val="right"/>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r>
      <w:tr>
        <w:trPr>
          <w:trHeight w:val="190"/>
        </w:trPr>
        <w:tc>
          <w:tcPr>
            <w:tcW w:w="4740" w:type="dxa"/>
            <w:vAlign w:val="bottom"/>
          </w:tcPr>
          <w:p>
            <w:pPr>
              <w:spacing w:after="0"/>
              <w:rPr>
                <w:sz w:val="16"/>
                <w:szCs w:val="16"/>
                <w:color w:val="auto"/>
              </w:rPr>
            </w:pPr>
          </w:p>
        </w:tc>
        <w:tc>
          <w:tcPr>
            <w:tcW w:w="12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Period In Years</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300" w:type="dxa"/>
            <w:vAlign w:val="bottom"/>
          </w:tcPr>
          <w:p>
            <w:pPr>
              <w:spacing w:after="0"/>
              <w:rPr>
                <w:sz w:val="16"/>
                <w:szCs w:val="16"/>
                <w:color w:val="auto"/>
              </w:rPr>
            </w:pPr>
          </w:p>
        </w:tc>
        <w:tc>
          <w:tcPr>
            <w:tcW w:w="920" w:type="dxa"/>
            <w:vAlign w:val="bottom"/>
            <w:tcBorders>
              <w:bottom w:val="single" w:sz="8" w:color="auto"/>
            </w:tcBorders>
            <w:gridSpan w:val="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300" w:type="dxa"/>
            <w:vAlign w:val="bottom"/>
          </w:tcPr>
          <w:p>
            <w:pPr>
              <w:spacing w:after="0"/>
              <w:rPr>
                <w:sz w:val="16"/>
                <w:szCs w:val="16"/>
                <w:color w:val="auto"/>
              </w:rPr>
            </w:pPr>
          </w:p>
        </w:tc>
        <w:tc>
          <w:tcPr>
            <w:tcW w:w="64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32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Patents . . . . . . .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10</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(198)</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28,006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(19,958)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8,048</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Trademarks and trade names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(5,219)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2,755</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Technology  . . .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32,616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(28,923)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w:t>
            </w:r>
          </w:p>
        </w:tc>
      </w:tr>
      <w:tr>
        <w:trPr>
          <w:trHeight w:val="28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Favorable lease  . . . . . . . . . . . . . . . . . . . . . . . . . . . . . . . .</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68"/>
        </w:trPr>
        <w:tc>
          <w:tcPr>
            <w:tcW w:w="47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r>
      <w:tr>
        <w:trPr>
          <w:trHeight w:val="316"/>
        </w:trPr>
        <w:tc>
          <w:tcPr>
            <w:tcW w:w="4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69,231</w:t>
            </w:r>
          </w:p>
        </w:tc>
        <w:tc>
          <w:tcPr>
            <w:tcW w:w="122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(54,430)</w:t>
            </w:r>
          </w:p>
        </w:tc>
        <w:tc>
          <w:tcPr>
            <w:tcW w:w="3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14,801</w:t>
            </w:r>
          </w:p>
        </w:tc>
      </w:tr>
      <w:tr>
        <w:trPr>
          <w:trHeight w:val="24"/>
        </w:trPr>
        <w:tc>
          <w:tcPr>
            <w:tcW w:w="4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120"/>
          </w:cols>
          <w:pgMar w:left="1380" w:top="1440" w:right="1380" w:bottom="534" w:gutter="0" w:footer="0" w:header="0"/>
          <w:type w:val="continuous"/>
        </w:sectPr>
      </w:pPr>
    </w:p>
    <w:bookmarkStart w:id="62" w:name="page63"/>
    <w:bookmarkEnd w:id="62"/>
    <w:p>
      <w:pPr>
        <w:spacing w:after="0" w:line="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Intangible assets are amortized over their useful lives ranging from 5 to 25 years, with a total weighted average amortization period of approximately 10 years. Amortization expense for the years ended December 31, 2025 and 2024 were $3,311 and $4,628, respectively.</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Estimated annual amortization expense for the years ending December 31, 2026 and thereafter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2031 and thereafter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 . . . . .</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11,526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Accounts Receivable</w:t>
            </w: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2"/>
        </w:trPr>
        <w:tc>
          <w:tcPr>
            <w:tcW w:w="7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Accounts receivable as of December 31, 2025 and 2024 are summarized as follows: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tcPr>
          <w:p>
            <w:pPr>
              <w:spacing w:after="0"/>
              <w:rPr>
                <w:sz w:val="24"/>
                <w:szCs w:val="24"/>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0"/>
        </w:trPr>
        <w:tc>
          <w:tcPr>
            <w:tcW w:w="7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$82,181</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66,105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Allowance for credit losses . . . . . . . . . . . . . . . . . . . . . . . . . . . . . . . . . . . . . . . . . . .</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(1,630)</w:t>
            </w: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0" w:type="dxa"/>
            <w:vAlign w:val="bottom"/>
          </w:tcPr>
          <w:p>
            <w:pPr>
              <w:spacing w:after="0"/>
              <w:rPr>
                <w:sz w:val="1"/>
                <w:szCs w:val="1"/>
                <w:color w:val="auto"/>
              </w:rPr>
            </w:pPr>
          </w:p>
        </w:tc>
      </w:tr>
      <w:tr>
        <w:trPr>
          <w:trHeight w:val="320"/>
        </w:trPr>
        <w:tc>
          <w:tcPr>
            <w:tcW w:w="71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receivable — net . . . . . . . . . . . . . . . . . . . . . . . . . . . . . . . . . . . . . . . . . . .</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80,551</w:t>
            </w:r>
          </w:p>
        </w:tc>
        <w:tc>
          <w:tcPr>
            <w:tcW w:w="30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64,978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Changes in reserves for uncollectible accounts are recorded as part of “Selling and administrative expenses” in the Consolidated Statements of Operations, and were an expense of $649 and $365 for the years ended December 31, 2025 and 2024, respectively. The changes in reserves for uncollectible accounts are net of recoveries of previous write-offs of $514 and $335 for the years ended December 31, 2025 and 2024, respectively.</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we believe mitigates credit risks. The Company’s reserves are regularly reviewed and revised as necessary.</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Company’s allowance for credit losses:</w:t>
      </w:r>
    </w:p>
    <w:p>
      <w:pPr>
        <w:spacing w:after="0" w:line="6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Allowance for</w:t>
            </w:r>
          </w:p>
        </w:tc>
      </w:tr>
      <w:tr>
        <w:trPr>
          <w:trHeight w:val="190"/>
        </w:trPr>
        <w:tc>
          <w:tcPr>
            <w:tcW w:w="7360" w:type="dxa"/>
            <w:vAlign w:val="bottom"/>
          </w:tcPr>
          <w:p>
            <w:pPr>
              <w:spacing w:after="0"/>
              <w:rPr>
                <w:sz w:val="16"/>
                <w:szCs w:val="16"/>
                <w:color w:val="auto"/>
              </w:rPr>
            </w:pPr>
          </w:p>
        </w:tc>
        <w:tc>
          <w:tcPr>
            <w:tcW w:w="960" w:type="dxa"/>
            <w:vAlign w:val="bottom"/>
            <w:tcBorders>
              <w:bottom w:val="single" w:sz="8" w:color="auto"/>
            </w:tcBorders>
            <w:gridSpan w:val="3"/>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Credit Losses</w:t>
            </w:r>
          </w:p>
        </w:tc>
      </w:tr>
      <w:tr>
        <w:trPr>
          <w:trHeight w:val="32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  . . . . . . . . . . . . . . . . . . . . . . . . . . . . . . . . . . .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200" w:type="dxa"/>
            <w:vAlign w:val="bottom"/>
          </w:tcPr>
          <w:p>
            <w:pPr>
              <w:spacing w:after="0"/>
              <w:rPr>
                <w:sz w:val="24"/>
                <w:szCs w:val="24"/>
                <w:color w:val="auto"/>
              </w:rPr>
            </w:pPr>
          </w:p>
        </w:tc>
      </w:tr>
      <w:tr>
        <w:trPr>
          <w:trHeight w:val="28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Additions to the current period provision  . . . . . . . . . . . . . . . . . .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200" w:type="dxa"/>
            <w:vAlign w:val="bottom"/>
          </w:tcPr>
          <w:p>
            <w:pPr>
              <w:spacing w:after="0"/>
              <w:rPr>
                <w:sz w:val="24"/>
                <w:szCs w:val="24"/>
                <w:color w:val="auto"/>
              </w:rPr>
            </w:pPr>
          </w:p>
        </w:tc>
      </w:tr>
      <w:tr>
        <w:trPr>
          <w:trHeight w:val="28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Write-off against allowance . . . . . . . . . . . . . . . . . . . . . . . . . . . . . . . . . . . . . . . . . . . . . . . . .</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(146)</w:t>
            </w: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Recoveries of previous write-offs  . . . . . . . . . . . . . . . . . . . . . . . . . . . . . . . . . . . . . . . . . . . .</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(514)</w:t>
            </w:r>
          </w:p>
        </w:tc>
      </w:tr>
      <w:tr>
        <w:trPr>
          <w:trHeight w:val="32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  . . . . . . . . . . . . . . . . . . . . . . . . . . . . . . . . . . . . . . . . . . . . . . . . . . . . . . .</w:t>
            </w: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1,630</w:t>
            </w:r>
          </w:p>
        </w:tc>
        <w:tc>
          <w:tcPr>
            <w:tcW w:w="200" w:type="dxa"/>
            <w:vAlign w:val="bottom"/>
          </w:tcPr>
          <w:p>
            <w:pPr>
              <w:spacing w:after="0"/>
              <w:rPr>
                <w:sz w:val="24"/>
                <w:szCs w:val="24"/>
                <w:color w:val="auto"/>
              </w:rPr>
            </w:pPr>
          </w:p>
        </w:tc>
      </w:tr>
      <w:tr>
        <w:trPr>
          <w:trHeight w:val="24"/>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120"/>
          </w:cols>
          <w:pgMar w:left="1380" w:top="1440" w:right="1380" w:bottom="534"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Note 6. Inventory</w:t>
      </w:r>
    </w:p>
    <w:p>
      <w:pPr>
        <w:spacing w:after="0" w:line="1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Inventory is valued at average cost or net realizable value, whichever is lower. The Company’s components of inventory as of December 31, 2025 and 2024 are summarized in the following table:</w:t>
      </w:r>
    </w:p>
    <w:p>
      <w:pPr>
        <w:spacing w:after="0" w:line="8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6720" w:type="dxa"/>
            <w:vAlign w:val="bottom"/>
          </w:tcPr>
          <w:p>
            <w:pPr>
              <w:spacing w:after="0"/>
              <w:rPr>
                <w:sz w:val="17"/>
                <w:szCs w:val="17"/>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$29,754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$37,238</w:t>
            </w:r>
          </w:p>
        </w:tc>
      </w:tr>
      <w:tr>
        <w:trPr>
          <w:trHeight w:val="28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6,717</w:t>
            </w: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 . . . . . . . . . . . . . . . . . . . . . . . . . . . . . . . . . . . . . . . . . . . . . . . . . . . . .</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25,518</w:t>
            </w:r>
          </w:p>
        </w:tc>
        <w:tc>
          <w:tcPr>
            <w:tcW w:w="3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26,551</w:t>
            </w:r>
          </w:p>
        </w:tc>
      </w:tr>
      <w:tr>
        <w:trPr>
          <w:trHeight w:val="32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Inventories — net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60,219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70,506</w:t>
            </w:r>
          </w:p>
        </w:tc>
      </w:tr>
      <w:tr>
        <w:trPr>
          <w:trHeight w:val="24"/>
        </w:trPr>
        <w:tc>
          <w:tcPr>
            <w:tcW w:w="67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Property, Plant, and Equipment</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Property, plant, and equipment as of December 31, 2025 and 2024 consisted of the following:</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6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320"/>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Land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5,864</w:t>
            </w:r>
          </w:p>
        </w:tc>
        <w:tc>
          <w:tcPr>
            <w:tcW w:w="60" w:type="dxa"/>
            <w:vAlign w:val="bottom"/>
          </w:tcPr>
          <w:p>
            <w:pPr>
              <w:spacing w:after="0"/>
              <w:rPr>
                <w:sz w:val="24"/>
                <w:szCs w:val="24"/>
                <w:color w:val="auto"/>
              </w:rPr>
            </w:pPr>
          </w:p>
        </w:tc>
      </w:tr>
      <w:tr>
        <w:trPr>
          <w:trHeight w:val="280"/>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Improvements to land and leaseholds . . . . . . . . . . . . . . . . . . . . . . . . . . . . . .</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19,566</w:t>
            </w:r>
          </w:p>
        </w:tc>
        <w:tc>
          <w:tcPr>
            <w:tcW w:w="60" w:type="dxa"/>
            <w:vAlign w:val="bottom"/>
          </w:tcPr>
          <w:p>
            <w:pPr>
              <w:spacing w:after="0"/>
              <w:rPr>
                <w:sz w:val="24"/>
                <w:szCs w:val="24"/>
                <w:color w:val="auto"/>
              </w:rPr>
            </w:pPr>
          </w:p>
        </w:tc>
      </w:tr>
      <w:tr>
        <w:trPr>
          <w:trHeight w:val="280"/>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Buildings . . . . . . . . . . . . . . . . . . . . . . . . . . . . . . . . . . . . . . . . . . . . . . . . . . . .</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32,607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31,703</w:t>
            </w:r>
          </w:p>
        </w:tc>
        <w:tc>
          <w:tcPr>
            <w:tcW w:w="60" w:type="dxa"/>
            <w:vAlign w:val="bottom"/>
          </w:tcPr>
          <w:p>
            <w:pPr>
              <w:spacing w:after="0"/>
              <w:rPr>
                <w:sz w:val="24"/>
                <w:szCs w:val="24"/>
                <w:color w:val="auto"/>
              </w:rPr>
            </w:pPr>
          </w:p>
        </w:tc>
      </w:tr>
      <w:tr>
        <w:trPr>
          <w:trHeight w:val="280"/>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Machinery and equipment, including equipment under finance leases . . . .</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125,470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117,377</w:t>
            </w:r>
          </w:p>
        </w:tc>
        <w:tc>
          <w:tcPr>
            <w:tcW w:w="60" w:type="dxa"/>
            <w:vAlign w:val="bottom"/>
          </w:tcPr>
          <w:p>
            <w:pPr>
              <w:spacing w:after="0"/>
              <w:rPr>
                <w:sz w:val="24"/>
                <w:szCs w:val="24"/>
                <w:color w:val="auto"/>
              </w:rPr>
            </w:pPr>
          </w:p>
        </w:tc>
      </w:tr>
      <w:tr>
        <w:trPr>
          <w:trHeight w:val="284"/>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 . . . . . . .</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3,594</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r>
      <w:tr>
        <w:trPr>
          <w:trHeight w:val="316"/>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Gross property, plant, and equipment . . . . . . . . . . . . . . . . . . . . . . . . . . . . . . . .</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189,980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178,925</w:t>
            </w:r>
          </w:p>
        </w:tc>
        <w:tc>
          <w:tcPr>
            <w:tcW w:w="60" w:type="dxa"/>
            <w:vAlign w:val="bottom"/>
          </w:tcPr>
          <w:p>
            <w:pPr>
              <w:spacing w:after="0"/>
              <w:rPr>
                <w:sz w:val="24"/>
                <w:szCs w:val="24"/>
                <w:color w:val="auto"/>
              </w:rPr>
            </w:pPr>
          </w:p>
        </w:tc>
      </w:tr>
      <w:tr>
        <w:trPr>
          <w:trHeight w:val="280"/>
        </w:trPr>
        <w:tc>
          <w:tcPr>
            <w:tcW w:w="63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Less: accumulated depreciation and amortization, including 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638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amortization of finance leases  . . . . . . . . . . . . . . . . . . . . . . . . . . . . . . . . .</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96"/>
              </w:rPr>
              <w:t>(112,797)</w:t>
            </w:r>
          </w:p>
        </w:tc>
        <w:tc>
          <w:tcPr>
            <w:tcW w:w="100" w:type="dxa"/>
            <w:vAlign w:val="bottom"/>
          </w:tcPr>
          <w:p>
            <w:pPr>
              <w:spacing w:after="0"/>
              <w:rPr>
                <w:sz w:val="19"/>
                <w:szCs w:val="19"/>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(103,551)</w:t>
            </w:r>
          </w:p>
        </w:tc>
      </w:tr>
      <w:tr>
        <w:trPr>
          <w:trHeight w:val="320"/>
        </w:trPr>
        <w:tc>
          <w:tcPr>
            <w:tcW w:w="6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Property, plant, and equipment — net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77,183</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75,374</w:t>
            </w:r>
          </w:p>
        </w:tc>
        <w:tc>
          <w:tcPr>
            <w:tcW w:w="60" w:type="dxa"/>
            <w:vAlign w:val="bottom"/>
          </w:tcPr>
          <w:p>
            <w:pPr>
              <w:spacing w:after="0"/>
              <w:rPr>
                <w:sz w:val="24"/>
                <w:szCs w:val="24"/>
                <w:color w:val="auto"/>
              </w:rPr>
            </w:pPr>
          </w:p>
        </w:tc>
      </w:tr>
      <w:tr>
        <w:trPr>
          <w:trHeight w:val="24"/>
        </w:trPr>
        <w:tc>
          <w:tcPr>
            <w:tcW w:w="6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7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Depreciation expense, including amortization of assets under finance leases, for the years ended December 31, 2025 and 2024 amounted to $9,143 and $9,452,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Leases</w:t>
      </w:r>
    </w:p>
    <w:p>
      <w:pPr>
        <w:spacing w:after="0" w:line="136"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determines if an arrangement is a lease at its inception. Operating leases are included in “Operating lease right-of-use assets,” “Other accrued liabilities,” and “Long-term operating lease liabilities” within the Consolidated Balance Sheets. Finance leases are included in “Property, plant, and equipment — net,” “Current maturities of long-term debt,” and “Long-term debt” in the Consolidated Balance Sheets.</w:t>
      </w:r>
    </w:p>
    <w:p>
      <w:pPr>
        <w:spacing w:after="0" w:line="13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most of the Company’s leases do not provide an implicit rate, the Company uses its incremental borrowing rate based on the information available at the commencement date in determining the present value of the lease payments. The Company uses the implicit rate when readily determinable. The operating lease right-of-use asset also includes indirect costs incurred and lease payments made prior to the commencement date, less any lease incentives received. The Company’s lease terms may include options to extend or terminate the lease and will be recognized when it is reasonably certain that the Company will exercise that option. Lease expense for lease payments is recognized on a straight-line basis over the lease term.</w:t>
      </w:r>
    </w:p>
    <w:p>
      <w:pPr>
        <w:spacing w:after="0" w:line="13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that it accounts for as a single lease component. Also, for certain equipment leases, the Company applies a portfolio approach to effectively account for the operating lease right-of-use assets and liabilities.</w:t>
      </w:r>
    </w:p>
    <w:p>
      <w:pPr>
        <w:sectPr>
          <w:pgSz w:w="11880" w:h="15480" w:orient="portrait"/>
          <w:cols w:equalWidth="0" w:num="1">
            <w:col w:w="9120"/>
          </w:cols>
          <w:pgMar w:left="1380" w:top="1432" w:right="1380" w:bottom="53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120"/>
          </w:cols>
          <w:pgMar w:left="1380" w:top="1432" w:right="1380" w:bottom="534" w:gutter="0" w:footer="0" w:header="0"/>
          <w:type w:val="continuous"/>
        </w:sectPr>
      </w:pPr>
    </w:p>
    <w:bookmarkStart w:id="64" w:name="page65"/>
    <w:bookmarkEnd w:id="64"/>
    <w:p>
      <w:pPr>
        <w:spacing w:after="0" w:line="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has operating and finance leases for manufacturing facilities, corporate offices, sales offices, vehicles, and certain equipment. As of December 31, 2025, its leases had remaining lease terms of 1 to 14 years, some of which include options to extend the leases for up to 10 years, and some of which include options to terminate the leases within 1 year.</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balance sheet components of the leases were as follows as of December 31, 2025 and 2024:</w:t>
      </w:r>
    </w:p>
    <w:p>
      <w:pPr>
        <w:spacing w:after="0" w:line="6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300" w:type="dxa"/>
            <w:vAlign w:val="bottom"/>
          </w:tcPr>
          <w:p>
            <w:pPr>
              <w:spacing w:after="0"/>
              <w:rPr>
                <w:sz w:val="16"/>
                <w:szCs w:val="16"/>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8"/>
        </w:trPr>
        <w:tc>
          <w:tcPr>
            <w:tcW w:w="6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2"/>
              <w:spacing w:after="0" w:line="182"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2"/>
              <w:spacing w:after="0" w:line="182"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6"/>
                <w:szCs w:val="16"/>
                <w:color w:val="auto"/>
              </w:rPr>
            </w:pPr>
          </w:p>
        </w:tc>
      </w:tr>
      <w:tr>
        <w:trPr>
          <w:trHeight w:val="322"/>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28,309</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18,480</w:t>
            </w:r>
          </w:p>
        </w:tc>
        <w:tc>
          <w:tcPr>
            <w:tcW w:w="140" w:type="dxa"/>
            <w:vAlign w:val="bottom"/>
          </w:tcPr>
          <w:p>
            <w:pPr>
              <w:spacing w:after="0"/>
              <w:rPr>
                <w:sz w:val="24"/>
                <w:szCs w:val="24"/>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6"/>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Other accrued liabilities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4,385</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3,771</w:t>
            </w:r>
          </w:p>
        </w:tc>
        <w:tc>
          <w:tcPr>
            <w:tcW w:w="140" w:type="dxa"/>
            <w:vAlign w:val="bottom"/>
          </w:tcPr>
          <w:p>
            <w:pPr>
              <w:spacing w:after="0"/>
              <w:rPr>
                <w:sz w:val="24"/>
                <w:szCs w:val="24"/>
                <w:color w:val="auto"/>
              </w:rPr>
            </w:pPr>
          </w:p>
        </w:tc>
      </w:tr>
      <w:tr>
        <w:trPr>
          <w:trHeight w:val="28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Long-term operating lease liabilities . . . . . . . . . . . . . . . . . . . . . . . . . . . . . .</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24,266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14,709</w:t>
            </w:r>
          </w:p>
        </w:tc>
        <w:tc>
          <w:tcPr>
            <w:tcW w:w="140" w:type="dxa"/>
            <w:vAlign w:val="bottom"/>
          </w:tcPr>
          <w:p>
            <w:pPr>
              <w:spacing w:after="0"/>
              <w:rPr>
                <w:sz w:val="24"/>
                <w:szCs w:val="24"/>
                <w:color w:val="auto"/>
              </w:rPr>
            </w:pPr>
          </w:p>
        </w:tc>
      </w:tr>
      <w:tr>
        <w:trPr>
          <w:trHeight w:val="316"/>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28,651</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18,480</w:t>
            </w:r>
          </w:p>
        </w:tc>
        <w:tc>
          <w:tcPr>
            <w:tcW w:w="140" w:type="dxa"/>
            <w:vAlign w:val="bottom"/>
          </w:tcPr>
          <w:p>
            <w:pPr>
              <w:spacing w:after="0"/>
              <w:rPr>
                <w:sz w:val="24"/>
                <w:szCs w:val="24"/>
                <w:color w:val="auto"/>
              </w:rPr>
            </w:pPr>
          </w:p>
        </w:tc>
      </w:tr>
      <w:tr>
        <w:trPr>
          <w:trHeight w:val="320"/>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Finance leases</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140" w:type="dxa"/>
            <w:vAlign w:val="bottom"/>
          </w:tcPr>
          <w:p>
            <w:pPr>
              <w:spacing w:after="0"/>
              <w:rPr>
                <w:sz w:val="24"/>
                <w:szCs w:val="24"/>
                <w:color w:val="auto"/>
              </w:rPr>
            </w:pPr>
          </w:p>
        </w:tc>
      </w:tr>
      <w:tr>
        <w:trPr>
          <w:trHeight w:val="28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 . . . .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(1,390)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(1,072)</w:t>
            </w: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 net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40" w:type="dxa"/>
            <w:vAlign w:val="bottom"/>
          </w:tcPr>
          <w:p>
            <w:pPr>
              <w:spacing w:after="0"/>
              <w:rPr>
                <w:sz w:val="24"/>
                <w:szCs w:val="24"/>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6"/>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Current maturities of long-term debt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40" w:type="dxa"/>
            <w:vAlign w:val="bottom"/>
          </w:tcPr>
          <w:p>
            <w:pPr>
              <w:spacing w:after="0"/>
              <w:rPr>
                <w:sz w:val="24"/>
                <w:szCs w:val="24"/>
                <w:color w:val="auto"/>
              </w:rPr>
            </w:pPr>
          </w:p>
        </w:tc>
      </w:tr>
      <w:tr>
        <w:trPr>
          <w:trHeight w:val="284"/>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 . . . . . . . . . . . . . . . . . . . . . . . . . . . . . . . . . . . . . . . . . . . . . .</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40" w:type="dxa"/>
            <w:vAlign w:val="bottom"/>
          </w:tcPr>
          <w:p>
            <w:pPr>
              <w:spacing w:after="0"/>
              <w:rPr>
                <w:sz w:val="24"/>
                <w:szCs w:val="24"/>
                <w:color w:val="auto"/>
              </w:rPr>
            </w:pPr>
          </w:p>
        </w:tc>
      </w:tr>
      <w:tr>
        <w:trPr>
          <w:trHeight w:val="32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Total finance lease liabilities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40" w:type="dxa"/>
            <w:vAlign w:val="bottom"/>
          </w:tcPr>
          <w:p>
            <w:pPr>
              <w:spacing w:after="0"/>
              <w:rPr>
                <w:sz w:val="24"/>
                <w:szCs w:val="24"/>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components of lease expense within the Consolidated Statements of Operations were as follows for the years ended December 31, 2025 and 2024:</w:t>
      </w:r>
    </w:p>
    <w:p>
      <w:pPr>
        <w:spacing w:after="0" w:line="9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56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4648200</wp:posOffset>
                </wp:positionH>
                <wp:positionV relativeFrom="paragraph">
                  <wp:posOffset>13335</wp:posOffset>
                </wp:positionV>
                <wp:extent cx="8890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05pt" to="436pt,1.05pt" o:allowincell="f" strokecolor="#000000" strokeweight="0.5pt"/>
            </w:pict>
          </mc:Fallback>
        </mc:AlternateConten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6"/>
                <w:szCs w:val="16"/>
                <w:color w:val="auto"/>
              </w:rPr>
            </w:pPr>
          </w:p>
        </w:tc>
      </w:tr>
      <w:tr>
        <w:trPr>
          <w:trHeight w:val="322"/>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finance leases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tcPr>
          <w:p>
            <w:pPr>
              <w:spacing w:after="0"/>
              <w:rPr>
                <w:sz w:val="24"/>
                <w:szCs w:val="24"/>
                <w:color w:val="auto"/>
              </w:rPr>
            </w:pPr>
          </w:p>
        </w:tc>
      </w:tr>
      <w:tr>
        <w:trPr>
          <w:trHeight w:val="28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Interest on lease liabilities . . . . . . . . . . .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r>
      <w:tr>
        <w:trPr>
          <w:trHeight w:val="28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5,346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3,181</w:t>
            </w:r>
          </w:p>
        </w:tc>
        <w:tc>
          <w:tcPr>
            <w:tcW w:w="60" w:type="dxa"/>
            <w:vAlign w:val="bottom"/>
          </w:tcPr>
          <w:p>
            <w:pPr>
              <w:spacing w:after="0"/>
              <w:rPr>
                <w:sz w:val="24"/>
                <w:szCs w:val="24"/>
                <w:color w:val="auto"/>
              </w:rPr>
            </w:pPr>
          </w:p>
        </w:tc>
      </w:tr>
      <w:tr>
        <w:trPr>
          <w:trHeight w:val="28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 . . . . . . . . . . . . . . . . . . . . . . . . . . . . . . . . . . . . . . . . . . . . . . . . . . . . .</w:t>
            </w:r>
          </w:p>
        </w:tc>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32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 . . . . . . . . . . . . . . . .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5,523</w:t>
            </w:r>
          </w:p>
        </w:tc>
        <w:tc>
          <w:tcPr>
            <w:tcW w:w="30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3,184</w:t>
            </w:r>
          </w:p>
        </w:tc>
        <w:tc>
          <w:tcPr>
            <w:tcW w:w="60" w:type="dxa"/>
            <w:vAlign w:val="bottom"/>
          </w:tcPr>
          <w:p>
            <w:pPr>
              <w:spacing w:after="0"/>
              <w:rPr>
                <w:sz w:val="24"/>
                <w:szCs w:val="24"/>
                <w:color w:val="auto"/>
              </w:rPr>
            </w:pPr>
          </w:p>
        </w:tc>
      </w:tr>
      <w:tr>
        <w:trPr>
          <w:trHeight w:val="24"/>
        </w:trPr>
        <w:tc>
          <w:tcPr>
            <w:tcW w:w="6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cash flow components of the leases were as follows for the years ended December 31, 2025 and 2024:</w:t>
      </w:r>
    </w:p>
    <w:p>
      <w:pPr>
        <w:spacing w:after="0" w:line="8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48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4542155</wp:posOffset>
                </wp:positionH>
                <wp:positionV relativeFrom="paragraph">
                  <wp:posOffset>13335</wp:posOffset>
                </wp:positionV>
                <wp:extent cx="99504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50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65pt,1.05pt" to="436pt,1.05pt" o:allowincell="f" strokecolor="#000000" strokeweight="0.5pt"/>
            </w:pict>
          </mc:Fallback>
        </mc:AlternateConten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322"/>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6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Operating cash flows from operating leases . . . . . . . . . . . . . . . . . . . . . . . . .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2"/>
              </w:rPr>
              <w:t>$ (5,014)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$(3,746)</w:t>
            </w:r>
          </w:p>
        </w:tc>
      </w:tr>
      <w:tr>
        <w:trPr>
          <w:trHeight w:val="280"/>
        </w:trPr>
        <w:tc>
          <w:tcPr>
            <w:tcW w:w="6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Financing cash flows from finance leases . . . . . . . . . . . . . . . . . . . . . . . . . . .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(245)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w:t>
            </w:r>
          </w:p>
        </w:tc>
      </w:tr>
      <w:tr>
        <w:trPr>
          <w:trHeight w:val="280"/>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lease liabilities: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6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6,605</w:t>
            </w:r>
          </w:p>
        </w:tc>
        <w:tc>
          <w:tcPr>
            <w:tcW w:w="60" w:type="dxa"/>
            <w:vAlign w:val="bottom"/>
          </w:tcPr>
          <w:p>
            <w:pPr>
              <w:spacing w:after="0"/>
              <w:rPr>
                <w:sz w:val="24"/>
                <w:szCs w:val="24"/>
                <w:color w:val="auto"/>
              </w:rPr>
            </w:pPr>
          </w:p>
        </w:tc>
      </w:tr>
      <w:tr>
        <w:trPr>
          <w:trHeight w:val="280"/>
        </w:trPr>
        <w:tc>
          <w:tcPr>
            <w:tcW w:w="6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3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67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Termination of right-of use assets from operating leases . . . . . . . . . . . . . . . . . . .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(811)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120"/>
          </w:cols>
          <w:pgMar w:left="1380" w:top="1440" w:right="1380" w:bottom="534" w:gutter="0" w:footer="0" w:header="0"/>
          <w:type w:val="continuous"/>
        </w:sectPr>
      </w:pPr>
    </w:p>
    <w:bookmarkStart w:id="65" w:name="page66"/>
    <w:bookmarkEnd w:id="65"/>
    <w:p>
      <w:pPr>
        <w:spacing w:after="0" w:line="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weighted-average remaining lease term (in years) and discount rate related to the operating leases were as follows for the periods presented:</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0"/>
        </w:trPr>
        <w:tc>
          <w:tcPr>
            <w:tcW w:w="73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40" w:type="dxa"/>
            <w:vAlign w:val="bottom"/>
          </w:tcPr>
          <w:p>
            <w:pPr>
              <w:spacing w:after="0"/>
              <w:rPr>
                <w:sz w:val="17"/>
                <w:szCs w:val="17"/>
                <w:color w:val="auto"/>
              </w:rPr>
            </w:pPr>
          </w:p>
        </w:tc>
      </w:tr>
      <w:tr>
        <w:trPr>
          <w:trHeight w:val="32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weighted-average remaining lease term . . . . . . . . . . . . . . . . . . . . . . . . . . .</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40" w:type="dxa"/>
            <w:vAlign w:val="bottom"/>
          </w:tcPr>
          <w:p>
            <w:pPr>
              <w:spacing w:after="0"/>
              <w:rPr>
                <w:sz w:val="24"/>
                <w:szCs w:val="24"/>
                <w:color w:val="auto"/>
              </w:rPr>
            </w:pPr>
          </w:p>
        </w:tc>
      </w:tr>
      <w:tr>
        <w:trPr>
          <w:trHeight w:val="28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weighted-average discount rate . . . . . . . . . . . . . . . . . . . . . . . . . . . . . . . .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8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weighted-average remaining lease term  . . . . . . . . . . . . . . . . . . . . . . . . . . . .</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Pr>
          <w:p>
            <w:pPr>
              <w:spacing w:after="0"/>
              <w:rPr>
                <w:sz w:val="24"/>
                <w:szCs w:val="24"/>
                <w:color w:val="auto"/>
              </w:rPr>
            </w:pPr>
          </w:p>
        </w:tc>
      </w:tr>
      <w:tr>
        <w:trPr>
          <w:trHeight w:val="28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weighted-average discount rate . . . . . . . . . . . . . . . . . . . . . . . . . . . . . . . . . .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bl>
    <w:p>
      <w:pPr>
        <w:spacing w:after="0" w:line="14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As of December 31, 2025, estimated annual maturities of lease liabilities for the year ending December 31, 2026 and thereafter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Operating</w:t>
            </w:r>
          </w:p>
        </w:tc>
        <w:tc>
          <w:tcPr>
            <w:tcW w:w="14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88"/>
              </w:rPr>
              <w:t>Finance</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67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80" w:type="dxa"/>
            <w:vAlign w:val="bottom"/>
          </w:tcPr>
          <w:p>
            <w:pPr>
              <w:spacing w:after="0"/>
              <w:rPr>
                <w:sz w:val="16"/>
                <w:szCs w:val="16"/>
                <w:color w:val="auto"/>
              </w:rPr>
            </w:pPr>
          </w:p>
        </w:tc>
        <w:tc>
          <w:tcPr>
            <w:tcW w:w="880" w:type="dxa"/>
            <w:vAlign w:val="bottom"/>
            <w:gridSpan w:val="3"/>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rPr>
              <w:t>Leases</w:t>
            </w:r>
          </w:p>
        </w:tc>
        <w:tc>
          <w:tcPr>
            <w:tcW w:w="140" w:type="dxa"/>
            <w:vAlign w:val="bottom"/>
          </w:tcPr>
          <w:p>
            <w:pPr>
              <w:spacing w:after="0"/>
              <w:rPr>
                <w:sz w:val="16"/>
                <w:szCs w:val="16"/>
                <w:color w:val="auto"/>
              </w:rPr>
            </w:pPr>
          </w:p>
        </w:tc>
        <w:tc>
          <w:tcPr>
            <w:tcW w:w="56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b w:val="1"/>
                <w:bCs w:val="1"/>
                <w:color w:val="auto"/>
                <w:w w:val="96"/>
              </w:rPr>
              <w:t>Leases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$ 5,672</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5,139</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5,349</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4,952</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3,042</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2031 and thereafter . . . . . . . . . . . . . . . . . . . . . . . . . . . . . . . . . . . . . . . . . . . . . . . . . .</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11,042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20"/>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35,196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 . . . . . . . . . . . . . . . . . . . . . . . . . . . . . . . . . . . . . . . . . . . . . . . . . . . . . . . . . .</w:t>
            </w: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(6,545)</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28,651</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9. Long-Term Debt and Related Matters</w:t>
            </w:r>
          </w:p>
        </w:tc>
        <w:tc>
          <w:tcPr>
            <w:tcW w:w="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2"/>
        </w:trPr>
        <w:tc>
          <w:tcPr>
            <w:tcW w:w="71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debt as of December 31, 2025 and 2024 consisted of the following:</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00" w:type="dxa"/>
            <w:vAlign w:val="bottom"/>
          </w:tcPr>
          <w:p>
            <w:pPr>
              <w:spacing w:after="0"/>
              <w:rPr>
                <w:sz w:val="24"/>
                <w:szCs w:val="24"/>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Revolving credit facility with an interest rate of 5.23% as of December 31, 2025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672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and 6.38% as of December 31, 2024 . . . . . . . . . . . . . . . . . . . . . . . . . . . . . . . .</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$42,194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5"/>
              </w:rPr>
              <w:t>$46,467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Finance leases with a weighted average interest rate of 4.40% as of December 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72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2025 and 4.80% as of December 31, 2024 . . . . . . . . . . . . . . . . . . . . . . . . . . . . .</w:t>
            </w:r>
          </w:p>
        </w:tc>
        <w:tc>
          <w:tcPr>
            <w:tcW w:w="66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562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debt . . . . . . . . . . . . . . . . . .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42,756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Less: current maturities . . . . . . . . . . . . . . . . . . . . . . . . . . . . . . . . . . . . . . . . . . . .</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(153)</w:t>
            </w: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320"/>
        </w:trPr>
        <w:tc>
          <w:tcPr>
            <w:tcW w:w="40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portion . . . . . . . . . . . . . . . . . . . . . . . . . . . . . . . . . . . . . . . . . . . . . . . . . .</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42,603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46,773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expected maturities of long-term debt for December 31, 2026 and thereafter are as follows: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680" w:type="dxa"/>
            <w:vAlign w:val="bottom"/>
          </w:tcPr>
          <w:p>
            <w:pPr>
              <w:jc w:val="right"/>
              <w:ind w:right="5260"/>
              <w:spacing w:after="0"/>
              <w:rPr>
                <w:sz w:val="20"/>
                <w:szCs w:val="20"/>
                <w:color w:val="auto"/>
              </w:rPr>
            </w:pPr>
            <w:r>
              <w:rPr>
                <w:rFonts w:ascii="Times New Roman" w:cs="Times New Roman" w:eastAsia="Times New Roman" w:hAnsi="Times New Roman"/>
                <w:sz w:val="20"/>
                <w:szCs w:val="20"/>
                <w:b w:val="1"/>
                <w:bCs w:val="1"/>
                <w:color w:val="auto"/>
                <w:w w:val="99"/>
              </w:rPr>
              <w:t>Year Ending December 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8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8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8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8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2030 . . . . . . . . . . . . . . . . . . . . . . . . . . . . . . . . . . . . . . . . . . . . . . . . . . . . . . . . . . . . . . . . . . . . . .</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42,259</w:t>
            </w:r>
          </w:p>
        </w:tc>
      </w:tr>
      <w:tr>
        <w:trPr>
          <w:trHeight w:val="284"/>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2031 and thereafter . . .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20"/>
        </w:trPr>
        <w:tc>
          <w:tcPr>
            <w:tcW w:w="76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42,756</w:t>
            </w:r>
          </w:p>
        </w:tc>
      </w:tr>
      <w:tr>
        <w:trPr>
          <w:trHeight w:val="24"/>
        </w:trPr>
        <w:tc>
          <w:tcPr>
            <w:tcW w:w="7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40" w:right="1380" w:bottom="534"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120"/>
          </w:cols>
          <w:pgMar w:left="1380" w:top="1440" w:right="1380" w:bottom="534"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u w:val="single" w:color="auto"/>
          <w:color w:val="auto"/>
        </w:rPr>
        <w:t>Borrowings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as amended, modifies the prior amended revolving credit facility, which had a maximum credit line of $130,000 and extends the maturity date from August 13, 2026 to June 27, 2030. The Credit Agreement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spacing w:after="0" w:line="13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Credit Agreement includes two financial covenants: (a) Maximum Gross Leverage Ratio, defined as the Company’s Consolidated Indebtedness divided by the Company’s Consolidated EBITDA, as defined in the Credit Agreement,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w:t>
      </w:r>
    </w:p>
    <w:p>
      <w:pPr>
        <w:spacing w:after="0" w:line="13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Company was in compliance with the covenants in the Credit Agreement, as amended. As of December 31, 2025 and 2024, the Company had outstanding letters of credit of approximately $876 and $1,409, respectively, and had net available borrowing capacity of $106,930 and $82,124, respectively, subject to covenant restrictions.</w:t>
      </w:r>
    </w:p>
    <w:p>
      <w:pPr>
        <w:spacing w:after="0" w:line="13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To reduce the impact of interest rate changes on outstanding variable-rate debt, the Company amended and entered into forward-starting SOFR-based interest rate swaps, with notional values totaling $20,000 and $20,000, effective August 12, 2022 and August 31, 2022, respectively. The August 12, 2022 interest rate swap expired on March 1, 2025. The August 31, 2022 interest rate swap expires on August 13, 2026. The fair value of the interest rate swaps is based on market-observable forward interest rates and represents the estimated amount that the Company would pay to terminate the agreements. As such, the swap agreements are classified as Level 2 within the fair value hierarchy. As of December 31, 2025 the remaining interest rate swap was immaterial and as of December 31, 2024 the interest rate swap was $430 and was recorded in “Other current assets” within our Consolidated Balance Sheets. For the years ended December 31, 2025 and 2024, the Company recognized interest income of $372 and $1,306, respectively, from interest rate swaps.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Stockholders’ Equity</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had authorized shares of 20,000,000 in common stock with 11,115,779 shares issued as of December 31, 2025 and 2024. The common stock has a par value of $0.01 per share and the Company did not make any dividend payments during the years ended December 31, 2025 and 2024.</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120"/>
          </w:cols>
          <w:pgMar w:left="1380" w:top="1432" w:right="1380" w:bottom="534" w:gutter="0" w:footer="0" w:header="0"/>
          <w:type w:val="continuous"/>
        </w:sectPr>
      </w:pPr>
    </w:p>
    <w:bookmarkStart w:id="67" w:name="page68"/>
    <w:bookmarkEnd w:id="67"/>
    <w:p>
      <w:pPr>
        <w:spacing w:after="0" w:line="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2025 and 2024, the Company withheld 79,721 and 59,577 shares for approximately $2,108 and $1,429, respectively, from employees to pay their withholding taxes in connection with the vesting of restricted stock awards.</w:t>
      </w:r>
    </w:p>
    <w:p>
      <w:pPr>
        <w:spacing w:after="0" w:line="13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13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connection with the stock repurchase programs, 582,389 shares valued at $14,436 were repurchased during the year ended December 31, 2025 and 300,302 shares valued at $6,808 were repurchased during the year ended December 31, 2024.</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6"/>
                <w:szCs w:val="16"/>
                <w:color w:val="auto"/>
              </w:rPr>
            </w:pPr>
          </w:p>
        </w:tc>
      </w:tr>
      <w:tr>
        <w:trPr>
          <w:trHeight w:val="200"/>
        </w:trPr>
        <w:tc>
          <w:tcPr>
            <w:tcW w:w="64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7"/>
                <w:szCs w:val="17"/>
                <w:color w:val="auto"/>
              </w:rPr>
            </w:pPr>
          </w:p>
        </w:tc>
      </w:tr>
      <w:tr>
        <w:trPr>
          <w:trHeight w:val="192"/>
        </w:trPr>
        <w:tc>
          <w:tcPr>
            <w:tcW w:w="6400" w:type="dxa"/>
            <w:vAlign w:val="bottom"/>
          </w:tcPr>
          <w:p>
            <w:pPr>
              <w:spacing w:after="0"/>
              <w:rPr>
                <w:sz w:val="16"/>
                <w:szCs w:val="16"/>
                <w:color w:val="auto"/>
              </w:rPr>
            </w:pP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28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2023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381,844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10,733,935</w:t>
            </w:r>
          </w:p>
        </w:tc>
        <w:tc>
          <w:tcPr>
            <w:tcW w:w="60" w:type="dxa"/>
            <w:vAlign w:val="bottom"/>
          </w:tcPr>
          <w:p>
            <w:pPr>
              <w:spacing w:after="0"/>
              <w:rPr>
                <w:sz w:val="24"/>
                <w:szCs w:val="24"/>
                <w:color w:val="auto"/>
              </w:rPr>
            </w:pPr>
          </w:p>
        </w:tc>
      </w:tr>
      <w:tr>
        <w:trPr>
          <w:trHeight w:val="28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Issued for stock-based compensation plans, net of shares withheld for</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64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taxes  . . . . . . . . . . . . . . . . . . . . . . . . . . . . . . . . . . . . . . . . . . . . . . . . . . . . . . .</w:t>
            </w:r>
          </w:p>
        </w:tc>
        <w:tc>
          <w:tcPr>
            <w:tcW w:w="10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96"/>
              </w:rPr>
              <w:t>(139,799)</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139,799</w:t>
            </w:r>
          </w:p>
        </w:tc>
        <w:tc>
          <w:tcPr>
            <w:tcW w:w="60" w:type="dxa"/>
            <w:vAlign w:val="bottom"/>
          </w:tcPr>
          <w:p>
            <w:pPr>
              <w:spacing w:after="0"/>
              <w:rPr>
                <w:sz w:val="19"/>
                <w:szCs w:val="19"/>
                <w:color w:val="auto"/>
              </w:rPr>
            </w:pPr>
          </w:p>
        </w:tc>
      </w:tr>
      <w:tr>
        <w:trPr>
          <w:trHeight w:val="28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Repurchased common stock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300,302</w:t>
            </w:r>
          </w:p>
        </w:tc>
        <w:tc>
          <w:tcPr>
            <w:tcW w:w="3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(300,302)</w:t>
            </w:r>
          </w:p>
        </w:tc>
      </w:tr>
      <w:tr>
        <w:trPr>
          <w:trHeight w:val="316"/>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2024 . . . . . . . . . . . . . . . . . . . . . . . . . . . . . . . . . . . . . . . . . . .</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542,347</w:t>
            </w:r>
          </w:p>
        </w:tc>
        <w:tc>
          <w:tcPr>
            <w:tcW w:w="3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10,573,432</w:t>
            </w:r>
          </w:p>
        </w:tc>
        <w:tc>
          <w:tcPr>
            <w:tcW w:w="60" w:type="dxa"/>
            <w:vAlign w:val="bottom"/>
          </w:tcPr>
          <w:p>
            <w:pPr>
              <w:spacing w:after="0"/>
              <w:rPr>
                <w:sz w:val="24"/>
                <w:szCs w:val="24"/>
                <w:color w:val="auto"/>
              </w:rPr>
            </w:pPr>
          </w:p>
        </w:tc>
      </w:tr>
      <w:tr>
        <w:trPr>
          <w:trHeight w:val="28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Issued for stock-based compensation plans, net of shares withheld for</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64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taxes  . . . . . . . . . . . . . . . . . . . . . . . . . . . . . . . . . . . . . . . . . . . . . . . . . . . . . . .</w:t>
            </w:r>
          </w:p>
        </w:tc>
        <w:tc>
          <w:tcPr>
            <w:tcW w:w="10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96"/>
              </w:rPr>
              <w:t>(144,367)</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144,367</w:t>
            </w:r>
          </w:p>
        </w:tc>
        <w:tc>
          <w:tcPr>
            <w:tcW w:w="60" w:type="dxa"/>
            <w:vAlign w:val="bottom"/>
          </w:tcPr>
          <w:p>
            <w:pPr>
              <w:spacing w:after="0"/>
              <w:rPr>
                <w:sz w:val="19"/>
                <w:szCs w:val="19"/>
                <w:color w:val="auto"/>
              </w:rPr>
            </w:pPr>
          </w:p>
        </w:tc>
      </w:tr>
      <w:tr>
        <w:trPr>
          <w:trHeight w:val="28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Repurchased common stock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582,389</w:t>
            </w:r>
          </w:p>
        </w:tc>
        <w:tc>
          <w:tcPr>
            <w:tcW w:w="3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(582,389)</w:t>
            </w:r>
          </w:p>
        </w:tc>
      </w:tr>
      <w:tr>
        <w:trPr>
          <w:trHeight w:val="32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2025 . . . . . . . . . . . . . . . . . . . . . . . . . . . . . . . . . . . . . . . . . .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980,369</w:t>
            </w:r>
          </w:p>
        </w:tc>
        <w:tc>
          <w:tcPr>
            <w:tcW w:w="3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10,135,410</w:t>
            </w:r>
          </w:p>
        </w:tc>
        <w:tc>
          <w:tcPr>
            <w:tcW w:w="60" w:type="dxa"/>
            <w:vAlign w:val="bottom"/>
          </w:tcPr>
          <w:p>
            <w:pPr>
              <w:spacing w:after="0"/>
              <w:rPr>
                <w:sz w:val="24"/>
                <w:szCs w:val="24"/>
                <w:color w:val="auto"/>
              </w:rPr>
            </w:pPr>
          </w:p>
        </w:tc>
      </w:tr>
      <w:tr>
        <w:trPr>
          <w:trHeight w:val="24"/>
        </w:trPr>
        <w:tc>
          <w:tcPr>
            <w:tcW w:w="6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Accumulated Other Comprehensive Loss</w:t>
      </w:r>
    </w:p>
    <w:p>
      <w:pPr>
        <w:spacing w:after="0" w:line="14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components of accumulated other comprehensive loss, net of tax, for the years ended December 31, 2025 and 2024, were as follows:</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6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32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Pension and post-retirement benefit plan adjustments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(1,431)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4"/>
                <w:szCs w:val="24"/>
                <w:color w:val="auto"/>
              </w:rPr>
            </w:pPr>
          </w:p>
        </w:tc>
      </w:tr>
      <w:tr>
        <w:trPr>
          <w:trHeight w:val="28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Unrealized income on interest rate swap contracts  . . . . . . . . . . . . . . . . . . . . . . .</w:t>
            </w: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60" w:type="dxa"/>
            <w:vAlign w:val="bottom"/>
          </w:tcPr>
          <w:p>
            <w:pPr>
              <w:spacing w:after="0"/>
              <w:rPr>
                <w:sz w:val="24"/>
                <w:szCs w:val="24"/>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 . . . . . . . . . . . . . . . . . . . . . . . . . . . . . . .</w:t>
            </w:r>
          </w:p>
        </w:tc>
        <w:tc>
          <w:tcPr>
            <w:tcW w:w="10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6"/>
              </w:rPr>
              <w:t>(19,854)</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(22,494)</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6"/>
              </w:rPr>
              <w:t>(20,889)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(21,716)</w:t>
            </w:r>
          </w:p>
        </w:tc>
      </w:tr>
      <w:tr>
        <w:trPr>
          <w:trHeight w:val="24"/>
        </w:trPr>
        <w:tc>
          <w:tcPr>
            <w:tcW w:w="65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8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the Company reclassified $1,174 of pension and post-retirement benefit plan adjustments from “Accumulated other comprehensive loss” to “Other expense — net” as a result of the termination of our frozen L.B. Foster Company Merged Retirement Plan, discussed further in Note 15. Foreign currency translation adjustments are generally not adjusted for income taxes as they relate to indefinite investments in non-US subsidiaries. See Note 13 for further information.</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120"/>
          </w:cols>
          <w:pgMar w:left="1380" w:top="1440" w:right="1380" w:bottom="534"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Note 12. Earnings Per Common Share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 amounts in thousands)</w:t>
      </w:r>
    </w:p>
    <w:p>
      <w:pPr>
        <w:spacing w:after="0" w:line="11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earnings per common share for the years ended December 31, 2025 and 2024:</w:t>
      </w:r>
    </w:p>
    <w:p>
      <w:pPr>
        <w:spacing w:after="0" w:line="6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9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Numerator for basic and diluted earnings per common share:</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income attributable to L.B. Foster Company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7,545</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42,946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6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Weighted average shares outstanding . . . . . . . . . . . . . . . . . . . . . . . . . . .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10,374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10,721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Denominator for basic earnings per common share . . . . . . . . . . . . . . . . . .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10,374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10,721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Stock compensation plans . . . . . . . . . . . . . . . . . . . . . . . . . . . . . . . . . . . .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Dilutive potential common shares . . . . . . . . . . . . . . . . . . . . . . . . . . . . . . . .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Denominator for diluted earnings per common share — adjusted weighted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2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average shares outstanding and assumed conversions . . . . . . . . . . . . . .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10,882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11,048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Basic earnings per common share . .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Diluted earnings per common share . . . . . . . . . . . . . . . . . . . . . . . . . . . . . . . .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0.69</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Income Taxes</w:t>
      </w:r>
    </w:p>
    <w:p>
      <w:pPr>
        <w:spacing w:after="0" w:line="11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Income before income taxes, as shown in the accompanying Consolidated Statements of Operations, includes the following components for the years ended December 31, 2025 and 2024:</w:t>
      </w:r>
    </w:p>
    <w:p>
      <w:pPr>
        <w:spacing w:after="0" w:line="6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00"/>
        </w:trPr>
        <w:tc>
          <w:tcPr>
            <w:tcW w:w="6420" w:type="dxa"/>
            <w:vAlign w:val="bottom"/>
          </w:tcPr>
          <w:p>
            <w:pPr>
              <w:spacing w:after="0"/>
              <w:rPr>
                <w:sz w:val="17"/>
                <w:szCs w:val="17"/>
                <w:color w:val="auto"/>
              </w:rPr>
            </w:pPr>
          </w:p>
        </w:tc>
        <w:tc>
          <w:tcPr>
            <w:tcW w:w="76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r>
      <w:tr>
        <w:trPr>
          <w:trHeight w:val="32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$ 32,916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$21,200</w:t>
            </w:r>
          </w:p>
        </w:tc>
        <w:tc>
          <w:tcPr>
            <w:tcW w:w="80" w:type="dxa"/>
            <w:vAlign w:val="bottom"/>
          </w:tcPr>
          <w:p>
            <w:pPr>
              <w:spacing w:after="0"/>
              <w:rPr>
                <w:sz w:val="24"/>
                <w:szCs w:val="24"/>
                <w:color w:val="auto"/>
              </w:rPr>
            </w:pPr>
          </w:p>
        </w:tc>
      </w:tr>
      <w:tr>
        <w:trPr>
          <w:trHeight w:val="28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w:t>
            </w:r>
          </w:p>
        </w:tc>
        <w:tc>
          <w:tcPr>
            <w:tcW w:w="40" w:type="dxa"/>
            <w:vAlign w:val="bottom"/>
          </w:tcPr>
          <w:p>
            <w:pPr>
              <w:spacing w:after="0"/>
              <w:rPr>
                <w:sz w:val="24"/>
                <w:szCs w:val="24"/>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(15,500)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(6,755)</w:t>
            </w:r>
          </w:p>
        </w:tc>
      </w:tr>
      <w:tr>
        <w:trPr>
          <w:trHeight w:val="20"/>
        </w:trPr>
        <w:tc>
          <w:tcPr>
            <w:tcW w:w="6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 . . . .</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$ 17,416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14,445</w:t>
            </w:r>
          </w:p>
        </w:tc>
        <w:tc>
          <w:tcPr>
            <w:tcW w:w="80" w:type="dxa"/>
            <w:vAlign w:val="bottom"/>
          </w:tcPr>
          <w:p>
            <w:pPr>
              <w:spacing w:after="0"/>
              <w:rPr>
                <w:sz w:val="24"/>
                <w:szCs w:val="24"/>
                <w:color w:val="auto"/>
              </w:rPr>
            </w:pPr>
          </w:p>
        </w:tc>
      </w:tr>
      <w:tr>
        <w:trPr>
          <w:trHeight w:val="2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Significant components of the provision for income taxes for the years ended December 31, 2025 and 2024 were as follows:</w:t>
      </w:r>
    </w:p>
    <w:p>
      <w:pPr>
        <w:spacing w:after="0" w:line="6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920" w:type="dxa"/>
            <w:vAlign w:val="bottom"/>
            <w:gridSpan w:val="10"/>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8"/>
        </w:trPr>
        <w:tc>
          <w:tcPr>
            <w:tcW w:w="6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9"/>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current  . . . . . . . . . . . . . . . . . . . . . . . . . . . . . . . . . . . . . . . . . . . . . . . . . .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1,628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7,188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6"/>
              </w:rPr>
              <w:t>(21,441)</w:t>
            </w:r>
          </w:p>
        </w:tc>
      </w:tr>
      <w:tr>
        <w:trPr>
          <w:trHeight w:val="27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(7,691)</w:t>
            </w:r>
          </w:p>
        </w:tc>
      </w:tr>
      <w:tr>
        <w:trPr>
          <w:trHeight w:val="279"/>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deferred  . . . . . . . . . . . . . . . . . . .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8,369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6"/>
              </w:rPr>
              <w:t>(29,145)</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5"/>
        </w:trPr>
        <w:tc>
          <w:tcPr>
            <w:tcW w:w="64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income tax (benefit) expense . . . . . . . . . . . . . . . . . . . . . . . . . . . . . . . . . .</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9,997</w:t>
            </w:r>
          </w:p>
        </w:tc>
        <w:tc>
          <w:tcPr>
            <w:tcW w:w="1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6"/>
              </w:rPr>
              <w:t>(28,398)</w:t>
            </w:r>
          </w:p>
        </w:tc>
      </w:tr>
      <w:tr>
        <w:trPr>
          <w:trHeight w:val="24"/>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32" w:right="1380" w:bottom="534"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120"/>
          </w:cols>
          <w:pgMar w:left="1380" w:top="1432" w:right="1380" w:bottom="534" w:gutter="0" w:footer="0" w:header="0"/>
          <w:type w:val="continuous"/>
        </w:sectPr>
      </w:pPr>
    </w:p>
    <w:bookmarkStart w:id="69" w:name="page70"/>
    <w:bookmarkEnd w:id="69"/>
    <w:p>
      <w:pPr>
        <w:ind w:left="400"/>
        <w:spacing w:after="0"/>
        <w:rPr>
          <w:sz w:val="20"/>
          <w:szCs w:val="20"/>
          <w:color w:val="auto"/>
        </w:rPr>
      </w:pPr>
      <w:r>
        <w:rPr>
          <w:rFonts w:ascii="Times New Roman" w:cs="Times New Roman" w:eastAsia="Times New Roman" w:hAnsi="Times New Roman"/>
          <w:sz w:val="20"/>
          <w:szCs w:val="20"/>
          <w:color w:val="auto"/>
        </w:rPr>
        <w:t>The reconciliation of income tax computed at statutory rates to income tax expense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is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00"/>
        </w:trPr>
        <w:tc>
          <w:tcPr>
            <w:tcW w:w="510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0"/>
        </w:trPr>
        <w:tc>
          <w:tcPr>
            <w:tcW w:w="510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Percent</w:t>
            </w:r>
          </w:p>
        </w:tc>
        <w:tc>
          <w:tcPr>
            <w:tcW w:w="30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7"/>
                <w:szCs w:val="17"/>
                <w:color w:val="auto"/>
              </w:rPr>
            </w:pP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00" w:type="dxa"/>
            <w:vAlign w:val="bottom"/>
          </w:tcPr>
          <w:p>
            <w:pPr>
              <w:spacing w:after="0"/>
              <w:rPr>
                <w:sz w:val="17"/>
                <w:szCs w:val="17"/>
                <w:color w:val="auto"/>
              </w:rPr>
            </w:pPr>
          </w:p>
        </w:tc>
      </w:tr>
      <w:tr>
        <w:trPr>
          <w:trHeight w:val="32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$3,657</w:t>
            </w:r>
          </w:p>
        </w:tc>
        <w:tc>
          <w:tcPr>
            <w:tcW w:w="100" w:type="dxa"/>
            <w:vAlign w:val="bottom"/>
          </w:tcPr>
          <w:p>
            <w:pPr>
              <w:spacing w:after="0"/>
              <w:rPr>
                <w:sz w:val="24"/>
                <w:szCs w:val="24"/>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21.0%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3,033</w:t>
            </w:r>
          </w:p>
        </w:tc>
        <w:tc>
          <w:tcPr>
            <w:tcW w:w="30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21.0%</w:t>
            </w:r>
          </w:p>
        </w:tc>
      </w:tr>
      <w:tr>
        <w:trPr>
          <w:trHeight w:val="28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510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effect* . . . . . . . . . . . . . . . . . . . . . . . . . . . . . . . . . . . . . . . . .</w:t>
            </w:r>
          </w:p>
        </w:tc>
        <w:tc>
          <w:tcPr>
            <w:tcW w:w="5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1,418</w:t>
            </w:r>
          </w:p>
        </w:tc>
        <w:tc>
          <w:tcPr>
            <w:tcW w:w="100" w:type="dxa"/>
            <w:vAlign w:val="bottom"/>
          </w:tcPr>
          <w:p>
            <w:pPr>
              <w:spacing w:after="0"/>
              <w:rPr>
                <w:sz w:val="19"/>
                <w:szCs w:val="19"/>
                <w:color w:val="auto"/>
              </w:rPr>
            </w:pPr>
          </w:p>
        </w:tc>
        <w:tc>
          <w:tcPr>
            <w:tcW w:w="6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(6,022)</w:t>
            </w:r>
          </w:p>
        </w:tc>
        <w:tc>
          <w:tcPr>
            <w:tcW w:w="740" w:type="dxa"/>
            <w:vAlign w:val="bottom"/>
            <w:gridSpan w:val="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(41.7)</w:t>
            </w:r>
          </w:p>
        </w:tc>
      </w:tr>
      <w:tr>
        <w:trPr>
          <w:trHeight w:val="28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Canada</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 statutory tax rate difference between Canada</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510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and United States  . . . . . . . . . . . . . . . . . . . . . . . . . . . .</w:t>
            </w:r>
          </w:p>
        </w:tc>
        <w:tc>
          <w:tcPr>
            <w:tcW w:w="6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(146)</w:t>
            </w:r>
          </w:p>
        </w:tc>
        <w:tc>
          <w:tcPr>
            <w:tcW w:w="720" w:type="dxa"/>
            <w:vAlign w:val="bottom"/>
            <w:gridSpan w:val="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(135)</w:t>
            </w:r>
          </w:p>
        </w:tc>
        <w:tc>
          <w:tcPr>
            <w:tcW w:w="740" w:type="dxa"/>
            <w:vAlign w:val="bottom"/>
            <w:gridSpan w:val="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(0.9)</w:t>
            </w: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Provincial income taxes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Tax on unremitted earnings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 . . . . . . . . . . .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(57)</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(0.3)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(0.5)</w:t>
            </w:r>
          </w:p>
        </w:tc>
      </w:tr>
      <w:tr>
        <w:trPr>
          <w:trHeight w:val="280"/>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Kingdom</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 statutory tax rate difference between United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0"/>
        </w:trPr>
        <w:tc>
          <w:tcPr>
            <w:tcW w:w="510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Kingdom and United States . . . . . . . . . . . . . . . . . . . .</w:t>
            </w:r>
          </w:p>
        </w:tc>
        <w:tc>
          <w:tcPr>
            <w:tcW w:w="6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(682)</w:t>
            </w:r>
          </w:p>
        </w:tc>
        <w:tc>
          <w:tcPr>
            <w:tcW w:w="720" w:type="dxa"/>
            <w:vAlign w:val="bottom"/>
            <w:gridSpan w:val="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(349)</w:t>
            </w:r>
          </w:p>
        </w:tc>
        <w:tc>
          <w:tcPr>
            <w:tcW w:w="740" w:type="dxa"/>
            <w:vAlign w:val="bottom"/>
            <w:gridSpan w:val="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(2.4)</w:t>
            </w: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Changes in valuation allowances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4,443</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 . . . . . . . . . . .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foreign jurisdictions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Effect of cross-border tax laws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Tax credits  . . . . . . . . . . . . . . . .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(51)</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(0.3)</w:t>
            </w: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Changes in valuation allowances . . . . . . . . . . . . . . . . . . . . .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(27,645)</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5"/>
              </w:rPr>
              <w:t>(191.4)</w:t>
            </w:r>
          </w:p>
        </w:tc>
      </w:tr>
      <w:tr>
        <w:trPr>
          <w:trHeight w:val="28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Nondeductible executive compensation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Share-based payment awards . . . . .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(351)</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(446)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(3.1)</w:t>
            </w: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Meals and entertainment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Changes in unrecognized tax benefits  . . . . . . . . . . . . . . . . .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(175)</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(0.5)</w:t>
            </w:r>
          </w:p>
        </w:tc>
      </w:tr>
      <w:tr>
        <w:trPr>
          <w:trHeight w:val="284"/>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adjustments . . . . . . . . . . . . . . . . . . . . . . . . . . . . . . . . .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30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0"/>
        </w:trPr>
        <w:tc>
          <w:tcPr>
            <w:tcW w:w="5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Effective tax rate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9,997</w:t>
            </w:r>
          </w:p>
        </w:tc>
        <w:tc>
          <w:tcPr>
            <w:tcW w:w="100" w:type="dxa"/>
            <w:vAlign w:val="bottom"/>
          </w:tcPr>
          <w:p>
            <w:pPr>
              <w:spacing w:after="0"/>
              <w:rPr>
                <w:sz w:val="24"/>
                <w:szCs w:val="24"/>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57.4%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(28,398)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(196.6)%</w:t>
            </w:r>
          </w:p>
        </w:tc>
      </w:tr>
      <w:tr>
        <w:trPr>
          <w:trHeight w:val="24"/>
        </w:trPr>
        <w:tc>
          <w:tcPr>
            <w:tcW w:w="5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182" w:lineRule="exact"/>
        <w:rPr>
          <w:sz w:val="20"/>
          <w:szCs w:val="20"/>
          <w:color w:val="auto"/>
        </w:rPr>
      </w:pPr>
    </w:p>
    <w:p>
      <w:pPr>
        <w:jc w:val="both"/>
        <w:ind w:left="340" w:hanging="340"/>
        <w:spacing w:after="0" w:line="245"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states that contribute to the majority (greater than 50 percent) of the tax effect in this category include Alabama, California, Idaho, Michigan, New Jersey, New York, New York City, Pennsylvania and Tennessee for 2025 and Connecticut, New Jersey, New York, Pennsylvania and Tennessee for 2024.</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United States. The OBBBA includes various tax provisions such as the permanent extension of certain expiring provisions of the Tax Cuts and Jobs Act, modifications to the international tax framework and the restoration of favorable tax treatment for certain business provisions. The impacts of the tax provisions included in the OBBBA are reflected in our results for the year ended December 31, 2025, and did not have a material impact on the Company’s Consolidated Financial Statements. The Company will continue to monitor any developments and guidance related to the OBBBA.</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120"/>
          </w:cols>
          <w:pgMar w:left="1380" w:top="1432" w:right="1380" w:bottom="534" w:gutter="0" w:footer="0" w:header="0"/>
          <w:type w:val="continuous"/>
        </w:sectPr>
      </w:pPr>
    </w:p>
    <w:bookmarkStart w:id="70" w:name="page71"/>
    <w:bookmarkEnd w:id="70"/>
    <w:p>
      <w:pPr>
        <w:spacing w:after="0" w:line="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Cash paid for income taxes, net of refunds, for the years ended December 31, 2025 and 2024 were as fol-lows:</w:t>
      </w:r>
    </w:p>
    <w:p>
      <w:pPr>
        <w:spacing w:after="0" w:line="90"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5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7"/>
                <w:szCs w:val="17"/>
                <w:color w:val="auto"/>
              </w:rPr>
            </w:pPr>
          </w:p>
        </w:tc>
      </w:tr>
      <w:tr>
        <w:trPr>
          <w:trHeight w:val="320"/>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U.S. federal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60" w:type="dxa"/>
            <w:vAlign w:val="bottom"/>
          </w:tcPr>
          <w:p>
            <w:pPr>
              <w:spacing w:after="0"/>
              <w:rPr>
                <w:sz w:val="24"/>
                <w:szCs w:val="24"/>
                <w:color w:val="auto"/>
              </w:rPr>
            </w:pPr>
          </w:p>
        </w:tc>
      </w:tr>
      <w:tr>
        <w:trPr>
          <w:trHeight w:val="280"/>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U.S. state and local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r>
      <w:tr>
        <w:trPr>
          <w:trHeight w:val="280"/>
        </w:trPr>
        <w:tc>
          <w:tcPr>
            <w:tcW w:w="5320" w:type="dxa"/>
            <w:vAlign w:val="bottom"/>
          </w:tcPr>
          <w:p>
            <w:pPr>
              <w:jc w:val="right"/>
              <w:ind w:right="4540"/>
              <w:spacing w:after="0"/>
              <w:rPr>
                <w:sz w:val="20"/>
                <w:szCs w:val="20"/>
                <w:color w:val="auto"/>
              </w:rPr>
            </w:pPr>
            <w:r>
              <w:rPr>
                <w:rFonts w:ascii="Times New Roman" w:cs="Times New Roman" w:eastAsia="Times New Roman" w:hAnsi="Times New Roman"/>
                <w:sz w:val="20"/>
                <w:szCs w:val="20"/>
                <w:color w:val="auto"/>
                <w:w w:val="97"/>
              </w:rPr>
              <w:t>Foreign: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Canada . . . . . . . .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w:t>
            </w:r>
          </w:p>
        </w:tc>
        <w:tc>
          <w:tcPr>
            <w:tcW w:w="60" w:type="dxa"/>
            <w:vAlign w:val="bottom"/>
          </w:tcPr>
          <w:p>
            <w:pPr>
              <w:spacing w:after="0"/>
              <w:rPr>
                <w:sz w:val="24"/>
                <w:szCs w:val="24"/>
                <w:color w:val="auto"/>
              </w:rPr>
            </w:pPr>
          </w:p>
        </w:tc>
      </w:tr>
      <w:tr>
        <w:trPr>
          <w:trHeight w:val="284"/>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foreign . . .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0"/>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foreign . . . . . . . . . . . . . . . . . . . . . . . . . . . . . . . . . . . . . . . .</w:t>
            </w: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3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60" w:type="dxa"/>
            <w:vAlign w:val="bottom"/>
          </w:tcPr>
          <w:p>
            <w:pPr>
              <w:spacing w:after="0"/>
              <w:rPr>
                <w:sz w:val="24"/>
                <w:szCs w:val="24"/>
                <w:color w:val="auto"/>
              </w:rPr>
            </w:pPr>
          </w:p>
        </w:tc>
      </w:tr>
      <w:tr>
        <w:trPr>
          <w:trHeight w:val="320"/>
        </w:trPr>
        <w:tc>
          <w:tcPr>
            <w:tcW w:w="5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taxes paid (net of refunds received)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1,628</w:t>
            </w:r>
          </w:p>
        </w:tc>
        <w:tc>
          <w:tcPr>
            <w:tcW w:w="60" w:type="dxa"/>
            <w:vAlign w:val="bottom"/>
          </w:tcPr>
          <w:p>
            <w:pPr>
              <w:spacing w:after="0"/>
              <w:rPr>
                <w:sz w:val="24"/>
                <w:szCs w:val="24"/>
                <w:color w:val="auto"/>
              </w:rPr>
            </w:pPr>
          </w:p>
        </w:tc>
      </w:tr>
      <w:tr>
        <w:trPr>
          <w:trHeight w:val="24"/>
        </w:trPr>
        <w:tc>
          <w:tcPr>
            <w:tcW w:w="53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8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as of December 31, 2025 and 2024 were as follows:</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6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262"/>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Goodwill and other intangibles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Deferred compensation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3,885</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Contingent liabilities  .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operating loss / tax credit carryforwards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35,431</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Inventories  . . . . . . . . .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Warranty reserve . . . . .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deduction carryforward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w:t>
            </w:r>
          </w:p>
        </w:tc>
        <w:tc>
          <w:tcPr>
            <w:tcW w:w="60" w:type="dxa"/>
            <w:vAlign w:val="bottom"/>
          </w:tcPr>
          <w:p>
            <w:pPr>
              <w:spacing w:after="0"/>
              <w:rPr>
                <w:sz w:val="24"/>
                <w:szCs w:val="24"/>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Capitalized research expenditures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1,882</w:t>
            </w:r>
          </w:p>
        </w:tc>
        <w:tc>
          <w:tcPr>
            <w:tcW w:w="60" w:type="dxa"/>
            <w:vAlign w:val="bottom"/>
          </w:tcPr>
          <w:p>
            <w:pPr>
              <w:spacing w:after="0"/>
              <w:rPr>
                <w:sz w:val="24"/>
                <w:szCs w:val="24"/>
                <w:color w:val="auto"/>
              </w:rPr>
            </w:pPr>
          </w:p>
        </w:tc>
      </w:tr>
      <w:tr>
        <w:trPr>
          <w:trHeight w:val="284"/>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60" w:type="dxa"/>
            <w:vAlign w:val="bottom"/>
          </w:tcPr>
          <w:p>
            <w:pPr>
              <w:spacing w:after="0"/>
              <w:rPr>
                <w:sz w:val="24"/>
                <w:szCs w:val="24"/>
                <w:color w:val="auto"/>
              </w:rPr>
            </w:pPr>
          </w:p>
        </w:tc>
      </w:tr>
      <w:tr>
        <w:trPr>
          <w:trHeight w:val="316"/>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41,501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46,252</w:t>
            </w:r>
          </w:p>
        </w:tc>
        <w:tc>
          <w:tcPr>
            <w:tcW w:w="60" w:type="dxa"/>
            <w:vAlign w:val="bottom"/>
          </w:tcPr>
          <w:p>
            <w:pPr>
              <w:spacing w:after="0"/>
              <w:rPr>
                <w:sz w:val="24"/>
                <w:szCs w:val="24"/>
                <w:color w:val="auto"/>
              </w:rPr>
            </w:pPr>
          </w:p>
        </w:tc>
      </w:tr>
      <w:tr>
        <w:trPr>
          <w:trHeight w:val="284"/>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Less: valuation allowance . . . . . . .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(12,736)</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(8,223)</w:t>
            </w:r>
          </w:p>
        </w:tc>
      </w:tr>
      <w:tr>
        <w:trPr>
          <w:trHeight w:val="316"/>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 . . . .</w:t>
            </w: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28,765</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38,029</w:t>
            </w:r>
          </w:p>
        </w:tc>
        <w:tc>
          <w:tcPr>
            <w:tcW w:w="60" w:type="dxa"/>
            <w:vAlign w:val="bottom"/>
          </w:tcPr>
          <w:p>
            <w:pPr>
              <w:spacing w:after="0"/>
              <w:rPr>
                <w:sz w:val="24"/>
                <w:szCs w:val="24"/>
                <w:color w:val="auto"/>
              </w:rPr>
            </w:pP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Goodwill and other intangibles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(1,118)</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(1,472)</w:t>
            </w: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Depreciation . . . . . . . . . . . . . . .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(7,677)</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(7,845)</w:t>
            </w: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Pension and post-retirement liability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(410)</w:t>
            </w: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Unrealized income on interest rate swap contracts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8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Unremitted earnings of foreign subsidiaries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84"/>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(222)</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(9,314)</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(10,279)</w:t>
            </w:r>
          </w:p>
        </w:tc>
      </w:tr>
      <w:tr>
        <w:trPr>
          <w:trHeight w:val="320"/>
        </w:trPr>
        <w:tc>
          <w:tcPr>
            <w:tcW w:w="65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deferred tax (liabilities) assets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19,451</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27,750</w:t>
            </w:r>
          </w:p>
        </w:tc>
        <w:tc>
          <w:tcPr>
            <w:tcW w:w="60" w:type="dxa"/>
            <w:vAlign w:val="bottom"/>
          </w:tcPr>
          <w:p>
            <w:pPr>
              <w:spacing w:after="0"/>
              <w:rPr>
                <w:sz w:val="24"/>
                <w:szCs w:val="24"/>
                <w:color w:val="auto"/>
              </w:rPr>
            </w:pPr>
          </w:p>
        </w:tc>
      </w:tr>
      <w:tr>
        <w:trPr>
          <w:trHeight w:val="24"/>
        </w:trPr>
        <w:tc>
          <w:tcPr>
            <w:tcW w:w="6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8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A valuation allowance is required to be established or maintained when, based on currently available information and other factors, it is more likely than not that all or a portion of a deferred tax asset will not be realized. The Company has considered all available evidence, both positive and negative, in assessing the need for a valuation allowance in each jurisdiction.</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120"/>
          </w:cols>
          <w:pgMar w:left="1380" w:top="1440" w:right="1380" w:bottom="534" w:gutter="0" w:footer="0" w:header="0"/>
          <w:type w:val="continuous"/>
        </w:sectPr>
      </w:pPr>
    </w:p>
    <w:bookmarkStart w:id="71" w:name="page72"/>
    <w:bookmarkEnd w:id="71"/>
    <w:p>
      <w:pPr>
        <w:spacing w:after="0" w:line="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2024, the Company reversed $34,210 of its valuation allowance previously recorded against certain U.S. federal and state deferred tax assets. The positive evidence considered in evaluating U.S. federal and state deferred tax assets included the Company’s cumulative financial income position over the previous three years, as well as the composition and reversal patterns of existing taxable and deductible temporary differences between financial reporting and tax. Based on our evaluation, the Company believed it was appropriate to rely on forecasted future taxable income to support its U.S. federal and state deferred tax assets. The amount of deferred tax assets considered realizable, however, could be adjusted if negative evidence outweighs additional subjective evidence such as the Company’s projections for growth.</w:t>
      </w:r>
    </w:p>
    <w:p>
      <w:pPr>
        <w:spacing w:after="0" w:line="1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2025, the Company had a federal Net Operating Loss (“NOL”) carryforward of $76,546, which is limited to 80% of taxable income annually, but may be carried forward indefinitely. The Company also has federal research tax credit carryforwards in the amount of $724 that will expire at various times from 2040 through 2045. Based on information available as of December 31, 2025, the Company believes it is more likely than not that the tax benefits from the federal loss carryforwards and research tax credit carryforwards will be realized.</w:t>
      </w:r>
    </w:p>
    <w:p>
      <w:pPr>
        <w:spacing w:after="0" w:line="1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the tax benefit of NOL carryforwards available for state income tax purposes was $9,121 and $9,802, respectively. Many state NOL carryforwards will expire in various years through 2045, while some may be carried forward indefinitely. Based on information available as of December 31, 2025, the Company believes it is more likely than not that a portion of the tax benefit from state operating loss carryforwards will not be realized. In recognition of this risk, the Company has provided a valuation allowance of $1,997 against deferred tax assets related to state operating loss carryforwards as of December 31, 2025.</w:t>
      </w:r>
    </w:p>
    <w:p>
      <w:pPr>
        <w:spacing w:after="0" w:line="11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2025, the Company has NOL carryforwards in certain foreign jurisdictions of $42,976, which may be carried forward indefinitely. The foreign jurisdictions have incurred cumulative financial losses over the three-year period ended December 31, 2025. Based on information available as of December 31, 2025, the Company believes it is more likely than not that the tax benefit from these loss carryforwards will not be realized. In recognition of this risk, it has provided a valuation allowance of $10,739, collectively, against deferred tax assets in foreign jurisdictions as of December 31, 2025.</w:t>
      </w:r>
    </w:p>
    <w:p>
      <w:pPr>
        <w:spacing w:after="0" w:line="11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determination to record or not record a valuation allowance involves management’s judgment, based on the consideration of positive and negative evidence available at the time of the assessment. Management will continue to assess the realization of its deferred tax assets based upon future evidence, and may record adjustments to valuation allowances against deferred tax assets in future periods, as appropriate, that could materially impact net income.</w:t>
      </w:r>
    </w:p>
    <w:p>
      <w:pPr>
        <w:spacing w:after="0" w:line="11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Each quarter, management reviews operations and liquidity needs in each jurisdiction to assess the Company’s intent to reinvest foreign earnings outside of the United States. As of December 31, 2025, management determined that a portion of the Company’s outside basis differences in its foreign subsidiaries would not be indefinitely reinvested outside of the United States. The Company has accrued foreign withholding taxes of $155 related to $3,100 of outside basis differences in its foreign subsidiaries that are not indefinitely reinvested as of December 31, 2025. It is management’s intent and practice to indefinitely reinvest all other undistributed earnings outside of the United States. Determination of the amount of any unrecognized deferred income tax liability associated with these undistributed earnings is not practicable because of the complexities of the hypothetical calculation.</w:t>
      </w:r>
    </w:p>
    <w:p>
      <w:pPr>
        <w:spacing w:after="0" w:line="115"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provides a reconciliation of unrecognized tax benefits as of December 31, 2025 and 2024:</w:t>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0"/>
        </w:trPr>
        <w:tc>
          <w:tcPr>
            <w:tcW w:w="72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r>
      <w:tr>
        <w:trPr>
          <w:trHeight w:val="32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at beginning of period: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$265</w:t>
            </w: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$307</w:t>
            </w:r>
          </w:p>
        </w:tc>
        <w:tc>
          <w:tcPr>
            <w:tcW w:w="60" w:type="dxa"/>
            <w:vAlign w:val="bottom"/>
          </w:tcPr>
          <w:p>
            <w:pPr>
              <w:spacing w:after="0"/>
              <w:rPr>
                <w:sz w:val="24"/>
                <w:szCs w:val="24"/>
                <w:color w:val="auto"/>
              </w:rPr>
            </w:pPr>
          </w:p>
        </w:tc>
      </w:tr>
      <w:tr>
        <w:trPr>
          <w:trHeight w:val="284"/>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Decreases based on tax positions for prior periods . . . . . . . . . . . . . . . . . . . . . . . . . . . . .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 . . . . . . . . . . . . . . . . . . . . . . . . . . . . . . . . . . . . . . . . . . . . . . . . . .</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173</w:t>
            </w:r>
          </w:p>
        </w:tc>
        <w:tc>
          <w:tcPr>
            <w:tcW w:w="3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265</w:t>
            </w:r>
          </w:p>
        </w:tc>
        <w:tc>
          <w:tcPr>
            <w:tcW w:w="60" w:type="dxa"/>
            <w:vAlign w:val="bottom"/>
          </w:tcPr>
          <w:p>
            <w:pPr>
              <w:spacing w:after="0"/>
              <w:rPr>
                <w:sz w:val="24"/>
                <w:szCs w:val="24"/>
                <w:color w:val="auto"/>
              </w:rPr>
            </w:pPr>
          </w:p>
        </w:tc>
      </w:tr>
      <w:tr>
        <w:trPr>
          <w:trHeight w:val="24"/>
        </w:trPr>
        <w:tc>
          <w:tcPr>
            <w:tcW w:w="7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40" w:right="1380" w:bottom="534" w:gutter="0" w:footer="0" w:header="0"/>
        </w:sectPr>
      </w:pP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120"/>
          </w:cols>
          <w:pgMar w:left="1380" w:top="1440" w:right="1380" w:bottom="534" w:gutter="0" w:footer="0" w:header="0"/>
          <w:type w:val="continuous"/>
        </w:sectPr>
      </w:pPr>
    </w:p>
    <w:bookmarkStart w:id="72" w:name="page73"/>
    <w:bookmarkEnd w:id="72"/>
    <w:p>
      <w:pPr>
        <w:spacing w:after="0" w:line="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total amount of unrecognized tax benefits that, if recognized, would affect the effective tax rate was $173 as of December 31, 2025. The Company accrues interest and penalties related to unrecognized tax benefits in its provision for income taxes. As of December 31, 2025 and 2024, the Company had accrued interest and penalties related to unrecognized tax benefits of $166 and $294, respectively. Ultimate realization of these tax benefits is dependent upon the occurrence of certain events, including the completion of audits by tax authorities and expiration of statutes of limitations.</w:t>
      </w:r>
    </w:p>
    <w:p>
      <w:pPr>
        <w:spacing w:after="0" w:line="134"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files income tax returns in the US and in various state, local, and foreign jurisdictions. The Company is subject to federal income tax examinations for the 2022 period and thereafter. With respect to the state, local, and foreign filings, certain entities of the Company are subject to income tax examinations for the 2021 period and thereafter.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Stock-based Compensation</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applies the provisions of ASC 718, “Compensation — Stock-based Compensation,” to account for the Company’s stock-based compensation. Stock-based compensation cost is measured at the grant date based on the calculated fair value of the award and is recognized over the employees’ requisite service period. Stock forfeitures and cancellations are recognized as they occur.</w:t>
      </w:r>
    </w:p>
    <w:p>
      <w:pPr>
        <w:spacing w:after="0" w:line="137"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 Company recorded stock-based compensation expense of $5,056 and $3,834 for the years ended December 31, 2025 and 2024, respectively. As of December 31, 2025, unrecognized compensation expense for awards that the Company expects to vest approximated $4,657. The Company will recognize this unrecognized compensation expense over approximately 2.4 years through May 22, 2028.</w:t>
      </w:r>
    </w:p>
    <w:p>
      <w:pPr>
        <w:spacing w:after="0" w:line="13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Shares issued as a result of vested stock-based compensation generally will be from previously issued shares that have been reacquired by the Company and held as treasury stock or authorized but previously unissued common stock.</w:t>
      </w:r>
    </w:p>
    <w:p>
      <w:pPr>
        <w:spacing w:after="0" w:line="13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May 22, 2025, the shareholders approved the new 2025 Equity and Incentive Compensation Plan (the “Equity and Incentive Compensation Plan”). As of December 31, 2025, the Company had stock awards issued pursuant to the Equity and Incentive Compensation Plan and its predecessor, the 2006 Omnibus Incentive Compensation Plan (the “Omnibus Plan”). The Omnibus Plan allowed for the issuance of 2,058,000 shares of common stock through the granting of stock options or stock awards (including performance units convertible into stock) to key employees and directors at no less than 100% of fair market value on the date of the grant. The Equity and Incentive Compensation Plan allows for the issuance of 785,000 shares of common stock through the granting of stock options or stock awards (including performance units and restricted stock units convertible into stock) to key employees and directors at no less than 100% of fair market value on the date of the grant. The total number of shares of common stock available for issuance, including shares that were forfeited, cancelled, expired, settled for cash, or unearned under the Omnibus Plan, were available for awards under the Equity and Incentive Compensation Plan as of its approval date. The Equity and Incentive Compensation Plan provide for the granting of “nonqualified options” with a duration of not more than ten years from the date of grant. The Equity and Incentive Compensation Plan also provides that, unless otherwise set forth in the option agreement, stock options are exercisable in installments of up to 25% annually beginning one year from the date of grant. No stock options have been granted under the Equity and Incentive Compensation Plan and, as such, there was no stock-based compensation expense related to stock options recorded in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Non-Employee Director Fully-Vested and Restricted Stock Awards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permits non-employee directors of the Company to defer receipt of earned cash and/or stock compensation for service on the Board into deferred stock units. Non-Employee directors may elect to receive quarterly cash compensation in the form of fully-vested stock. During 2025, two Board members have elected to receive fully vested stock in lieu of cash compensation.</w:t>
      </w:r>
    </w:p>
    <w:p>
      <w:pPr>
        <w:sectPr>
          <w:pgSz w:w="11880" w:h="15480" w:orient="portrait"/>
          <w:cols w:equalWidth="0" w:num="1">
            <w:col w:w="9120"/>
          </w:cols>
          <w:pgMar w:left="1380" w:top="1440" w:right="1380" w:bottom="534"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120"/>
          </w:cols>
          <w:pgMar w:left="1380" w:top="1440" w:right="1380" w:bottom="534" w:gutter="0" w:footer="0" w:header="0"/>
          <w:type w:val="continuous"/>
        </w:sectPr>
      </w:pPr>
    </w:p>
    <w:bookmarkStart w:id="73" w:name="page74"/>
    <w:bookmarkEnd w:id="73"/>
    <w:p>
      <w:pPr>
        <w:spacing w:after="0" w:line="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2025 and 2024, the non-employee directors were granted a total of 33,782 and 22,458 restricted shares, respectively. Compensation expense recorded by the Company related to such awards to non-employee directors was approximately $604 and $589 for the years ended December 31, 2025 and 2024, respectively. During 2025, no deferred share units were allotted to the accounts of the non-employee directors pursuant to the Deferred Compensation Plan for Non-Employee Directors.</w:t>
      </w:r>
    </w:p>
    <w:p>
      <w:pPr>
        <w:spacing w:after="0" w:line="13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weighted average fair value of all the restricted stock grants awarded was $18.65 and $27.45 per share for the years ended December 31,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and Performance-Based Stock and Share Units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Under the Equity and Incentive Compensation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 If the Company’s estimate of the number of performance stock awards expected to vest changes in a subsequent accounting period, cumulative compensation expense could increase or decrease. The change is recognized in the current period for the performance unit awards and would change future expense over the remaining service period.</w:t>
      </w:r>
    </w:p>
    <w:p>
      <w:pPr>
        <w:spacing w:after="0" w:line="134"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summarizes the restricted stock award, deferred stock units, and performance unit award activity for the years ended December 31, 2025 and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60"/>
        </w:trPr>
        <w:tc>
          <w:tcPr>
            <w:tcW w:w="4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Aggregate Grant</w:t>
            </w:r>
          </w:p>
        </w:tc>
      </w:tr>
      <w:tr>
        <w:trPr>
          <w:trHeight w:val="160"/>
        </w:trPr>
        <w:tc>
          <w:tcPr>
            <w:tcW w:w="4560" w:type="dxa"/>
            <w:vAlign w:val="bottom"/>
          </w:tcPr>
          <w:p>
            <w:pPr>
              <w:spacing w:after="0"/>
              <w:rPr>
                <w:sz w:val="13"/>
                <w:szCs w:val="13"/>
                <w:color w:val="auto"/>
              </w:rPr>
            </w:pPr>
          </w:p>
        </w:tc>
        <w:tc>
          <w:tcPr>
            <w:tcW w:w="102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80" w:type="dxa"/>
            <w:vAlign w:val="bottom"/>
          </w:tcPr>
          <w:p>
            <w:pPr>
              <w:spacing w:after="0"/>
              <w:rPr>
                <w:sz w:val="13"/>
                <w:szCs w:val="13"/>
                <w:color w:val="auto"/>
              </w:rPr>
            </w:pPr>
          </w:p>
        </w:tc>
        <w:tc>
          <w:tcPr>
            <w:tcW w:w="100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120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360" w:type="dxa"/>
            <w:vAlign w:val="bottom"/>
          </w:tcPr>
          <w:p>
            <w:pPr>
              <w:spacing w:after="0"/>
              <w:rPr>
                <w:sz w:val="13"/>
                <w:szCs w:val="13"/>
                <w:color w:val="auto"/>
              </w:rPr>
            </w:pPr>
          </w:p>
        </w:tc>
        <w:tc>
          <w:tcPr>
            <w:tcW w:w="9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90"/>
        </w:trPr>
        <w:tc>
          <w:tcPr>
            <w:tcW w:w="4560" w:type="dxa"/>
            <w:vAlign w:val="bottom"/>
          </w:tcPr>
          <w:p>
            <w:pPr>
              <w:spacing w:after="0"/>
              <w:rPr>
                <w:sz w:val="16"/>
                <w:szCs w:val="16"/>
                <w:color w:val="auto"/>
              </w:rPr>
            </w:pPr>
          </w:p>
        </w:tc>
        <w:tc>
          <w:tcPr>
            <w:tcW w:w="1020" w:type="dxa"/>
            <w:vAlign w:val="bottom"/>
            <w:gridSpan w:val="2"/>
          </w:tcPr>
          <w:p>
            <w:pPr>
              <w:jc w:val="right"/>
              <w:ind w:right="460"/>
              <w:spacing w:after="0" w:line="182" w:lineRule="exact"/>
              <w:rPr>
                <w:sz w:val="20"/>
                <w:szCs w:val="20"/>
                <w:color w:val="auto"/>
              </w:rPr>
            </w:pPr>
            <w:r>
              <w:rPr>
                <w:rFonts w:ascii="Times New Roman" w:cs="Times New Roman" w:eastAsia="Times New Roman" w:hAnsi="Times New Roman"/>
                <w:sz w:val="16"/>
                <w:szCs w:val="16"/>
                <w:b w:val="1"/>
                <w:bCs w:val="1"/>
                <w:color w:val="auto"/>
              </w:rPr>
              <w:t>Stock</w:t>
            </w:r>
          </w:p>
        </w:tc>
        <w:tc>
          <w:tcPr>
            <w:tcW w:w="1080" w:type="dxa"/>
            <w:vAlign w:val="bottom"/>
            <w:gridSpan w:val="4"/>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Stock Units</w:t>
            </w:r>
          </w:p>
        </w:tc>
        <w:tc>
          <w:tcPr>
            <w:tcW w:w="120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Stock Units*</w:t>
            </w:r>
          </w:p>
        </w:tc>
        <w:tc>
          <w:tcPr>
            <w:tcW w:w="126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324"/>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as of December 31, 2023 . . . . . . . . . . . . .</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264,970</w:t>
            </w:r>
          </w:p>
        </w:tc>
        <w:tc>
          <w:tcPr>
            <w:tcW w:w="30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12,404</w:t>
            </w:r>
          </w:p>
        </w:tc>
        <w:tc>
          <w:tcPr>
            <w:tcW w:w="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560,338</w:t>
            </w: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14.10</w:t>
            </w:r>
          </w:p>
        </w:tc>
        <w:tc>
          <w:tcPr>
            <w:tcW w:w="360" w:type="dxa"/>
            <w:vAlign w:val="bottom"/>
            <w:tcBorders>
              <w:top w:val="single" w:sz="8" w:color="auto"/>
            </w:tcBorders>
          </w:tcPr>
          <w:p>
            <w:pPr>
              <w:spacing w:after="0"/>
              <w:rPr>
                <w:sz w:val="24"/>
                <w:szCs w:val="24"/>
                <w:color w:val="auto"/>
              </w:rPr>
            </w:pPr>
          </w:p>
        </w:tc>
      </w:tr>
      <w:tr>
        <w:trPr>
          <w:trHeight w:val="24"/>
        </w:trPr>
        <w:tc>
          <w:tcPr>
            <w:tcW w:w="456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312"/>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Granted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90,807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86,772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24.69</w:t>
            </w:r>
          </w:p>
        </w:tc>
        <w:tc>
          <w:tcPr>
            <w:tcW w:w="360" w:type="dxa"/>
            <w:vAlign w:val="bottom"/>
          </w:tcPr>
          <w:p>
            <w:pPr>
              <w:spacing w:after="0"/>
              <w:rPr>
                <w:sz w:val="24"/>
                <w:szCs w:val="24"/>
                <w:color w:val="auto"/>
              </w:rPr>
            </w:pPr>
          </w:p>
        </w:tc>
      </w:tr>
      <w:tr>
        <w:trPr>
          <w:trHeight w:val="280"/>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Vested . . . . . . . . . . . . .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(148,808)</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(12,404)</w:t>
            </w:r>
          </w:p>
        </w:tc>
        <w:tc>
          <w:tcPr>
            <w:tcW w:w="30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(29,778)</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14.51</w:t>
            </w:r>
          </w:p>
        </w:tc>
        <w:tc>
          <w:tcPr>
            <w:tcW w:w="360" w:type="dxa"/>
            <w:vAlign w:val="bottom"/>
          </w:tcPr>
          <w:p>
            <w:pPr>
              <w:spacing w:after="0"/>
              <w:rPr>
                <w:sz w:val="24"/>
                <w:szCs w:val="24"/>
                <w:color w:val="auto"/>
              </w:rPr>
            </w:pPr>
          </w:p>
        </w:tc>
      </w:tr>
      <w:tr>
        <w:trPr>
          <w:trHeight w:val="280"/>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adjustment for incentive awards . . . . . . . . . . .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(82,374)</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360" w:type="dxa"/>
            <w:vAlign w:val="bottom"/>
          </w:tcPr>
          <w:p>
            <w:pPr>
              <w:spacing w:after="0"/>
              <w:rPr>
                <w:sz w:val="24"/>
                <w:szCs w:val="24"/>
                <w:color w:val="auto"/>
              </w:rPr>
            </w:pPr>
          </w:p>
        </w:tc>
      </w:tr>
      <w:tr>
        <w:trPr>
          <w:trHeight w:val="284"/>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Canceled and forfeited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(3,417)</w:t>
            </w: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(437)</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360" w:type="dxa"/>
            <w:vAlign w:val="bottom"/>
          </w:tcPr>
          <w:p>
            <w:pPr>
              <w:spacing w:after="0"/>
              <w:rPr>
                <w:sz w:val="24"/>
                <w:szCs w:val="24"/>
                <w:color w:val="auto"/>
              </w:rPr>
            </w:pPr>
          </w:p>
        </w:tc>
      </w:tr>
      <w:tr>
        <w:trPr>
          <w:trHeight w:val="20"/>
        </w:trPr>
        <w:tc>
          <w:tcPr>
            <w:tcW w:w="4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20"/>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as of December 31, 2024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203,552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534,521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16.31</w:t>
            </w:r>
          </w:p>
        </w:tc>
        <w:tc>
          <w:tcPr>
            <w:tcW w:w="360" w:type="dxa"/>
            <w:vAlign w:val="bottom"/>
          </w:tcPr>
          <w:p>
            <w:pPr>
              <w:spacing w:after="0"/>
              <w:rPr>
                <w:sz w:val="24"/>
                <w:szCs w:val="24"/>
                <w:color w:val="auto"/>
              </w:rPr>
            </w:pPr>
          </w:p>
        </w:tc>
      </w:tr>
      <w:tr>
        <w:trPr>
          <w:trHeight w:val="24"/>
        </w:trPr>
        <w:tc>
          <w:tcPr>
            <w:tcW w:w="456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312"/>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Granted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118,473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127,033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360" w:type="dxa"/>
            <w:vAlign w:val="bottom"/>
          </w:tcPr>
          <w:p>
            <w:pPr>
              <w:spacing w:after="0"/>
              <w:rPr>
                <w:sz w:val="24"/>
                <w:szCs w:val="24"/>
                <w:color w:val="auto"/>
              </w:rPr>
            </w:pPr>
          </w:p>
        </w:tc>
      </w:tr>
      <w:tr>
        <w:trPr>
          <w:trHeight w:val="280"/>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Vested . . . . . . . . . . . . .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(125,594)</w:t>
            </w: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(88,641)</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17.50</w:t>
            </w:r>
          </w:p>
        </w:tc>
        <w:tc>
          <w:tcPr>
            <w:tcW w:w="360" w:type="dxa"/>
            <w:vAlign w:val="bottom"/>
          </w:tcPr>
          <w:p>
            <w:pPr>
              <w:spacing w:after="0"/>
              <w:rPr>
                <w:sz w:val="24"/>
                <w:szCs w:val="24"/>
                <w:color w:val="auto"/>
              </w:rPr>
            </w:pPr>
          </w:p>
        </w:tc>
      </w:tr>
      <w:tr>
        <w:trPr>
          <w:trHeight w:val="284"/>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Canceled and forfeited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(5,399)</w:t>
            </w: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(48,979)</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20.04</w:t>
            </w:r>
          </w:p>
        </w:tc>
        <w:tc>
          <w:tcPr>
            <w:tcW w:w="360" w:type="dxa"/>
            <w:vAlign w:val="bottom"/>
          </w:tcPr>
          <w:p>
            <w:pPr>
              <w:spacing w:after="0"/>
              <w:rPr>
                <w:sz w:val="24"/>
                <w:szCs w:val="24"/>
                <w:color w:val="auto"/>
              </w:rPr>
            </w:pPr>
          </w:p>
        </w:tc>
      </w:tr>
      <w:tr>
        <w:trPr>
          <w:trHeight w:val="20"/>
        </w:trPr>
        <w:tc>
          <w:tcPr>
            <w:tcW w:w="4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20"/>
        </w:trPr>
        <w:tc>
          <w:tcPr>
            <w:tcW w:w="45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Outstanding as of December 31, 2025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191,032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523,934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16.56</w:t>
            </w:r>
          </w:p>
        </w:tc>
        <w:tc>
          <w:tcPr>
            <w:tcW w:w="360" w:type="dxa"/>
            <w:vAlign w:val="bottom"/>
          </w:tcPr>
          <w:p>
            <w:pPr>
              <w:spacing w:after="0"/>
              <w:rPr>
                <w:sz w:val="24"/>
                <w:szCs w:val="24"/>
                <w:color w:val="auto"/>
              </w:rPr>
            </w:pPr>
          </w:p>
        </w:tc>
      </w:tr>
      <w:tr>
        <w:trPr>
          <w:trHeight w:val="24"/>
        </w:trPr>
        <w:tc>
          <w:tcPr>
            <w:tcW w:w="456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bl>
    <w:p>
      <w:pPr>
        <w:spacing w:after="0" w:line="184" w:lineRule="exact"/>
        <w:rPr>
          <w:sz w:val="20"/>
          <w:szCs w:val="20"/>
          <w:color w:val="auto"/>
        </w:rPr>
      </w:pPr>
    </w:p>
    <w:p>
      <w:pPr>
        <w:ind w:left="340" w:hanging="340"/>
        <w:spacing w:after="0" w:line="238" w:lineRule="auto"/>
        <w:tabs>
          <w:tab w:leader="none" w:pos="340" w:val="left"/>
        </w:tabs>
        <w:numPr>
          <w:ilvl w:val="0"/>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Includes stock units for which the performance obligation has been met and are only subject to time vesting requirements prior to distribution.</w:t>
      </w:r>
    </w:p>
    <w:p>
      <w:pPr>
        <w:spacing w:after="0" w:line="14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Commencing in 2022, Performance Stock Units may be earned annually during each year of the three year program and converted into restricted stock units which settle in common stock at the end of each three year period. Performance Stock Units are adjusted to the Company’s expected performance target attainment, while the weighted average aggregate grant date fair value in the above table is based upon achieving 100% of the performance targets as defined in the underlying plan.</w:t>
      </w:r>
    </w:p>
    <w:p>
      <w:pPr>
        <w:spacing w:after="0" w:line="13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June 2022, the Company approved the Strategy Transformation Plan performance-based incentive stock award to incentivize key personnel for the strategic transformation of the Company. In February 2026, this program expired with no attainment.</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120"/>
          </w:cols>
          <w:pgMar w:left="1380" w:top="1440" w:right="1380" w:bottom="534" w:gutter="0" w:footer="0" w:header="0"/>
          <w:type w:val="continuous"/>
        </w:sectPr>
      </w:pPr>
    </w:p>
    <w:bookmarkStart w:id="74" w:name="page75"/>
    <w:bookmarkEnd w:id="74"/>
    <w:p>
      <w:pPr>
        <w:spacing w:after="0" w:line="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February 2021, the Company established a performance-based incentive stock award retention program to incentivize and retain key personnel during the COVID-19 pandemic by driving stock price. Under this five-year program, participants had the opportunity to earn up to 3,333 shares of Company common stock. The first 50% of the shares (1,666 shares) are earned based on achievement of a consecutive thirty (30) day average Nasdaq closing price of $25.00. The second 50% of the shares (1,666 shares) were earned based on achievement of a consecutive thirty (30) day average Nasdaq closing price of $30.00. The value of any shares awarded were determined using a Monte Carlo methodology for the projected payout. The program and opportunity to earn the shares expired on February 28, 2026 and all performance metrics were attained with the first installment paid in 2024 and the final installment paid in February 2026.</w:t>
      </w:r>
    </w:p>
    <w:p>
      <w:pPr>
        <w:spacing w:after="0" w:line="13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Excluding the restricted stock awards granted to non-employee directors, the Company recorded stock-based compensation expense of $4,452 and $3,245, respectively, for the periods ended December 31, 2025 and 2024 related to restricted stock and performance unit awards.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Retirement Plans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1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 During the year ended December 31, 2024, the Company completed the termination of the US DB Plan and recorded $1,722 of pension settlement costs. In January 2025, the Company entered into an insurance buy-in contract with a third party insurer which resulted in an exchange of plan assets of the UK DB Plan for an annuity that covers our future projected benefit obligations. The Company expects the buy out of the UK DB Plan and transfer of future benefit obligations of plan participants to be completed in early 2026. The Company does not expect to make any further contributions to the UK DB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Defined Benefit Plan</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UK DB Plan covers certain current employees, former employees, and retirees. The plan has been frozen to new entrants since April 1, 1997 and also covers the former employees of a merged plan after January 2002. Benefits under the plan were based on years of service and eligible compensation during defined periods of service. The Company’s funding policy for the plan is to make minimum annual contributions required by applicable regulations. The UK DB Plan is fully funded as of December 31, 2025.</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120"/>
          </w:cols>
          <w:pgMar w:left="1380" w:top="1440" w:right="1380" w:bottom="534" w:gutter="0" w:footer="0" w:header="0"/>
          <w:type w:val="continuous"/>
        </w:sectPr>
      </w:pPr>
    </w:p>
    <w:bookmarkStart w:id="75" w:name="page76"/>
    <w:bookmarkEnd w:id="75"/>
    <w:p>
      <w:pPr>
        <w:ind w:left="400"/>
        <w:spacing w:after="0"/>
        <w:rPr>
          <w:sz w:val="20"/>
          <w:szCs w:val="20"/>
          <w:color w:val="auto"/>
        </w:rPr>
      </w:pPr>
      <w:r>
        <w:rPr>
          <w:rFonts w:ascii="Times New Roman" w:cs="Times New Roman" w:eastAsia="Times New Roman" w:hAnsi="Times New Roman"/>
          <w:sz w:val="20"/>
          <w:szCs w:val="20"/>
          <w:color w:val="auto"/>
        </w:rPr>
        <w:t>The funded status of the UK DB Plan as of December 31, 2025 and 2024 was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8"/>
        </w:trPr>
        <w:tc>
          <w:tcPr>
            <w:tcW w:w="68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Changes in benefit obligation:</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Benefit obligation at beginning of year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4,704</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$5,011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 . .</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Actuarial gain . . . . . . . . . . . . . . . . . . . . . . . . . . . . . . . . . . . . . . . . . . . . . . . . . . .</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(229)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Benefits paid  . . . . . . . . . . . . . . . . . . . . . . . . . . . . . . . . . . . . . . . . . . . . . . . . . . .</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(493)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0" w:type="dxa"/>
            <w:vAlign w:val="bottom"/>
          </w:tcPr>
          <w:p>
            <w:pPr>
              <w:spacing w:after="0"/>
              <w:rPr>
                <w:sz w:val="1"/>
                <w:szCs w:val="1"/>
                <w:color w:val="auto"/>
              </w:rPr>
            </w:pPr>
          </w:p>
        </w:tc>
      </w:tr>
      <w:tr>
        <w:trPr>
          <w:trHeight w:val="284"/>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currency exchange rate changes . . . . . . . . . . . . . . . . . . . . . . . . . . . . . .</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316"/>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Benefit obligation at end of year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4,571</w:t>
            </w:r>
          </w:p>
        </w:tc>
        <w:tc>
          <w:tcPr>
            <w:tcW w:w="30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4,704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to plan assets:</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Fair value of assets at beginning of year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6,345</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$6,399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Actual (loss) gain on plan assets . . . . . . . . . . . . . . . . . . . . . . . . . . . . . . . . . . . .</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5"/>
              </w:rPr>
              <w:t>(1,181)</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Employer contribution . . . . . . . . . . . . . . . . . . . . . . . . . . . . . . . . . . . . . . . . . . . .</w:t>
            </w: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Benefits paid  . . . . . . . . . . . . . . . . . . . . . . . . . . . . . . . . . . . . . . . . . . . . . . . . . . .</w:t>
            </w: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(493)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0" w:type="dxa"/>
            <w:vAlign w:val="bottom"/>
          </w:tcPr>
          <w:p>
            <w:pPr>
              <w:spacing w:after="0"/>
              <w:rPr>
                <w:sz w:val="1"/>
                <w:szCs w:val="1"/>
                <w:color w:val="auto"/>
              </w:rPr>
            </w:pPr>
          </w:p>
        </w:tc>
      </w:tr>
      <w:tr>
        <w:trPr>
          <w:trHeight w:val="284"/>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Foreign currency exchange rate changes . . . . . . . . . . . . . . . . . . . . . . . . . . . . . .</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32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Fair value of assets at end of year . . . . . . . . . . . . . . . . . . . . . . . . . . . . . . . . . . . . .</w:t>
            </w: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30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Funded status at end of year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3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1,641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recognized in the consolidated balance sheets consist of:</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3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1,641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Amounts recognized in accumulated other comprehensive loss consist of:</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loss (gain)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(703)</w:t>
            </w:r>
          </w:p>
        </w:tc>
        <w:tc>
          <w:tcPr>
            <w:tcW w:w="0" w:type="dxa"/>
            <w:vAlign w:val="bottom"/>
          </w:tcPr>
          <w:p>
            <w:pPr>
              <w:spacing w:after="0"/>
              <w:rPr>
                <w:sz w:val="1"/>
                <w:szCs w:val="1"/>
                <w:color w:val="auto"/>
              </w:rPr>
            </w:pPr>
          </w:p>
        </w:tc>
      </w:tr>
      <w:tr>
        <w:trPr>
          <w:trHeight w:val="284"/>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Prior service cost . . . . . . . . . . . . . . . . . . . . . . . . . . . . . . . . . . . . . . . . . . . . . . . . . .</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(657)</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periodic pension costs for the years ended December 31, 2025 and 2024 were as follows:</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198"/>
        </w:trPr>
        <w:tc>
          <w:tcPr>
            <w:tcW w:w="652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r>
      <w:tr>
        <w:trPr>
          <w:trHeight w:val="322"/>
        </w:trPr>
        <w:tc>
          <w:tcPr>
            <w:tcW w:w="6520" w:type="dxa"/>
            <w:vAlign w:val="bottom"/>
          </w:tcPr>
          <w:p>
            <w:pPr>
              <w:jc w:val="right"/>
              <w:ind w:right="3160"/>
              <w:spacing w:after="0"/>
              <w:rPr>
                <w:sz w:val="20"/>
                <w:szCs w:val="20"/>
                <w:color w:val="auto"/>
              </w:rPr>
            </w:pPr>
            <w:r>
              <w:rPr>
                <w:rFonts w:ascii="Times New Roman" w:cs="Times New Roman" w:eastAsia="Times New Roman" w:hAnsi="Times New Roman"/>
                <w:sz w:val="20"/>
                <w:szCs w:val="20"/>
                <w:color w:val="auto"/>
                <w:w w:val="99"/>
              </w:rPr>
              <w:t>Components of net periodic benefit cost:</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28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$ 215</w:t>
            </w:r>
          </w:p>
        </w:tc>
        <w:tc>
          <w:tcPr>
            <w:tcW w:w="140" w:type="dxa"/>
            <w:vAlign w:val="bottom"/>
          </w:tcPr>
          <w:p>
            <w:pPr>
              <w:spacing w:after="0"/>
              <w:rPr>
                <w:sz w:val="24"/>
                <w:szCs w:val="24"/>
                <w:color w:val="auto"/>
              </w:rPr>
            </w:pPr>
          </w:p>
        </w:tc>
      </w:tr>
      <w:tr>
        <w:trPr>
          <w:trHeight w:val="28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Expected return on plan assets  . .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(344)</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(380)</w:t>
            </w:r>
          </w:p>
        </w:tc>
      </w:tr>
      <w:tr>
        <w:trPr>
          <w:trHeight w:val="28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Amortization of prior service cost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4"/>
                <w:szCs w:val="24"/>
                <w:color w:val="auto"/>
              </w:rPr>
            </w:pPr>
          </w:p>
        </w:tc>
      </w:tr>
      <w:tr>
        <w:trPr>
          <w:trHeight w:val="284"/>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Recognized net actuarial loss  . . . . . . . . . . . . . . . . . . . . . . . . . . . . . . . . . . . . .</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40" w:type="dxa"/>
            <w:vAlign w:val="bottom"/>
          </w:tcPr>
          <w:p>
            <w:pPr>
              <w:spacing w:after="0"/>
              <w:rPr>
                <w:sz w:val="24"/>
                <w:szCs w:val="24"/>
                <w:color w:val="auto"/>
              </w:rPr>
            </w:pPr>
          </w:p>
        </w:tc>
      </w:tr>
      <w:tr>
        <w:trPr>
          <w:trHeight w:val="320"/>
        </w:trPr>
        <w:tc>
          <w:tcPr>
            <w:tcW w:w="65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periodic pension cost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(108)</w:t>
            </w:r>
          </w:p>
        </w:tc>
      </w:tr>
      <w:tr>
        <w:trPr>
          <w:trHeight w:val="24"/>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8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weighted average assumptions in the following table represent the rates used to develop the actuarial present value of the projected benefit obligation for the year listed and also the net periodic benefit cost for the following year.</w:t>
      </w:r>
    </w:p>
    <w:p>
      <w:pPr>
        <w:spacing w:after="0" w:line="8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78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4940300</wp:posOffset>
                </wp:positionH>
                <wp:positionV relativeFrom="paragraph">
                  <wp:posOffset>13335</wp:posOffset>
                </wp:positionV>
                <wp:extent cx="5969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pt,1.05pt" to="436pt,1.05pt" o:allowincell="f" strokecolor="#000000" strokeweight="0.5pt"/>
            </w:pict>
          </mc:Fallback>
        </mc:AlternateConten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0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40" w:type="dxa"/>
            <w:vAlign w:val="bottom"/>
          </w:tcPr>
          <w:p>
            <w:pPr>
              <w:spacing w:after="0"/>
              <w:rPr>
                <w:sz w:val="16"/>
                <w:szCs w:val="16"/>
                <w:color w:val="auto"/>
              </w:rPr>
            </w:pPr>
          </w:p>
        </w:tc>
      </w:tr>
      <w:tr>
        <w:trPr>
          <w:trHeight w:val="32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 . . . . . . . . . . . . . . . . . . . . . . . . . . . . . . . . . . . . . . . . . . . . . . . . . . . .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8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Expected rate of return on plan assets . . . . . . . . . . . . . . . . . . . . . . . . . . . . . . . . . . . . . . . .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pacing w:after="0" w:line="200" w:lineRule="exact"/>
        <w:rPr>
          <w:sz w:val="20"/>
          <w:szCs w:val="20"/>
          <w:color w:val="auto"/>
        </w:rPr>
      </w:pPr>
    </w:p>
    <w:p>
      <w:pPr>
        <w:sectPr>
          <w:pgSz w:w="11880" w:h="15480" w:orient="portrait"/>
          <w:cols w:equalWidth="0" w:num="1">
            <w:col w:w="9120"/>
          </w:cols>
          <w:pgMar w:left="1380" w:top="1432" w:right="1380" w:bottom="534"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120"/>
          </w:cols>
          <w:pgMar w:left="1380" w:top="1432" w:right="1380" w:bottom="534" w:gutter="0" w:footer="0" w:header="0"/>
          <w:type w:val="continuous"/>
        </w:sectPr>
      </w:pPr>
    </w:p>
    <w:bookmarkStart w:id="76" w:name="page77"/>
    <w:bookmarkEnd w:id="76"/>
    <w:p>
      <w:pPr>
        <w:ind w:left="400"/>
        <w:spacing w:after="0"/>
        <w:rPr>
          <w:sz w:val="20"/>
          <w:szCs w:val="20"/>
          <w:color w:val="auto"/>
        </w:rPr>
      </w:pPr>
      <w:r>
        <w:rPr>
          <w:rFonts w:ascii="Times New Roman" w:cs="Times New Roman" w:eastAsia="Times New Roman" w:hAnsi="Times New Roman"/>
          <w:sz w:val="20"/>
          <w:szCs w:val="20"/>
          <w:color w:val="auto"/>
        </w:rPr>
        <w:t>The plan assets by category for the years ended December 31, 2025 and 2024 were as follows:</w:t>
      </w:r>
    </w:p>
    <w:p>
      <w:pPr>
        <w:spacing w:after="0" w:line="70"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6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322"/>
        </w:trPr>
        <w:tc>
          <w:tcPr>
            <w:tcW w:w="6920" w:type="dxa"/>
            <w:vAlign w:val="bottom"/>
          </w:tcPr>
          <w:p>
            <w:pPr>
              <w:jc w:val="right"/>
              <w:ind w:right="5600"/>
              <w:spacing w:after="0"/>
              <w:rPr>
                <w:sz w:val="20"/>
                <w:szCs w:val="20"/>
                <w:color w:val="auto"/>
              </w:rPr>
            </w:pPr>
            <w:r>
              <w:rPr>
                <w:rFonts w:ascii="Times New Roman" w:cs="Times New Roman" w:eastAsia="Times New Roman" w:hAnsi="Times New Roman"/>
                <w:sz w:val="20"/>
                <w:szCs w:val="20"/>
                <w:color w:val="auto"/>
                <w:w w:val="97"/>
              </w:rPr>
              <w:t>Asset Category</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0"/>
        </w:trPr>
        <w:tc>
          <w:tcPr>
            <w:tcW w:w="69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80"/>
        </w:trPr>
        <w:tc>
          <w:tcPr>
            <w:tcW w:w="69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Buy-in contract . . . . . . . . . . . . . . . . . . . . . . . . . . . . . . . . . . . . . . . . . . . . . . . . . . . .</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4,571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9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Bonds . . . . . . . . . . . . . . . . . . . . . . . . . . . . . . . . . . . . . . . . . . . . . . . . . . . . . . . . . . . .</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6,206</w:t>
            </w:r>
          </w:p>
        </w:tc>
      </w:tr>
      <w:tr>
        <w:trPr>
          <w:trHeight w:val="320"/>
        </w:trPr>
        <w:tc>
          <w:tcPr>
            <w:tcW w:w="69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5,100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6,345</w:t>
            </w:r>
          </w:p>
        </w:tc>
      </w:tr>
      <w:tr>
        <w:trPr>
          <w:trHeight w:val="24"/>
        </w:trPr>
        <w:tc>
          <w:tcPr>
            <w:tcW w:w="69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16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determines the fair value of plan assets based on the price that would be received for an asset in the principal or most advantageous market in an orderly transaction between market participants. Fair value measurements reflect assumptions that market participants would use in pricing the assets, including assumptions about risk and the risks inherent in the valuation techniques and the inputs used.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Quoted market prices in active markets for identical assets or liabilities.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Observable market-based inputs or unobservable inputs that are corroborated by market data.</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Unobservable inputs that are not corroborated by market data.</w:t>
      </w:r>
    </w:p>
    <w:p>
      <w:pPr>
        <w:spacing w:after="0" w:line="122"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classification of plan assets within the hierarchy is based on the lowest level of input that is significant to the fair value measurement.</w:t>
      </w:r>
    </w:p>
    <w:p>
      <w:pPr>
        <w:spacing w:after="0" w:line="12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Cash equivalents: The Company uses quoted market prices to determine the fair value of these investments in interest-bearing cash accounts and they are classified as Level 1 of the fair value hierarchy. The carrying amounts approximate fair value because of the short maturity of the instruments.</w:t>
      </w:r>
    </w:p>
    <w:p>
      <w:pPr>
        <w:spacing w:after="0" w:line="118"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Bonds: The Company uses valuation techniques that incorporate observable inputs including yield curves, reported trades, and broker-quoted prices and are classified as Level 2 of the fair value hierarchy.</w:t>
      </w:r>
    </w:p>
    <w:p>
      <w:pPr>
        <w:spacing w:after="0" w:line="12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Buy-in contract: The Company values the buy-in contract on an insurer pricing basis, which reflects the purchase price adjusted for changes in discount rates and other actuarial assumptions, which approximates fair value and as a result is classified as Level 3 in the fair value hierarchy.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Defined Contribution Plans</w:t>
      </w:r>
    </w:p>
    <w:p>
      <w:pPr>
        <w:spacing w:after="0" w:line="12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sponsors five defined contribution plans for hourly and salaried employees across its domestic and international facilities. The following table summarizes the expense associated with the contributions made to these plans.</w:t>
      </w:r>
    </w:p>
    <w:p>
      <w:pPr>
        <w:spacing w:after="0" w:line="6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56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4648200</wp:posOffset>
                </wp:positionH>
                <wp:positionV relativeFrom="paragraph">
                  <wp:posOffset>13335</wp:posOffset>
                </wp:positionV>
                <wp:extent cx="889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05pt" to="436pt,1.05pt" o:allowincell="f" strokecolor="#000000" strokeweight="0.5pt"/>
            </w:pict>
          </mc:Fallback>
        </mc:AlternateConten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 . . . . . . . . . . . . . .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$2,947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$2,757</w:t>
            </w:r>
          </w:p>
        </w:tc>
      </w:tr>
      <w:tr>
        <w:trPr>
          <w:trHeight w:val="28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Canada . . . . . . . . . . . . . . . . . . . . . . . . . . . . . . . . . .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8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 . . . . . . . . . . . . . . . . . . . . . . . . . . . . . . . . . . . . . . . . . . . . . . . . . . . .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3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1,165</w:t>
            </w:r>
          </w:p>
        </w:tc>
      </w:tr>
      <w:tr>
        <w:trPr>
          <w:trHeight w:val="320"/>
        </w:trPr>
        <w:tc>
          <w:tcPr>
            <w:tcW w:w="6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4,406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4,046</w:t>
            </w:r>
          </w:p>
        </w:tc>
      </w:tr>
      <w:tr>
        <w:trPr>
          <w:trHeight w:val="24"/>
        </w:trPr>
        <w:tc>
          <w:tcPr>
            <w:tcW w:w="69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Commitments and Contingent Liabilities</w:t>
      </w:r>
    </w:p>
    <w:p>
      <w:pPr>
        <w:spacing w:after="0" w:line="122"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Company is subject to product warranty claims that arise in the ordinary course of its business. For certain manufactured products, the Company maintains a product warranty accrual, which is adjusted on a</w:t>
      </w:r>
    </w:p>
    <w:p>
      <w:pPr>
        <w:sectPr>
          <w:pgSz w:w="11880" w:h="15480" w:orient="portrait"/>
          <w:cols w:equalWidth="0" w:num="1">
            <w:col w:w="9120"/>
          </w:cols>
          <w:pgMar w:left="1380" w:top="1432" w:right="1380" w:bottom="534"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120"/>
          </w:cols>
          <w:pgMar w:left="1380" w:top="1432" w:right="1380" w:bottom="534" w:gutter="0" w:footer="0" w:header="0"/>
          <w:type w:val="continuous"/>
        </w:sectPr>
      </w:pPr>
    </w:p>
    <w:bookmarkStart w:id="77" w:name="page78"/>
    <w:bookmarkEnd w:id="77"/>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monthly basis as a percentage of cost of sales. In addition, the product warranty accrual is adjusted periodically based on the identification or resolution of known individual product warranty claims.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Company’s product warranty accrual:</w:t>
      </w:r>
    </w:p>
    <w:p>
      <w:pPr>
        <w:spacing w:after="0" w:line="9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6"/>
          <w:szCs w:val="16"/>
          <w:b w:val="1"/>
          <w:bCs w:val="1"/>
          <w:color w:val="auto"/>
        </w:rPr>
        <w:t>Warranty Liability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4705985</wp:posOffset>
                </wp:positionH>
                <wp:positionV relativeFrom="paragraph">
                  <wp:posOffset>12700</wp:posOffset>
                </wp:positionV>
                <wp:extent cx="83121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1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5pt,1pt" to="436pt,1pt" o:allowincell="f" strokecolor="#000000" strokeweight="0.5pt"/>
            </w:pict>
          </mc:Fallback>
        </mc:AlternateContent>
      </w:r>
    </w:p>
    <w:p>
      <w:pPr>
        <w:spacing w:after="0" w:line="98" w:lineRule="exact"/>
        <w:rPr>
          <w:sz w:val="20"/>
          <w:szCs w:val="20"/>
          <w:color w:val="auto"/>
        </w:rPr>
      </w:pPr>
    </w:p>
    <w:p>
      <w:pPr>
        <w:ind w:left="400"/>
        <w:spacing w:after="0"/>
        <w:tabs>
          <w:tab w:leader="none" w:pos="7820" w:val="left"/>
        </w:tabs>
        <w:rPr>
          <w:sz w:val="20"/>
          <w:szCs w:val="20"/>
          <w:color w:val="auto"/>
        </w:rPr>
      </w:pPr>
      <w:r>
        <w:rPr>
          <w:rFonts w:ascii="Times New Roman" w:cs="Times New Roman" w:eastAsia="Times New Roman" w:hAnsi="Times New Roman"/>
          <w:sz w:val="20"/>
          <w:szCs w:val="20"/>
          <w:color w:val="auto"/>
        </w:rPr>
        <w:t>Balance as of December 31, 2024 . . . . . . . . . . . . . . . . . . . . . . . . . . . . . . . . . . . . . . . . .</w:t>
      </w:r>
      <w:r>
        <w:rPr>
          <w:sz w:val="20"/>
          <w:szCs w:val="20"/>
          <w:color w:val="auto"/>
        </w:rPr>
        <w:tab/>
      </w:r>
      <w:r>
        <w:rPr>
          <w:rFonts w:ascii="Times New Roman" w:cs="Times New Roman" w:eastAsia="Times New Roman" w:hAnsi="Times New Roman"/>
          <w:sz w:val="20"/>
          <w:szCs w:val="20"/>
          <w:color w:val="auto"/>
        </w:rPr>
        <w:t>$ 602</w:t>
      </w:r>
    </w:p>
    <w:p>
      <w:pPr>
        <w:spacing w:after="0" w:line="50" w:lineRule="exact"/>
        <w:rPr>
          <w:sz w:val="20"/>
          <w:szCs w:val="20"/>
          <w:color w:val="auto"/>
        </w:rPr>
      </w:pPr>
    </w:p>
    <w:p>
      <w:pPr>
        <w:ind w:left="600"/>
        <w:spacing w:after="0"/>
        <w:tabs>
          <w:tab w:leader="none" w:pos="7980" w:val="left"/>
        </w:tabs>
        <w:rPr>
          <w:sz w:val="20"/>
          <w:szCs w:val="20"/>
          <w:color w:val="auto"/>
        </w:rPr>
      </w:pPr>
      <w:r>
        <w:rPr>
          <w:rFonts w:ascii="Times New Roman" w:cs="Times New Roman" w:eastAsia="Times New Roman" w:hAnsi="Times New Roman"/>
          <w:sz w:val="20"/>
          <w:szCs w:val="20"/>
          <w:color w:val="auto"/>
        </w:rPr>
        <w:t>Additions to warranty liability  . . . . . . . . . . . . . . . . . . . . . . . . . . . . . . . . . . . . . . . . .</w:t>
      </w:r>
      <w:r>
        <w:rPr>
          <w:sz w:val="20"/>
          <w:szCs w:val="20"/>
          <w:color w:val="auto"/>
        </w:rPr>
        <w:tab/>
      </w:r>
      <w:r>
        <w:rPr>
          <w:rFonts w:ascii="Times New Roman" w:cs="Times New Roman" w:eastAsia="Times New Roman" w:hAnsi="Times New Roman"/>
          <w:sz w:val="20"/>
          <w:szCs w:val="20"/>
          <w:color w:val="auto"/>
        </w:rPr>
        <w:t>667</w:t>
      </w:r>
    </w:p>
    <w:p>
      <w:pPr>
        <w:spacing w:after="0" w:line="50" w:lineRule="exact"/>
        <w:rPr>
          <w:sz w:val="20"/>
          <w:szCs w:val="20"/>
          <w:color w:val="auto"/>
        </w:rPr>
      </w:pPr>
    </w:p>
    <w:p>
      <w:pPr>
        <w:ind w:left="600"/>
        <w:spacing w:after="0"/>
        <w:tabs>
          <w:tab w:leader="none" w:pos="7920" w:val="left"/>
        </w:tabs>
        <w:rPr>
          <w:sz w:val="20"/>
          <w:szCs w:val="20"/>
          <w:color w:val="auto"/>
        </w:rPr>
      </w:pPr>
      <w:r>
        <w:rPr>
          <w:rFonts w:ascii="Times New Roman" w:cs="Times New Roman" w:eastAsia="Times New Roman" w:hAnsi="Times New Roman"/>
          <w:sz w:val="20"/>
          <w:szCs w:val="20"/>
          <w:color w:val="auto"/>
        </w:rPr>
        <w:t>Warranty liability utilized . . . . . . . . . . . . . . . . . . . . . . . . . . . . . . . . . . . . . . . . . . . . .</w:t>
      </w:r>
      <w:r>
        <w:rPr>
          <w:sz w:val="20"/>
          <w:szCs w:val="20"/>
          <w:color w:val="auto"/>
        </w:rPr>
        <w:tab/>
      </w:r>
      <w:r>
        <w:rPr>
          <w:rFonts w:ascii="Times New Roman" w:cs="Times New Roman" w:eastAsia="Times New Roman" w:hAnsi="Times New Roman"/>
          <w:sz w:val="19"/>
          <w:szCs w:val="19"/>
          <w:color w:val="auto"/>
        </w:rPr>
        <w:t>(617)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4973320</wp:posOffset>
                </wp:positionH>
                <wp:positionV relativeFrom="paragraph">
                  <wp:posOffset>8255</wp:posOffset>
                </wp:positionV>
                <wp:extent cx="2965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6pt,0.65pt" to="414.95pt,0.65pt" o:allowincell="f" strokecolor="#000000" strokeweight="0.5pt"/>
            </w:pict>
          </mc:Fallback>
        </mc:AlternateContent>
      </w:r>
    </w:p>
    <w:p>
      <w:pPr>
        <w:spacing w:after="0" w:line="90" w:lineRule="exact"/>
        <w:rPr>
          <w:sz w:val="20"/>
          <w:szCs w:val="20"/>
          <w:color w:val="auto"/>
        </w:rPr>
      </w:pPr>
    </w:p>
    <w:p>
      <w:pPr>
        <w:ind w:left="400"/>
        <w:spacing w:after="0"/>
        <w:tabs>
          <w:tab w:leader="none" w:pos="7820" w:val="left"/>
        </w:tabs>
        <w:rPr>
          <w:sz w:val="20"/>
          <w:szCs w:val="20"/>
          <w:color w:val="auto"/>
        </w:rPr>
      </w:pPr>
      <w:r>
        <w:rPr>
          <w:rFonts w:ascii="Times New Roman" w:cs="Times New Roman" w:eastAsia="Times New Roman" w:hAnsi="Times New Roman"/>
          <w:sz w:val="20"/>
          <w:szCs w:val="20"/>
          <w:color w:val="auto"/>
        </w:rPr>
        <w:t>Balance as of December 31, 2025 . . . . . . . . . . . . . . . . . . . . . . . . . . . . . . . . . . . . . . . . .</w:t>
      </w:r>
      <w:r>
        <w:rPr>
          <w:sz w:val="20"/>
          <w:szCs w:val="20"/>
          <w:color w:val="auto"/>
        </w:rPr>
        <w:tab/>
      </w:r>
      <w:r>
        <w:rPr>
          <w:rFonts w:ascii="Times New Roman" w:cs="Times New Roman" w:eastAsia="Times New Roman" w:hAnsi="Times New Roman"/>
          <w:sz w:val="20"/>
          <w:szCs w:val="20"/>
          <w:u w:val="single" w:color="auto"/>
          <w:color w:val="auto"/>
        </w:rPr>
        <w:t>$ 652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4973320</wp:posOffset>
                </wp:positionH>
                <wp:positionV relativeFrom="paragraph">
                  <wp:posOffset>33655</wp:posOffset>
                </wp:positionV>
                <wp:extent cx="2965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54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6pt,2.65pt" to="414.95pt,2.65pt" o:allowincell="f" strokecolor="#000000" strokeweight="0.5pt"/>
            </w:pict>
          </mc:Fallback>
        </mc:AlternateContent>
      </w:r>
    </w:p>
    <w:p>
      <w:pPr>
        <w:spacing w:after="0" w:line="22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On March 13, 2019, the Company and its subsidiary, CXT Incorporated (“CXT”), entered into a Settlement Agreement (the “Settlement Agreement”) with Union Pacific Railroad Company (“UPRR”) to resolve the pending litigation in the matter of </w:t>
      </w:r>
      <w:r>
        <w:rPr>
          <w:rFonts w:ascii="Times New Roman" w:cs="Times New Roman" w:eastAsia="Times New Roman" w:hAnsi="Times New Roman"/>
          <w:sz w:val="20"/>
          <w:szCs w:val="20"/>
          <w:i w:val="1"/>
          <w:iCs w:val="1"/>
          <w:color w:val="auto"/>
        </w:rPr>
        <w:t>Union Pacific Railroad Company v. L.B. Foster Company and CXT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Incorporated</w:t>
      </w:r>
      <w:r>
        <w:rPr>
          <w:rFonts w:ascii="Times New Roman" w:cs="Times New Roman" w:eastAsia="Times New Roman" w:hAnsi="Times New Roman"/>
          <w:sz w:val="20"/>
          <w:szCs w:val="20"/>
          <w:color w:val="auto"/>
        </w:rPr>
        <w:t>, Case No. CI 15-564, in the District Court for Douglas County, Nebraska. Under the Settlement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the Company and CXT 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The UPRR Settlement Agreement was fully paid in 2024.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Legal Matters</w:t>
      </w:r>
    </w:p>
    <w:p>
      <w:pPr>
        <w:spacing w:after="0" w:line="14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December 31, 2025.</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December 31, 2025, no such disclosures were considered necessary.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14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4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w:t>
      </w:r>
    </w:p>
    <w:p>
      <w:pPr>
        <w:sectPr>
          <w:pgSz w:w="11880" w:h="15480" w:orient="portrait"/>
          <w:cols w:equalWidth="0" w:num="1">
            <w:col w:w="9120"/>
          </w:cols>
          <w:pgMar w:left="1380" w:top="1440" w:right="1380" w:bottom="534"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120"/>
          </w:cols>
          <w:pgMar w:left="1380" w:top="1440" w:right="1380" w:bottom="534" w:gutter="0" w:footer="0" w:header="0"/>
          <w:type w:val="continuous"/>
        </w:sectPr>
      </w:pPr>
    </w:p>
    <w:bookmarkStart w:id="78" w:name="page79"/>
    <w:bookmarkEnd w:id="78"/>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w:t>
      </w:r>
    </w:p>
    <w:p>
      <w:pPr>
        <w:spacing w:after="0" w:line="14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2025 and December 31, 2024, the Company maintained environmental reserves approx-imating $1,495 and $1,796, respectively. The following table sets forth the Company’s undiscounted environ-mental obligation:</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Environmental Liability</w:t>
            </w:r>
          </w:p>
        </w:tc>
      </w:tr>
      <w:tr>
        <w:trPr>
          <w:trHeight w:val="32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 . . . . . . . . . . . . . . . . . . . . . . . . . . . . . . . . . . . . .</w:t>
            </w:r>
          </w:p>
        </w:tc>
        <w:tc>
          <w:tcPr>
            <w:tcW w:w="1100" w:type="dxa"/>
            <w:vAlign w:val="bottom"/>
            <w:gridSpan w:val="2"/>
          </w:tcPr>
          <w:p>
            <w:pPr>
              <w:jc w:val="center"/>
              <w:ind w:left="465"/>
              <w:spacing w:after="0"/>
              <w:rPr>
                <w:sz w:val="20"/>
                <w:szCs w:val="20"/>
                <w:color w:val="auto"/>
              </w:rPr>
            </w:pPr>
            <w:r>
              <w:rPr>
                <w:rFonts w:ascii="Times New Roman" w:cs="Times New Roman" w:eastAsia="Times New Roman" w:hAnsi="Times New Roman"/>
                <w:sz w:val="20"/>
                <w:szCs w:val="20"/>
                <w:color w:val="auto"/>
                <w:w w:val="98"/>
              </w:rPr>
              <w:t>$1,796</w:t>
            </w:r>
          </w:p>
        </w:tc>
        <w:tc>
          <w:tcPr>
            <w:tcW w:w="560" w:type="dxa"/>
            <w:vAlign w:val="bottom"/>
          </w:tcPr>
          <w:p>
            <w:pPr>
              <w:spacing w:after="0"/>
              <w:rPr>
                <w:sz w:val="24"/>
                <w:szCs w:val="24"/>
                <w:color w:val="auto"/>
              </w:rPr>
            </w:pPr>
          </w:p>
        </w:tc>
      </w:tr>
      <w:tr>
        <w:trPr>
          <w:trHeight w:val="28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Additions to environmental obligations . . . . . . . . . . . . . . . . . . . . . . . . . . . . . . . . .</w:t>
            </w:r>
          </w:p>
        </w:tc>
        <w:tc>
          <w:tcPr>
            <w:tcW w:w="56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reserve adjustment . . . . . . . . . . . . . . . . . . . . . . . . . . . . . . . . . . . . .</w:t>
            </w: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(255)</w:t>
            </w: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Environmental obligations utilized  . . . . . . . . . . . . . . . . . . . . . . . . . . . . . . . . . . . .</w:t>
            </w:r>
          </w:p>
        </w:tc>
        <w:tc>
          <w:tcPr>
            <w:tcW w:w="56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(46)</w:t>
            </w:r>
          </w:p>
        </w:tc>
      </w:tr>
      <w:tr>
        <w:trPr>
          <w:trHeight w:val="20"/>
        </w:trPr>
        <w:tc>
          <w:tcPr>
            <w:tcW w:w="6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2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2025 . . . . . . . . . . . . . . . . . . . . . . . . . . . . . . . . . . . . .</w:t>
            </w:r>
          </w:p>
        </w:tc>
        <w:tc>
          <w:tcPr>
            <w:tcW w:w="1100" w:type="dxa"/>
            <w:vAlign w:val="bottom"/>
            <w:gridSpan w:val="2"/>
          </w:tcPr>
          <w:p>
            <w:pPr>
              <w:jc w:val="center"/>
              <w:ind w:left="465"/>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1,495</w:t>
            </w:r>
          </w:p>
        </w:tc>
        <w:tc>
          <w:tcPr>
            <w:tcW w:w="560" w:type="dxa"/>
            <w:vAlign w:val="bottom"/>
          </w:tcPr>
          <w:p>
            <w:pPr>
              <w:spacing w:after="0"/>
              <w:rPr>
                <w:sz w:val="24"/>
                <w:szCs w:val="24"/>
                <w:color w:val="auto"/>
              </w:rPr>
            </w:pPr>
          </w:p>
        </w:tc>
      </w:tr>
      <w:tr>
        <w:trPr>
          <w:trHeight w:val="24"/>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bl>
    <w:p>
      <w:pPr>
        <w:spacing w:after="0" w:line="18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2025, the Company made an adjustment to reduce its environmental obligation by $255. This adjustment was recorded to reflect the Company’s current expectations of probable environmental remediation costs based on remediation progress, prospective estimates of required activity, and historical analysis.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Other (Income) Expense — Net</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Company’s other (income) expense — net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32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Pension termination costs (a)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$1,722</w:t>
            </w:r>
          </w:p>
        </w:tc>
        <w:tc>
          <w:tcPr>
            <w:tcW w:w="60" w:type="dxa"/>
            <w:vAlign w:val="bottom"/>
          </w:tcPr>
          <w:p>
            <w:pPr>
              <w:spacing w:after="0"/>
              <w:rPr>
                <w:sz w:val="24"/>
                <w:szCs w:val="24"/>
                <w:color w:val="auto"/>
              </w:rPr>
            </w:pPr>
          </w:p>
        </w:tc>
      </w:tr>
      <w:tr>
        <w:trPr>
          <w:trHeight w:val="28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losses (gains)  . . . . . . . . . . . . . . . . . . . . . . . . . . . . . . . . . . . . . . . . . .</w:t>
            </w: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8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joint venture  . . . . . . . . . . . . . . . . . . . . . . . . . . . . . . . . . . . . . . . . . . . . .</w:t>
            </w:r>
          </w:p>
        </w:tc>
        <w:tc>
          <w:tcPr>
            <w:tcW w:w="100" w:type="dxa"/>
            <w:vAlign w:val="bottom"/>
          </w:tcPr>
          <w:p>
            <w:pPr>
              <w:spacing w:after="0"/>
              <w:rPr>
                <w:sz w:val="24"/>
                <w:szCs w:val="24"/>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(65)</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r>
      <w:tr>
        <w:trPr>
          <w:trHeight w:val="28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 . . . . . .</w:t>
            </w:r>
          </w:p>
        </w:tc>
        <w:tc>
          <w:tcPr>
            <w:tcW w:w="100" w:type="dxa"/>
            <w:vAlign w:val="bottom"/>
          </w:tcPr>
          <w:p>
            <w:pPr>
              <w:spacing w:after="0"/>
              <w:rPr>
                <w:sz w:val="24"/>
                <w:szCs w:val="24"/>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6"/>
              </w:rPr>
              <w:t>(566)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 net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6"/>
              </w:rPr>
              <w:t>(420)</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w:t>
            </w:r>
            <w:r>
              <w:rPr>
                <w:rFonts w:ascii="Times New Roman" w:cs="Times New Roman" w:eastAsia="Times New Roman" w:hAnsi="Times New Roman"/>
                <w:sz w:val="20"/>
                <w:szCs w:val="20"/>
                <w:color w:val="auto"/>
                <w:w w:val="94"/>
              </w:rPr>
              <w:t>1,076</w:t>
            </w:r>
          </w:p>
        </w:tc>
        <w:tc>
          <w:tcPr>
            <w:tcW w:w="60" w:type="dxa"/>
            <w:vAlign w:val="bottom"/>
          </w:tcPr>
          <w:p>
            <w:pPr>
              <w:spacing w:after="0"/>
              <w:rPr>
                <w:sz w:val="24"/>
                <w:szCs w:val="24"/>
                <w:color w:val="auto"/>
              </w:rPr>
            </w:pPr>
          </w:p>
        </w:tc>
      </w:tr>
      <w:tr>
        <w:trPr>
          <w:trHeight w:val="24"/>
        </w:trPr>
        <w:tc>
          <w:tcPr>
            <w:tcW w:w="70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82" w:lineRule="exact"/>
        <w:rPr>
          <w:sz w:val="20"/>
          <w:szCs w:val="20"/>
          <w:color w:val="auto"/>
        </w:rPr>
      </w:pPr>
    </w:p>
    <w:p>
      <w:pPr>
        <w:ind w:left="340" w:hanging="340"/>
        <w:spacing w:after="0" w:line="239" w:lineRule="auto"/>
        <w:tabs>
          <w:tab w:leader="none" w:pos="3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quarter of 2024, the Company terminated its US DB Plan generating pension settlement costs.</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120"/>
          </w:cols>
          <w:pgMar w:left="1380" w:top="1440" w:right="1380" w:bottom="534"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Note 18. Restructuring Costs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announced a restructuring program aligned with its strategy to reduce costs within the UK-based Technology Services and Solutions businesses within the Rail segment. The restructuring action has been completed as of December 31, 2025. The Company has incurred a total of $2,184 in restructuring and other costs associated with this program, which includes $695 in inventory write-offs, $95 in fixed asset write-offs, $524 in personnel expenses, $717 in lease termination costs, and $153 in other costs. Costs of $780 were recorded in “Cost of services sold”, $173 were recorded in “Cost of goods sold”, and $1,231 were recorded in “Selling and administrative expenses” within our Rail segment. The Company does not expect to incur additional material costs associated with this program.</w:t>
      </w:r>
    </w:p>
    <w:p>
      <w:pPr>
        <w:spacing w:after="0" w:line="13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announced the AMH Exit which was reported in the Technology Services and Solutions business unit within the Rail segment. The decision to exit was due to the Company’s initiatives to scale back businesses in the United Kingdom. The Company completed the remaining customer obligations in 2025. The Company incurred a total of $1,351 in exit costs associated with the AMH Exit, which included $615 in inventory write-offs, $40 in fixed asset write-offs, $507 in personnel expenses, and $189 in other exit costs. Exit costs of $1,085 were recorded in “Cost of goods sold” and $266 were recorded in “Selling and administrative expenses” within our Rail segment. The Company does not expect to incur additional material costs associated with this exit.</w:t>
      </w:r>
    </w:p>
    <w:p>
      <w:pPr>
        <w:spacing w:after="0" w:line="13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August 2024, the Company announced an enterprise restructuring program aligned with its strategy to reduce costs and enable investment in its growth platforms. The restructuring action has been completed as of December 31, 2024. For the year ended December 31, 2024, the Company incurred $1,456 of restructuring expense, related primarily to severance costs. Of the total restructuring costs, $245 was recorded in “Cost of goods sold” and $1,211 was recorded in “Selling and administrative expense.” By business segment, the Company incurred $1,134 of restructuring costs in Rail, $113 in Infrastructure, and $209 in Corporate. As of December 31, 2024, the Company’s restructuring liability for this program was $687, all of which has been paid out as of December 31, 2025.</w:t>
      </w:r>
    </w:p>
    <w:p>
      <w:pPr>
        <w:spacing w:after="0" w:line="139"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following table sets forth a reconciliation of the beginning and ending restructuring liability balance for all programs through December 31, 2025:</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7"/>
              </w:rPr>
              <w:t>Restructuring</w:t>
            </w:r>
          </w:p>
        </w:tc>
      </w:tr>
      <w:tr>
        <w:trPr>
          <w:trHeight w:val="190"/>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Liability</w:t>
            </w:r>
          </w:p>
        </w:tc>
      </w:tr>
      <w:tr>
        <w:trPr>
          <w:trHeight w:val="32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2024 . . . . . . . . . . . . . . . . . . . . . . . . . . . . . . . . . . . . . . . . . . .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180" w:type="dxa"/>
            <w:vAlign w:val="bottom"/>
          </w:tcPr>
          <w:p>
            <w:pPr>
              <w:spacing w:after="0"/>
              <w:rPr>
                <w:sz w:val="24"/>
                <w:szCs w:val="24"/>
                <w:color w:val="auto"/>
              </w:rPr>
            </w:pPr>
          </w:p>
        </w:tc>
      </w:tr>
      <w:tr>
        <w:trPr>
          <w:trHeight w:val="28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Personnel, lease termination, and other exit costs . . . . . . . . . . . . . . . . . . . . . . . . . . . . . . .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w:t>
            </w:r>
          </w:p>
        </w:tc>
        <w:tc>
          <w:tcPr>
            <w:tcW w:w="180" w:type="dxa"/>
            <w:vAlign w:val="bottom"/>
          </w:tcPr>
          <w:p>
            <w:pPr>
              <w:spacing w:after="0"/>
              <w:rPr>
                <w:sz w:val="24"/>
                <w:szCs w:val="24"/>
                <w:color w:val="auto"/>
              </w:rPr>
            </w:pP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Cash paid . . . . . . . . . . . . . . . . . . . . . . . . . . . . . . . . . . . . . . . . . . . . . . . . . . . . . . . . . . . . . .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5"/>
              </w:rPr>
              <w:t>(1,931)</w:t>
            </w: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 2025 . . . . . . . . . . . . . . . . . . . . . . . . . . . . . . . . . . . . . . . . . . .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80" w:type="dxa"/>
            <w:vAlign w:val="bottom"/>
          </w:tcPr>
          <w:p>
            <w:pPr>
              <w:spacing w:after="0"/>
              <w:rPr>
                <w:sz w:val="24"/>
                <w:szCs w:val="24"/>
                <w:color w:val="auto"/>
              </w:rPr>
            </w:pPr>
          </w:p>
        </w:tc>
      </w:tr>
      <w:tr>
        <w:trPr>
          <w:trHeight w:val="24"/>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120"/>
          </w:cols>
          <w:pgMar w:left="1380" w:top="1432" w:right="1380" w:bottom="534" w:gutter="0" w:footer="0" w:header="0"/>
          <w:type w:val="continuous"/>
        </w:sectPr>
      </w:pPr>
    </w:p>
    <w:bookmarkStart w:id="80" w:name="page81"/>
    <w:bookmarkEnd w:id="80"/>
    <w:p>
      <w:pPr>
        <w:ind w:left="1040" w:right="360" w:hanging="1031"/>
        <w:spacing w:after="0" w:line="246"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(the “Exchange Act”)) as of December 31, 2025,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management of L.B. Foster Company is responsible for establishing and maintaining adequate internal control over financial reporting, as such term is defined in Exchange Act Rule 13a-15(f). L.B. Foster Company’s internal control system is designed to provide reasonable assurance to the Company’s management and Board of Directors regarding the reliability of financial reporting and the preparation of financial statements for external purposes in accordance with US GAAP. All internal control systems, no matter how well designed, have inherent limitations. Accordingly, even effective controls can provide only reasonable assurance with respect to financial statement preparation and presentation.</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management, including the Chief Executive Officer and Chief Financial Officer, assessed the effectiveness of our internal control over financial reporting as of December 31, 2025. In making this assessment, management used criteria set forth by the Committee of Sponsoring Organizations of the Treadway Commission (“COSO”) in Internal Control — Integrated Framework (2013 Framework). Based on that evaluation, the Chief Executive Officer and Chief Financial Officer concluded that our internal control over financial reporting was effective as of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There were no changes to our “internal control over financial reporting” (as such term is defined in Rules 13a-15(f) and 15d-15(f) under the Exchange Act) that occurred during the year ended December 31, 2025, and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Effectiveness of Controls and Procedures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pgSz w:w="11880" w:h="15480" w:orient="portrait"/>
          <w:cols w:equalWidth="0" w:num="1">
            <w:col w:w="9120"/>
          </w:cols>
          <w:pgMar w:left="1380" w:top="1434"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120"/>
          </w:cols>
          <w:pgMar w:left="1380" w:top="1434" w:right="1380" w:bottom="534" w:gutter="0" w:footer="0" w:header="0"/>
          <w:type w:val="continuous"/>
        </w:sectPr>
      </w:pPr>
    </w:p>
    <w:bookmarkStart w:id="81" w:name="page82"/>
    <w:bookmarkEnd w:id="81"/>
    <w:p>
      <w:pPr>
        <w:ind w:left="20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 the Stockholders and the Board of Directors of L.B. Foster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Internal Control Over Financial Reporting</w:t>
      </w:r>
    </w:p>
    <w:p>
      <w:pPr>
        <w:spacing w:after="0" w:line="11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audited L.B. Foster Company and subsidiaries’ internal control over financial reporting as of December 31, 2025, based on criteria established in Internal Control — Integrated Framework issued by the Committee of Sponsoring Organizations of the Treadway Commission (2013 framework) (the COSO criteria). In our opinion, L.B. Foster Company and subsidiaries (the Company) maintained, in all material respects, effective internal control over financial reporting as of December 31, 2025, based on the COSO criteria.</w:t>
      </w:r>
    </w:p>
    <w:p>
      <w:pPr>
        <w:spacing w:after="0" w:line="113" w:lineRule="exact"/>
        <w:rPr>
          <w:sz w:val="20"/>
          <w:szCs w:val="20"/>
          <w:color w:val="auto"/>
        </w:rPr>
      </w:pPr>
    </w:p>
    <w:p>
      <w:pPr>
        <w:jc w:val="both"/>
        <w:ind w:firstLine="400"/>
        <w:spacing w:after="0" w:line="264"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equity and cash flows for each of the two years in the period ended December 31, 2025, and the related notes and financial statement schedule listed in the Index at Item 15(a) and our report dated March 5,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2"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1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5, 2026</w:t>
      </w:r>
    </w:p>
    <w:p>
      <w:pPr>
        <w:sectPr>
          <w:pgSz w:w="11880" w:h="15480" w:orient="portrait"/>
          <w:cols w:equalWidth="0" w:num="1">
            <w:col w:w="9120"/>
          </w:cols>
          <w:pgMar w:left="1380" w:top="1432" w:right="1380" w:bottom="53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120"/>
          </w:cols>
          <w:pgMar w:left="1380" w:top="1432" w:right="1380" w:bottom="534" w:gutter="0" w:footer="0" w:header="0"/>
          <w:type w:val="continuous"/>
        </w:sectPr>
      </w:pPr>
    </w:p>
    <w:bookmarkStart w:id="82" w:name="page83"/>
    <w:bookmarkEnd w:id="82"/>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Trading Arrangements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December 31,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the directors of the Company is incorporated herein by reference to the information included in the Company’s definitive Proxy Statement for the 2026 Annual Meeting of Stockholders (the “Proxy Statement”) under the caption “Election of Directors.”</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the executive officers of the Company is set forth in Part I of this Annual Report on Form 10-K under the caption “Information about our Executive Officers” and is incorporated herein by reference.</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compliance with Section 16(a) of the Exchange Act is incorporated herein by reference to the information included in the Proxy Statement under the caption “Section 16(a) Reporting Compliance,” if applicable.</w:t>
      </w:r>
    </w:p>
    <w:p>
      <w:pPr>
        <w:spacing w:after="0" w:line="1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regarding our Code of Ethics is set forth in Part I of this Annual Report on Form 10-K under the caption “Code of Ethics” and is incorporated herein by reference.</w:t>
      </w:r>
    </w:p>
    <w:p>
      <w:pPr>
        <w:spacing w:after="0" w:line="14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our insider trading policy is incorporated herein by reference to the information included in the Proxy Statement under the captions “Insider Trading Policy” and “Anti-Hedging and Anti-Pledging Policy.”</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our nomination and governance committee, audit committee and the audit committee financial expert(s) is incorporated herein by reference to the information included in the Proxy Statement under the caption “Corporate Governance — Board Committees.”</w:t>
      </w:r>
    </w:p>
    <w:p>
      <w:pPr>
        <w:spacing w:after="0" w:line="24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information required by this Item regarding executive compensation is incorporated herein by reference to the information included in the Proxy Statement under the captions “Director Compensation — 2025,” “Executive Compensation,” “Summary Compensation Table (2025, 2024, and 2023),” “Grants of Plan-Based Awards in 2025,” “Outstanding Equity Awards At 2025 Fiscal Year-End,” “2025 Options Exercises and Stock Vested,” “2025 Non-Qualified Deferred Compensation,” “Change-In-Control,” “Compensation Committee Interlocks and Insider Participation,” and “Compensation Committee Report.”</w:t>
      </w:r>
    </w:p>
    <w:p>
      <w:pPr>
        <w:spacing w:after="0" w:line="246" w:lineRule="exact"/>
        <w:rPr>
          <w:sz w:val="20"/>
          <w:szCs w:val="20"/>
          <w:color w:val="auto"/>
        </w:rPr>
      </w:pPr>
    </w:p>
    <w:p>
      <w:pPr>
        <w:jc w:val="both"/>
        <w:ind w:left="1040" w:right="20" w:hanging="1031"/>
        <w:spacing w:after="0" w:line="246"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140"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0"/>
          <w:szCs w:val="20"/>
          <w:color w:val="auto"/>
        </w:rPr>
        <w:t>Under the Equity and Incentive Compensation Plan approved by shareholders on May 22, 2025, at each annual meeting of shareholders, where non-employee directors were elected or reelected, as part of their compensation, the non-employee members of the Board of Directors (the “Board”) have received annual awards of forfeitable restricted shares subject to a one-year vesting requirement from the date of the grant. During 2025,</w:t>
      </w:r>
    </w:p>
    <w:p>
      <w:pPr>
        <w:sectPr>
          <w:pgSz w:w="11880" w:h="15480" w:orient="portrait"/>
          <w:cols w:equalWidth="0" w:num="1">
            <w:col w:w="9120"/>
          </w:cols>
          <w:pgMar w:left="1380" w:top="1432" w:right="1380" w:bottom="534"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120"/>
          </w:cols>
          <w:pgMar w:left="1380" w:top="1432" w:right="1380" w:bottom="534" w:gutter="0" w:footer="0" w:header="0"/>
          <w:type w:val="continuous"/>
        </w:sectPr>
      </w:pPr>
    </w:p>
    <w:bookmarkStart w:id="83" w:name="page84"/>
    <w:bookmarkEnd w:id="83"/>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Equity and Incentive Compensation Plan, the Company issued approximately 22,000 shares of the Company’s common stock for the annual non-employee director equity awards, which shares vest on the one-year anniversary of the date of grant. Commencing in 2020 and ending in December 2021, in addition to the annual restricted stock award, those non-employee directors serving on the Board Strategy Committee were awarded restricted shares on an annual basis subject to a one-year vesting requirement from the date of grant until that committee was disbanded in 2021. During 2025, two non-employee directors have elected to receive fully vested stock in lieu of cash compensation. Through December 31, 2025, there were approximately 355,000 and 22,000 fully vested shares issued under the Omnibus Plan and Equity and Incentive Compensation Plan, respectively, to all non-employee directors who were serving at the time of grant or on the date of vesting of the underlying award. In 2025, the Nomination and Governance Committee and Board of Directors jointly approved the Deferred Compensation Plan for Non-Employee Directors, as amended and restated, which permits non-employee directors of the Company to defer receipt of earned cash and/or stock compensation for service on the Board. As of December 31, 2025, no deferred share units were allotted to the accounts of non-employee directors pursuant to the Deferred Compensation Plan for Non-Employee Directors.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grants eligible employees restricted stock and performance unit awards under the Omnibus Plan and Equity and Incentive Compensation Plans. The forfeitable restricted stock awards generally time-vest ratably over a three-year period, unless indicated otherwise in the underlying restricted stock award agreement. Performance unit awards are offered annually under separate three-year long-term incentive programs. Performance units are subject to forfeiture and will be converted into common stock of the Company based upon the Company’s performance relative to performance measures and conversion multiples as defined in the underlying program. Commencing in 2022, performance units may be earned annually and converted into performance restricted stock units which settle in common stock at the end of the three year program.</w:t>
      </w:r>
    </w:p>
    <w:p>
      <w:pPr>
        <w:spacing w:after="0" w:line="13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Since 2017, the Company has withheld shares of restricted stock for satisfaction of tax withholding obligations. During 2025 and 2024, the Company withheld 79,721 and 59,577 shares, respectively, for this purpose. The values of the shares withheld were $2,108 and $1,429 in 2025 and 2024, respectively.</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with respect to the tabular disclosure under Item 201(d) of Regulation S-K is incorporated herein by reference to the information included in the Proxy Statement under the caption “Securities Authorized for Issuance Under Equity Compensation Plans.”</w:t>
      </w:r>
    </w:p>
    <w:p>
      <w:pPr>
        <w:spacing w:after="0" w:line="136"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The information required by this Item regarding the beneficial ownership of the Company is incorporated herein by reference to the information included in the Proxy Statement under the caption “Stock Ownership.”</w:t>
      </w:r>
    </w:p>
    <w:p>
      <w:pPr>
        <w:spacing w:after="0" w:line="254" w:lineRule="exact"/>
        <w:rPr>
          <w:sz w:val="20"/>
          <w:szCs w:val="20"/>
          <w:color w:val="auto"/>
        </w:rPr>
      </w:pPr>
    </w:p>
    <w:p>
      <w:pPr>
        <w:ind w:left="1040" w:right="980" w:hanging="1031"/>
        <w:spacing w:after="0" w:line="246" w:lineRule="auto"/>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13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transactions with related persons is incorporated herein by reference to the information included in the Proxy Statement under the caption “Corporate Governance — Transactions With Related Parties.”</w:t>
      </w:r>
    </w:p>
    <w:p>
      <w:pPr>
        <w:spacing w:after="0" w:line="1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director independence is incorporated herein by reference to information included in the Proxy Statement under the caption “Corporate Governance — The Board, Board Meetings, Independence, and Tenure.”</w:t>
      </w:r>
    </w:p>
    <w:p>
      <w:pPr>
        <w:spacing w:after="0" w:line="24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ACCOUNTANT FEES AND SERVICES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regarding principal accountant fees and services is incorporated herein by reference to information included in the Proxy Statement under the caption “Independent Registered Public Accounting Firm Fees.”</w:t>
      </w:r>
    </w:p>
    <w:p>
      <w:pPr>
        <w:sectPr>
          <w:pgSz w:w="11880" w:h="15480" w:orient="portrait"/>
          <w:cols w:equalWidth="0" w:num="1">
            <w:col w:w="9120"/>
          </w:cols>
          <w:pgMar w:left="1380" w:top="1440"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120"/>
          </w:cols>
          <w:pgMar w:left="1380" w:top="1440" w:right="1380" w:bottom="534"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32" w:lineRule="exact"/>
        <w:rPr>
          <w:sz w:val="20"/>
          <w:szCs w:val="20"/>
          <w:color w:val="auto"/>
        </w:rPr>
      </w:pPr>
    </w:p>
    <w:p>
      <w:pPr>
        <w:ind w:left="400" w:right="3040" w:hanging="399"/>
        <w:spacing w:after="0" w:line="371" w:lineRule="auto"/>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EXHIBITS AND FINANCIAL STATEMENT SCHEDULES </w:t>
      </w:r>
      <w:r>
        <w:rPr>
          <w:rFonts w:ascii="Times New Roman" w:cs="Times New Roman" w:eastAsia="Times New Roman" w:hAnsi="Times New Roman"/>
          <w:sz w:val="20"/>
          <w:szCs w:val="20"/>
          <w:color w:val="auto"/>
        </w:rPr>
        <w:t>The following documents are filed as a part of this Report:</w:t>
      </w:r>
    </w:p>
    <w:p>
      <w:pPr>
        <w:spacing w:after="0" w:line="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(a)(1).</w:t>
      </w:r>
      <w:r>
        <w:rPr>
          <w:sz w:val="20"/>
          <w:szCs w:val="20"/>
          <w:color w:val="auto"/>
        </w:rPr>
        <w:tab/>
      </w:r>
      <w:r>
        <w:rPr>
          <w:rFonts w:ascii="Times New Roman" w:cs="Times New Roman" w:eastAsia="Times New Roman" w:hAnsi="Times New Roman"/>
          <w:sz w:val="20"/>
          <w:szCs w:val="20"/>
          <w:i w:val="1"/>
          <w:iCs w:val="1"/>
          <w:color w:val="auto"/>
        </w:rPr>
        <w:t>Financial Statements</w:t>
      </w:r>
    </w:p>
    <w:p>
      <w:pPr>
        <w:spacing w:after="0" w:line="140"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20"/>
          <w:szCs w:val="20"/>
          <w:color w:val="auto"/>
        </w:rPr>
        <w:t>The following Reports of Independent Registered Public Accounting Firm (PCAOB ID: 42), consolidated financial statements, and accompanying notes are included in Item 8 of this Report:</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Consolidated Statements of Stockholders’ Equity for the years ended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(a)(2).</w:t>
      </w:r>
      <w:r>
        <w:rPr>
          <w:sz w:val="20"/>
          <w:szCs w:val="20"/>
          <w:color w:val="auto"/>
        </w:rPr>
        <w:tab/>
      </w:r>
      <w:r>
        <w:rPr>
          <w:rFonts w:ascii="Times New Roman" w:cs="Times New Roman" w:eastAsia="Times New Roman" w:hAnsi="Times New Roman"/>
          <w:sz w:val="19"/>
          <w:szCs w:val="19"/>
          <w:i w:val="1"/>
          <w:iCs w:val="1"/>
          <w:color w:val="auto"/>
        </w:rPr>
        <w:t>Financial Statement Schedule</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Schedules for the years ended December 31, 2025 and 2024:</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 – Valuation and Qualifying Accounts.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remaining schedules are omitted because of the absence of conditions upon which they are required.</w:t>
      </w:r>
    </w:p>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(a)(3).</w:t>
      </w:r>
      <w:r>
        <w:rPr>
          <w:sz w:val="20"/>
          <w:szCs w:val="20"/>
          <w:color w:val="auto"/>
        </w:rPr>
        <w:tab/>
      </w:r>
      <w:r>
        <w:rPr>
          <w:rFonts w:ascii="Times New Roman" w:cs="Times New Roman" w:eastAsia="Times New Roman" w:hAnsi="Times New Roman"/>
          <w:sz w:val="20"/>
          <w:szCs w:val="20"/>
          <w:i w:val="1"/>
          <w:iCs w:val="1"/>
          <w:color w:val="auto"/>
        </w:rPr>
        <w:t>Exhibits</w:t>
      </w:r>
    </w:p>
    <w:p>
      <w:pPr>
        <w:spacing w:after="0" w:line="14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The Index to Exhibits immediately following Part IV, Item 16, Form 10-K Summary, filed as part of this Annual Report on Form 10-K and is incorporated by reference herein.</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120"/>
          </w:cols>
          <w:pgMar w:left="1380" w:top="1432" w:right="1380" w:bottom="534"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L.B. FOSTER COMPANY AND SUBSIDIARIES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 VALUATION AND QUALIFYING ACCOUNTS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AND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60"/>
        </w:trPr>
        <w:tc>
          <w:tcPr>
            <w:tcW w:w="5120" w:type="dxa"/>
            <w:vAlign w:val="bottom"/>
          </w:tcPr>
          <w:p>
            <w:pPr>
              <w:spacing w:after="0"/>
              <w:rPr>
                <w:sz w:val="13"/>
                <w:szCs w:val="13"/>
                <w:color w:val="auto"/>
              </w:rPr>
            </w:pPr>
          </w:p>
        </w:tc>
        <w:tc>
          <w:tcPr>
            <w:tcW w:w="10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08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r>
      <w:tr>
        <w:trPr>
          <w:trHeight w:val="160"/>
        </w:trPr>
        <w:tc>
          <w:tcPr>
            <w:tcW w:w="512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8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3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at End</w:t>
            </w:r>
          </w:p>
        </w:tc>
      </w:tr>
      <w:tr>
        <w:trPr>
          <w:trHeight w:val="188"/>
        </w:trPr>
        <w:tc>
          <w:tcPr>
            <w:tcW w:w="5120" w:type="dxa"/>
            <w:vAlign w:val="bottom"/>
          </w:tcPr>
          <w:p>
            <w:pPr>
              <w:spacing w:after="0"/>
              <w:rPr>
                <w:sz w:val="16"/>
                <w:szCs w:val="16"/>
                <w:color w:val="auto"/>
              </w:rPr>
            </w:pPr>
          </w:p>
        </w:tc>
        <w:tc>
          <w:tcPr>
            <w:tcW w:w="102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6"/>
                <w:szCs w:val="16"/>
                <w:b w:val="1"/>
                <w:bCs w:val="1"/>
                <w:color w:val="auto"/>
              </w:rPr>
              <w:t>of Year</w:t>
            </w:r>
          </w:p>
        </w:tc>
        <w:tc>
          <w:tcPr>
            <w:tcW w:w="108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Expenses</w:t>
            </w:r>
          </w:p>
        </w:tc>
        <w:tc>
          <w:tcPr>
            <w:tcW w:w="13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adjustments (1)</w:t>
            </w:r>
          </w:p>
        </w:tc>
        <w:tc>
          <w:tcPr>
            <w:tcW w:w="5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of Year</w:t>
            </w:r>
          </w:p>
        </w:tc>
      </w:tr>
      <w:tr>
        <w:trPr>
          <w:trHeight w:val="322"/>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8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0"/>
        </w:trPr>
        <w:tc>
          <w:tcPr>
            <w:tcW w:w="5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2025 . . . . . . . . . . . . . . . . . . . . . . . . . . . . . . . . . . . . . . . . . . . . .</w:t>
            </w:r>
          </w:p>
        </w:tc>
        <w:tc>
          <w:tcPr>
            <w:tcW w:w="18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1,127</w:t>
            </w:r>
          </w:p>
        </w:tc>
        <w:tc>
          <w:tcPr>
            <w:tcW w:w="300" w:type="dxa"/>
            <w:vAlign w:val="bottom"/>
          </w:tcPr>
          <w:p>
            <w:pPr>
              <w:spacing w:after="0"/>
              <w:rPr>
                <w:sz w:val="19"/>
                <w:szCs w:val="19"/>
                <w:color w:val="auto"/>
              </w:rPr>
            </w:pP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93"/>
              </w:rPr>
              <w:t>1,163</w:t>
            </w:r>
          </w:p>
        </w:tc>
        <w:tc>
          <w:tcPr>
            <w:tcW w:w="300" w:type="dxa"/>
            <w:vAlign w:val="bottom"/>
          </w:tcPr>
          <w:p>
            <w:pPr>
              <w:spacing w:after="0"/>
              <w:rPr>
                <w:sz w:val="19"/>
                <w:szCs w:val="19"/>
                <w:color w:val="auto"/>
              </w:rPr>
            </w:pPr>
          </w:p>
        </w:tc>
        <w:tc>
          <w:tcPr>
            <w:tcW w:w="1060" w:type="dxa"/>
            <w:vAlign w:val="bottom"/>
          </w:tcPr>
          <w:p>
            <w:pPr>
              <w:jc w:val="right"/>
              <w:ind w:right="150"/>
              <w:spacing w:after="0" w:line="220" w:lineRule="exact"/>
              <w:rPr>
                <w:sz w:val="20"/>
                <w:szCs w:val="20"/>
                <w:color w:val="auto"/>
              </w:rPr>
            </w:pPr>
            <w:r>
              <w:rPr>
                <w:rFonts w:ascii="Times New Roman" w:cs="Times New Roman" w:eastAsia="Times New Roman" w:hAnsi="Times New Roman"/>
                <w:sz w:val="20"/>
                <w:szCs w:val="20"/>
                <w:color w:val="auto"/>
              </w:rPr>
              <w:t>$(660)</w:t>
            </w:r>
          </w:p>
        </w:tc>
        <w:tc>
          <w:tcPr>
            <w:tcW w:w="300" w:type="dxa"/>
            <w:vAlign w:val="bottom"/>
          </w:tcPr>
          <w:p>
            <w:pPr>
              <w:spacing w:after="0"/>
              <w:rPr>
                <w:sz w:val="19"/>
                <w:szCs w:val="19"/>
                <w:color w:val="auto"/>
              </w:rPr>
            </w:pPr>
          </w:p>
        </w:tc>
        <w:tc>
          <w:tcPr>
            <w:tcW w:w="54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$1,630</w:t>
            </w:r>
          </w:p>
        </w:tc>
      </w:tr>
      <w:tr>
        <w:trPr>
          <w:trHeight w:val="28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w:t>
            </w:r>
          </w:p>
        </w:tc>
        <w:tc>
          <w:tcPr>
            <w:tcW w:w="1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700</w:t>
            </w:r>
          </w:p>
        </w:tc>
        <w:tc>
          <w:tcPr>
            <w:tcW w:w="30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$(382)</w:t>
            </w:r>
          </w:p>
        </w:tc>
        <w:tc>
          <w:tcPr>
            <w:tcW w:w="3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$1,127</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Notes and accounts receivable written off as uncollectible or allowance reversed.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0"/>
        </w:trPr>
        <w:tc>
          <w:tcPr>
            <w:tcW w:w="5020" w:type="dxa"/>
            <w:vAlign w:val="bottom"/>
          </w:tcPr>
          <w:p>
            <w:pPr>
              <w:spacing w:after="0"/>
              <w:rPr>
                <w:sz w:val="13"/>
                <w:szCs w:val="13"/>
                <w:color w:val="auto"/>
              </w:rPr>
            </w:pPr>
          </w:p>
        </w:tc>
        <w:tc>
          <w:tcPr>
            <w:tcW w:w="102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08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r>
      <w:tr>
        <w:trPr>
          <w:trHeight w:val="160"/>
        </w:trPr>
        <w:tc>
          <w:tcPr>
            <w:tcW w:w="502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8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1360" w:type="dxa"/>
            <w:vAlign w:val="bottom"/>
            <w:gridSpan w:val="3"/>
          </w:tcPr>
          <w:p>
            <w:pPr>
              <w:ind w:left="32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6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at End</w:t>
            </w:r>
          </w:p>
        </w:tc>
      </w:tr>
      <w:tr>
        <w:trPr>
          <w:trHeight w:val="188"/>
        </w:trPr>
        <w:tc>
          <w:tcPr>
            <w:tcW w:w="5020" w:type="dxa"/>
            <w:vAlign w:val="bottom"/>
          </w:tcPr>
          <w:p>
            <w:pPr>
              <w:spacing w:after="0"/>
              <w:rPr>
                <w:sz w:val="16"/>
                <w:szCs w:val="16"/>
                <w:color w:val="auto"/>
              </w:rPr>
            </w:pPr>
          </w:p>
        </w:tc>
        <w:tc>
          <w:tcPr>
            <w:tcW w:w="102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of Year</w:t>
            </w:r>
          </w:p>
        </w:tc>
        <w:tc>
          <w:tcPr>
            <w:tcW w:w="1080" w:type="dxa"/>
            <w:vAlign w:val="bottom"/>
            <w:gridSpan w:val="3"/>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36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adjustments (1)</w:t>
            </w:r>
          </w:p>
        </w:tc>
        <w:tc>
          <w:tcPr>
            <w:tcW w:w="6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of Year</w:t>
            </w:r>
          </w:p>
        </w:tc>
      </w:tr>
      <w:tr>
        <w:trPr>
          <w:trHeight w:val="322"/>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Valuation allowance for deferred tax assets</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28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0"/>
        </w:trPr>
        <w:tc>
          <w:tcPr>
            <w:tcW w:w="5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2025 . . . . . . . . . . . . . . . . . . . . . . . . . . . . . . . . . . . . . . . . . . . .</w:t>
            </w:r>
          </w:p>
        </w:tc>
        <w:tc>
          <w:tcPr>
            <w:tcW w:w="14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8,223</w:t>
            </w:r>
          </w:p>
        </w:tc>
        <w:tc>
          <w:tcPr>
            <w:tcW w:w="300" w:type="dxa"/>
            <w:vAlign w:val="bottom"/>
          </w:tcPr>
          <w:p>
            <w:pPr>
              <w:spacing w:after="0"/>
              <w:rPr>
                <w:sz w:val="19"/>
                <w:szCs w:val="19"/>
                <w:color w:val="auto"/>
              </w:rPr>
            </w:pPr>
          </w:p>
        </w:tc>
        <w:tc>
          <w:tcPr>
            <w:tcW w:w="1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4,328</w:t>
            </w:r>
          </w:p>
        </w:tc>
        <w:tc>
          <w:tcPr>
            <w:tcW w:w="300" w:type="dxa"/>
            <w:vAlign w:val="bottom"/>
          </w:tcPr>
          <w:p>
            <w:pPr>
              <w:spacing w:after="0"/>
              <w:rPr>
                <w:sz w:val="19"/>
                <w:szCs w:val="19"/>
                <w:color w:val="auto"/>
              </w:rPr>
            </w:pPr>
          </w:p>
        </w:tc>
        <w:tc>
          <w:tcPr>
            <w:tcW w:w="420" w:type="dxa"/>
            <w:vAlign w:val="bottom"/>
          </w:tcPr>
          <w:p>
            <w:pPr>
              <w:ind w:left="3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93"/>
              </w:rPr>
              <w:t>185</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12,736</w:t>
            </w:r>
          </w:p>
        </w:tc>
      </w:tr>
      <w:tr>
        <w:trPr>
          <w:trHeight w:val="28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40,125</w:t>
            </w:r>
          </w:p>
        </w:tc>
        <w:tc>
          <w:tcPr>
            <w:tcW w:w="3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(31,937)</w:t>
            </w:r>
          </w:p>
        </w:tc>
        <w:tc>
          <w:tcPr>
            <w:tcW w:w="42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35</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Primarily consists of adjustments related to foreign currency translation.</w:t>
      </w:r>
    </w:p>
    <w:p>
      <w:pPr>
        <w:spacing w:after="0" w:line="1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140"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20"/>
          <w:szCs w:val="20"/>
          <w:color w:val="auto"/>
        </w:rPr>
        <w:t>We may voluntarily include a summary of information required by the Annual Report on Form 10-K under this Item 16. We have elected not to include such summary information.</w:t>
      </w: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120"/>
          </w:cols>
          <w:pgMar w:left="1380" w:top="1432" w:right="1380" w:bottom="534"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auto"/>
        </w:rPr>
        <w:t>INDEX TO EXHIBITS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22" w:lineRule="auto"/>
        <w:tabs>
          <w:tab w:leader="none" w:pos="4680" w:val="left"/>
        </w:tabs>
        <w:rPr>
          <w:sz w:val="20"/>
          <w:szCs w:val="20"/>
          <w:color w:val="auto"/>
        </w:rPr>
      </w:pPr>
      <w:r>
        <w:rPr>
          <w:rFonts w:ascii="Times New Roman" w:cs="Times New Roman" w:eastAsia="Times New Roman" w:hAnsi="Times New Roman"/>
          <w:sz w:val="15"/>
          <w:szCs w:val="15"/>
          <w:b w:val="1"/>
          <w:bCs w:val="1"/>
          <w:color w:val="auto"/>
        </w:rPr>
        <w:t>Number</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6068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6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8.4pt,1.0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666750</wp:posOffset>
                </wp:positionH>
                <wp:positionV relativeFrom="paragraph">
                  <wp:posOffset>13335</wp:posOffset>
                </wp:positionV>
                <wp:extent cx="51244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1.05pt" to="456pt,1.05pt" o:allowincell="f" strokecolor="#000000" strokeweight="0.5pt"/>
            </w:pict>
          </mc:Fallback>
        </mc:AlternateContent>
      </w:r>
    </w:p>
    <w:p>
      <w:pPr>
        <w:sectPr>
          <w:pgSz w:w="11880" w:h="15480" w:orient="portrait"/>
          <w:cols w:equalWidth="0" w:num="1">
            <w:col w:w="9100"/>
          </w:cols>
          <w:pgMar w:left="1380" w:top="1432" w:right="1400" w:bottom="534" w:gutter="0" w:footer="0" w:header="0"/>
        </w:sectPr>
      </w:pP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3.2</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*4.1</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10.9**</w:t>
      </w:r>
    </w:p>
    <w:p>
      <w:pPr>
        <w:spacing w:after="0" w:line="200" w:lineRule="exact"/>
        <w:rPr>
          <w:sz w:val="20"/>
          <w:szCs w:val="20"/>
          <w:color w:val="auto"/>
        </w:rPr>
      </w:pPr>
    </w:p>
    <w:p>
      <w:pPr>
        <w:spacing w:after="0" w:line="34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10.10**</w:t>
      </w:r>
    </w:p>
    <w:p>
      <w:pPr>
        <w:spacing w:after="0" w:line="200" w:lineRule="exact"/>
        <w:rPr>
          <w:sz w:val="20"/>
          <w:szCs w:val="20"/>
          <w:color w:val="auto"/>
        </w:rPr>
      </w:pPr>
    </w:p>
    <w:p>
      <w:pPr>
        <w:spacing w:after="0" w:line="34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Restated Certificate of Incorporation of the Company, incorporated by reference to Exhibit 3.1 to the Company’s Quarterly Report on Form 10-Q for the quarter ended March 31, 2003, File No. 0-10436, filed on May 13, 2003.</w:t>
      </w:r>
    </w:p>
    <w:p>
      <w:pPr>
        <w:spacing w:after="0" w:line="6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Amended and Restated Bylaws of the Company, incorporated by reference to Exhibit 3.1 to the Company’s Quarterly Report on Form 10-Q for the quarter ended June 30, 2023, File No. 0-10436, filed on August 8,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Description of Capital Stock of L.B. Foster Company.</w:t>
      </w:r>
    </w:p>
    <w:p>
      <w:pPr>
        <w:spacing w:after="0" w:line="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Second Amendment dated January 29, 2021 to the Third Amended and Restated Credit Agreement dated April 30, 2019 between Registrant and PNC Bank, N.A., Bank of America, N.A., Wells Fargo Bank, National Association, Citizens Bank, N.A., and BMO Harris Bank, National Association is incorporated herein by reference to Exhibit 10.3 to the Current Report on Form 8-K, File No. 0-10436, filed on February 4, 2021.</w:t>
      </w:r>
    </w:p>
    <w:p>
      <w:pPr>
        <w:spacing w:after="0" w:line="6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Fourth Amended and Restated Credit Agreement dated August 13, 2021, between Registrant and PNC Bank, Citizens Bank, N.A., Wells Fargo Bank, National Association, Bank of America, N.A., and BMO Harris Bank, National Association is incorporated herein by reference to Exhibit 10.1 to the Current Report on Form 8-K, File No. 0-10436, filed on August 16, 2021.</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Second Amendment dated August 12, 2022 to the Fourth Amended and Restated Credit Agreement dated August 13, 2021, between Registrant and PNC Bank, Citizens Bank, N.A., Wells Fargo Bank, National Association, Bank of America, N.A., and BMO Harris Bank, National Association is incorporated herein by reference to Exhibit 10.2 to the Current Report on Form 8-K/A, File No. 0-10436, filed on August 18, 2022.</w:t>
      </w:r>
    </w:p>
    <w:p>
      <w:pPr>
        <w:spacing w:after="0" w:line="6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Fifth Amended and Restated Credit Agreement dated June 27, 2025, between Registrant and PNC Bank, Bank of America, N.A., Citizens Bank, N.A., Wells Fargo Bank, National Association, and Dollar Bank, N.A. (incorporated herein by reference to Exhibit 10.1 to the Company’s Current Report on Form 8-K, File No. 0-10436, filed by the Company on June 27, 2025).</w:t>
      </w:r>
    </w:p>
    <w:p>
      <w:pPr>
        <w:spacing w:after="0" w:line="50"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2006 Omnibus Incentive Plan, as amended and restated on May 25, 2016, incorporated by reference to Exhibit 99.1 to the Company’s Current Report on Form 8-K, File No. 0-10436, filed on May 27, 2016.</w:t>
      </w:r>
    </w:p>
    <w:p>
      <w:pPr>
        <w:spacing w:after="0" w:line="67"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Amended Form of Restricted Stock Agreement (for grants made on or after December 23, 2011), incorporated by reference to Exhibit 10.2 to the Company’s Current Report on Form 8-K, File No. 0-10436, filed on December 21, 2011.</w:t>
      </w:r>
    </w:p>
    <w:p>
      <w:pPr>
        <w:spacing w:after="0" w:line="67"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Restated Supplemental Executive Retirement Plan, incorporated by reference to Exhibit 10.1 to the Company’s Quarterly Report on Form 10-Q for the quarter ended June 30, 2012, File No. 0-10436, filed on August 9, 2012.</w:t>
      </w:r>
    </w:p>
    <w:p>
      <w:pPr>
        <w:spacing w:after="0" w:line="6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Leased Vehicle Plan as amended and restated on September 1, 2007, incorporated by reference to Exhibit 10.46 to the Company’s Annual Report on Form 10-K for the year ended December 31, 2010, File No. 0-10436, filed on March 16, 2011.</w:t>
      </w:r>
    </w:p>
    <w:p>
      <w:pPr>
        <w:spacing w:after="0" w:line="67"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Executive Annual Incentive Compensation Plan (as Amended and Restated), incorporated by reference to Exhibit 10.7 to the Company’s Quarterly Report on Form 10-Q for the quarter ended March 31, 2018, File no. 0-10436, filed on May 2, 2018.</w:t>
      </w:r>
    </w:p>
    <w:p>
      <w:pPr>
        <w:spacing w:after="0" w:line="6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Amended and Restated 2006 Omnibus Incentive Plan, effective as of May 24, 2018, incorporated by reference to Exhibit 10.1 to the Company’s Quarterly Report on Form 10-Q for the quarter ended June 30, 2018, File no. 0-10436, filed on July 31, 2018.</w:t>
      </w:r>
    </w:p>
    <w:p>
      <w:pPr>
        <w:spacing w:after="0" w:line="6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2021 Executive Annual Incentive Compensation Plan, incorporated by reference to Exhibit 10.1 to the Company’s Quarterly Report on Form 10-Q for the quarter ended March 31, 2021, File no.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0-10436, filed on May 5, 2021.</w:t>
      </w:r>
    </w:p>
    <w:p>
      <w:pPr>
        <w:spacing w:after="0" w:line="200" w:lineRule="exact"/>
        <w:rPr>
          <w:sz w:val="20"/>
          <w:szCs w:val="20"/>
          <w:color w:val="auto"/>
        </w:rPr>
      </w:pPr>
    </w:p>
    <w:p>
      <w:pPr>
        <w:sectPr>
          <w:pgSz w:w="11880" w:h="15480" w:orient="portrait"/>
          <w:cols w:equalWidth="0" w:num="2">
            <w:col w:w="860" w:space="200"/>
            <w:col w:w="8040"/>
          </w:cols>
          <w:pgMar w:left="1380" w:top="1432" w:right="1400" w:bottom="534" w:gutter="0" w:footer="0" w:header="0"/>
          <w:type w:val="continuous"/>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100"/>
          </w:cols>
          <w:pgMar w:left="1380" w:top="1432" w:right="1400" w:bottom="534" w:gutter="0" w:footer="0" w:header="0"/>
          <w:type w:val="continuous"/>
        </w:sectPr>
      </w:pPr>
    </w:p>
    <w:bookmarkStart w:id="87" w:name="page88"/>
    <w:bookmarkEnd w:id="87"/>
    <w:p>
      <w:pPr>
        <w:ind w:right="300"/>
        <w:spacing w:after="0" w:line="237" w:lineRule="auto"/>
        <w:rPr>
          <w:sz w:val="20"/>
          <w:szCs w:val="20"/>
          <w:color w:val="auto"/>
        </w:rPr>
      </w:pPr>
      <w:r>
        <w:rPr>
          <w:rFonts w:ascii="Times New Roman" w:cs="Times New Roman" w:eastAsia="Times New Roman" w:hAnsi="Times New Roman"/>
          <w:sz w:val="15"/>
          <w:szCs w:val="15"/>
          <w:b w:val="1"/>
          <w:bCs w:val="1"/>
          <w:color w:val="auto"/>
        </w:rPr>
        <w:t>Exhibit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36068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6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8.4pt,1.1pt" o:allowincell="f" strokecolor="#000000" strokeweight="0.5pt"/>
            </w:pict>
          </mc:Fallback>
        </mc:AlternateContent>
      </w:r>
    </w:p>
    <w:p>
      <w:pPr>
        <w:spacing w:after="0" w:line="1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10.12**</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10.13**</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10.14**</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10.15**</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10.16**</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10.17**</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10.18**</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10.19**</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10.20**</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10.21**</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10.22**</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10.23**</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10.24**</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12700</wp:posOffset>
                </wp:positionV>
                <wp:extent cx="512445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pt" to="403pt,1pt" o:allowincell="f" strokecolor="#000000" strokeweight="0.5pt"/>
            </w:pict>
          </mc:Fallback>
        </mc:AlternateConten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Form of Restricted Stock Award Agreement (2021), incorporated by reference to Exhibit 10.2 to the Company’s Quarterly Report on Form 10-Q for the quarter ended March 31, 2021, File no. 0-10436, filed on May 5, 2021.</w:t>
      </w:r>
    </w:p>
    <w:p>
      <w:pPr>
        <w:spacing w:after="0" w:line="7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Long Term Incentive Performance Share Unit Program (2021-2023), incorporated by reference to Exhibit 10.3 to the Company’s Quarterly Report on Form 10-Q for the quarter ended March 31, 2021, File no. 0-10436, filed on May 5, 2021.</w:t>
      </w:r>
    </w:p>
    <w:p>
      <w:pPr>
        <w:spacing w:after="0" w:line="76"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color w:val="auto"/>
        </w:rPr>
        <w:t>Form of Performance Share Unit Award Agreement (2021-2023), incorporated by reference to Exhibit 10.4 to the Company’s Quarterly Report on Form 10-Q for the quarter ended March 31, 2021, File no. 0-10436, filed on May 5, 2021.</w:t>
      </w:r>
    </w:p>
    <w:p>
      <w:pPr>
        <w:spacing w:after="0" w:line="76"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color w:val="auto"/>
        </w:rPr>
        <w:t>Performance-Based Stock Award Retention Program (2021-2026), incorporated by reference to Exhibit 10.5 to the Company’s Quarterly Report on Form 10-Q for the quarter ended March 31, 2021, File no. 0-10436, filed on May 5, 2021.</w:t>
      </w:r>
    </w:p>
    <w:p>
      <w:pPr>
        <w:spacing w:after="0" w:line="76"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Amended and Restated Key Employee Separation Plan (February 17, 2021), incorporated by reference to Exhibit 10.6 to the Company’s Quarterly Report on Form 10-Q for the quarter ended March 31, 2021, File no. 0-10436, filed on May 5, 2021.</w:t>
      </w:r>
    </w:p>
    <w:p>
      <w:pPr>
        <w:spacing w:after="0" w:line="7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2022 Executive Annual Incentive Compensation Plan, incorporated by reference to Exhibit 10.1 to the Company’s Quarterly Report on Form 10-Q for the quarter ended March 31, 2022, File no.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0-10436, filed on May 10, 2022.</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Form of Restricted Stock Award Agreement (2022), incorporated by reference to Exhibit 10.2 to the Company’s Quarterly Report on Form 10-Q for the quarter ended March 31, 2022, File no. 0-10436, filed on May 10, 2022.</w:t>
      </w:r>
    </w:p>
    <w:p>
      <w:pPr>
        <w:spacing w:after="0" w:line="76"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color w:val="auto"/>
        </w:rPr>
        <w:t>Form of Performance Share Unit Award Agreement (2022-2024), incorporated by reference to Exhibit 10.3 to the Company’s Quarterly Report on Form 10-Q for the quarter ended March 31, 2022, File no. 0-10436, filed on May 10, 2022.</w:t>
      </w:r>
    </w:p>
    <w:p>
      <w:pPr>
        <w:spacing w:after="0" w:line="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Strategy Transformation Plan Description and Award (2022-2025), incorporated by reference to Exhibit 10.2 to the Company’s Quarterly Report on Form 10-Q for the quarter ended June 30, 2022, File no. 0-10436, filed on August 9, 2022.</w:t>
      </w:r>
    </w:p>
    <w:p>
      <w:pPr>
        <w:spacing w:after="0" w:line="7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2022 Director Restricted Stock Award, incorporated by reference to Exhibit 10.3 to the Company’s Quarterly Report on Form 10-Q for the quarter ended June 30, 2022, File no. 0-10436, filed on August 9, 2022.</w:t>
      </w:r>
    </w:p>
    <w:p>
      <w:pPr>
        <w:spacing w:after="0" w:line="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Deferred Compensation Plan for Non-Employee Directors Under the 2022 Equity and Incentive Compensation Plan, incorporated by reference to the Company’s Annual Report on Form 10-K for the fiscal year ended December 31, 2022, File no. 0-10436, filed on March 10, 2023.</w:t>
      </w:r>
    </w:p>
    <w:p>
      <w:pPr>
        <w:spacing w:after="0" w:line="76"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20"/>
          <w:szCs w:val="20"/>
          <w:color w:val="auto"/>
        </w:rPr>
        <w:t>2023 Executive Annual Incentive Plan, incorporated by reference to Exhibit 10.1 to the Company’s Quarterly Report on Form 10-Q for the quarter ended March 31, 2023, File no. 000-10436, filed on May 10, 2023.</w:t>
      </w:r>
    </w:p>
    <w:p>
      <w:pPr>
        <w:spacing w:after="0" w:line="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Form of Restricted Stock Award Agreement (2023), incorporated by reference to Exhibit 10.2 to the Company’s Quarterly Report on Form 10-Q for the quarter ended March 31, 2023, File no.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000-10436, filed on May 10, 2023.</w:t>
      </w:r>
    </w:p>
    <w:p>
      <w:pPr>
        <w:spacing w:after="0" w:line="80"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20"/>
          <w:szCs w:val="20"/>
          <w:color w:val="auto"/>
        </w:rPr>
        <w:t>Form of Performance Share Unit Award Agreement and Long Term Incentive Performance Share Unit Program (2023-2025), incorporated by reference to Exhibit 10.3 to the Company’s Quarterly Report on Form 10-Q for the quarter ended March 31, 2023, File no. 000-10436, filed on May 10, 2023.</w:t>
      </w:r>
    </w:p>
    <w:p>
      <w:pPr>
        <w:spacing w:after="0" w:line="7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Executive Annual Incentive Compensation Plan (As Amended and Restated October 24, 2023), incorporated by reference to Exhibit 10.1 to the Company’s Quarterly Report on Form 10-Q for the quarter ended September 30, 2023, File no. 000-10436, filed on November 7, 2023.</w:t>
      </w:r>
    </w:p>
    <w:p>
      <w:pPr>
        <w:spacing w:after="0" w:line="200" w:lineRule="exact"/>
        <w:rPr>
          <w:sz w:val="20"/>
          <w:szCs w:val="20"/>
          <w:color w:val="auto"/>
        </w:rPr>
      </w:pPr>
    </w:p>
    <w:p>
      <w:pPr>
        <w:sectPr>
          <w:pgSz w:w="11880" w:h="15480" w:orient="portrait"/>
          <w:cols w:equalWidth="0" w:num="2">
            <w:col w:w="860" w:space="200"/>
            <w:col w:w="8040"/>
          </w:cols>
          <w:pgMar w:left="1380" w:top="1392" w:right="1400" w:bottom="534"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100"/>
          </w:cols>
          <w:pgMar w:left="1380" w:top="1392" w:right="1400" w:bottom="534" w:gutter="0" w:footer="0" w:header="0"/>
          <w:type w:val="continuous"/>
        </w:sectPr>
      </w:pPr>
    </w:p>
    <w:bookmarkStart w:id="88" w:name="page89"/>
    <w:bookmarkEnd w:id="88"/>
    <w:p>
      <w:pPr>
        <w:ind w:right="300"/>
        <w:spacing w:after="0" w:line="237" w:lineRule="auto"/>
        <w:rPr>
          <w:sz w:val="20"/>
          <w:szCs w:val="20"/>
          <w:color w:val="auto"/>
        </w:rPr>
      </w:pPr>
      <w:r>
        <w:rPr>
          <w:rFonts w:ascii="Times New Roman" w:cs="Times New Roman" w:eastAsia="Times New Roman" w:hAnsi="Times New Roman"/>
          <w:sz w:val="15"/>
          <w:szCs w:val="15"/>
          <w:b w:val="1"/>
          <w:bCs w:val="1"/>
          <w:color w:val="auto"/>
        </w:rPr>
        <w:t>Exhibit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36068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6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28.4pt,1.1pt" o:allowincell="f" strokecolor="#000000" strokeweight="0.5pt"/>
            </w:pict>
          </mc:Fallback>
        </mc:AlternateContent>
      </w:r>
    </w:p>
    <w:p>
      <w:pPr>
        <w:spacing w:after="0" w:line="1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10.27**</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10.28**</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10.29**</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10.30**</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10.31**</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10.33**</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10.34**</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10.35**</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10.36**</w:t>
      </w:r>
    </w:p>
    <w:p>
      <w:pPr>
        <w:spacing w:after="0" w:line="200" w:lineRule="exact"/>
        <w:rPr>
          <w:sz w:val="20"/>
          <w:szCs w:val="20"/>
          <w:color w:val="auto"/>
        </w:rPr>
      </w:pPr>
    </w:p>
    <w:p>
      <w:pPr>
        <w:spacing w:after="0" w:line="3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0"/>
          <w:szCs w:val="20"/>
          <w:color w:val="auto"/>
        </w:rPr>
        <w:t>10.37**</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*10.38**</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*10.39**</w:t>
      </w:r>
    </w:p>
    <w:p>
      <w:pPr>
        <w:spacing w:after="0" w:line="3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*19.1</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*21</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*23</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*31.1</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*31.2</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12700</wp:posOffset>
                </wp:positionV>
                <wp:extent cx="512445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4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pt" to="403pt,1pt" o:allowincell="f" strokecolor="#000000" strokeweight="0.5pt"/>
            </w:pict>
          </mc:Fallback>
        </mc:AlternateContent>
      </w:r>
    </w:p>
    <w:p>
      <w:pPr>
        <w:spacing w:after="0" w:line="6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Supplemental Executive Retirement Plan (As Amended and Restated October 24, 2023), incorporated by reference to Exhibit 10.2 to the Company’s Quarterly Report on Form 10-Q for the quarter ended September 30, 2023, File no. 000-10436, filed on November 7, 2023.</w:t>
      </w:r>
    </w:p>
    <w:p>
      <w:pPr>
        <w:spacing w:after="0" w:line="7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Key Employee Separation Plan (As Amended and Restated October 24, 2023), incorporated by reference to Exhibit 10.3 to the Company’s Quarterly Report on Form 10-Q for the quarter ended September 30, 2023, File no. 000-10436, filed on November 7, 2023.</w:t>
      </w:r>
    </w:p>
    <w:p>
      <w:pPr>
        <w:spacing w:after="0" w:line="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2023 Executive Annual Incentive Plan (October 24, 2023), incorporated by reference to Exhibit 10.6 to the Company’s Quarterly Report on Form 10-Q for the quarter ended September 30, 2023, File no. 000-10436, filed on November 7, 2023.</w:t>
      </w:r>
    </w:p>
    <w:p>
      <w:pPr>
        <w:spacing w:after="0" w:line="76"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0"/>
          <w:szCs w:val="20"/>
          <w:color w:val="auto"/>
        </w:rPr>
        <w:t>Cooperation Agreement, effective as of January 25, 2024, between L.B. Foster Company and certain Investors specified therein, incorporated by reference to Exhibit 10.1 to the Company’s Current Report on Form 8-K, File no. 000-10436, filed on January 26, 2024.</w:t>
      </w:r>
    </w:p>
    <w:p>
      <w:pPr>
        <w:spacing w:after="0" w:line="7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2024 Executive Annual Incentive Compensation Plan incorporated by reference to Exhibit 10.30 to the Company’s Annual Report on Form 10-K for the year ended December 31, 2025, File No. 000-10436, filed on March 7, 2025.</w:t>
      </w:r>
    </w:p>
    <w:p>
      <w:pPr>
        <w:spacing w:after="0" w:line="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Retirement Agreement and General Release, dated June 30, 2024, between L.B. Foster Company, a Pennsylvania corporation, and William F. Treacy, incorporated by reference to Exhibit 10.1 to the Company’s Quarterly Report on Form 10-Q/A for the quarter ended June 30, 2024, File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000-10436, filed on November 4, 2024.</w:t>
      </w:r>
    </w:p>
    <w:p>
      <w:pPr>
        <w:spacing w:after="0" w:line="80"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color w:val="auto"/>
        </w:rPr>
        <w:t>2022 Equity and Incentive Compensation Plan (As Amended and Restated May 23, 2024), incorporated by reference to Exhibit 99.1 to the Company’s Registration Statement on Form S-8, File no. 333-279648, filed on May 23, 2024.</w:t>
      </w:r>
    </w:p>
    <w:p>
      <w:pPr>
        <w:spacing w:after="0" w:line="76"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2025 Equity and Incentive Compensation Plan (incorporated herein by reference to Exhibit 99.1 to the Company’s Registration Statement on Form S-8, filed by the Company on May 22, 2025, File Number 333-287501).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2025 Director Restricted Stock Award Agreement, incorporated by reference to</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Exhibit 10.3 to the Company’s Quarterly Report on Form 10-Q for the quarter ended June 30, 2025, File No. 0-10436, filed on August 11, 2025.</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Form of 2025 Long Term Incentive Plan Restricted Stock Agreement, incorporated by reference to Exhibit 10.4 to the Company’s Quarterly Report on Form 10-Q for the quarter ended June 30, 2025, File No. 0-10436, filed on August 11, 2025.</w:t>
      </w:r>
    </w:p>
    <w:p>
      <w:pPr>
        <w:spacing w:after="0" w:line="76"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Form of 2025 Performance Share Unit Agreement, incorporated by reference to Exhibit 10.5 to the Company’s Quarterly Report on Form 10-Q for the quarter ended June 30, 2025, File No. 0-10436, filed on August 11, 2025.</w:t>
      </w:r>
    </w:p>
    <w:p>
      <w:pPr>
        <w:spacing w:after="0" w:line="7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0"/>
          <w:szCs w:val="20"/>
          <w:color w:val="auto"/>
        </w:rPr>
        <w:t>Deferred Compensation Plan for Non-Employee Directors Under the 2025 Equity and Incentive Compensation Plan (effective December 1, 2025)</w:t>
      </w:r>
    </w:p>
    <w:p>
      <w:pPr>
        <w:spacing w:after="0" w:line="82" w:lineRule="exact"/>
        <w:rPr>
          <w:sz w:val="20"/>
          <w:szCs w:val="20"/>
          <w:color w:val="auto"/>
        </w:rPr>
      </w:pPr>
    </w:p>
    <w:p>
      <w:pPr>
        <w:ind w:right="600"/>
        <w:spacing w:after="0" w:line="239" w:lineRule="auto"/>
        <w:rPr>
          <w:sz w:val="20"/>
          <w:szCs w:val="20"/>
          <w:color w:val="auto"/>
        </w:rPr>
      </w:pPr>
      <w:r>
        <w:rPr>
          <w:rFonts w:ascii="Times New Roman" w:cs="Times New Roman" w:eastAsia="Times New Roman" w:hAnsi="Times New Roman"/>
          <w:sz w:val="20"/>
          <w:szCs w:val="20"/>
          <w:color w:val="auto"/>
        </w:rPr>
        <w:t>Retirement Agreement and General Release, dated December 31, 2025, between L.B. Foster Company, a Pennsylvania corporation, and Brian H. Kelly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 Trading Policy of L.B. Foster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 of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Chief Executive Officer under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Certification of Chief Financial Officer under Section 302 of the Sarbanes-Oxley Act of 2002.</w:t>
      </w:r>
    </w:p>
    <w:p>
      <w:pPr>
        <w:spacing w:after="0" w:line="80"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20"/>
          <w:szCs w:val="20"/>
          <w:color w:val="auto"/>
        </w:rPr>
        <w:t>Certification of Chief Executive Officer and Chief Financial Officer under Section 906 of the Sarbanes-Oxley Act of 2002.</w:t>
      </w:r>
    </w:p>
    <w:p>
      <w:pPr>
        <w:spacing w:after="0" w:line="200" w:lineRule="exact"/>
        <w:rPr>
          <w:sz w:val="20"/>
          <w:szCs w:val="20"/>
          <w:color w:val="auto"/>
        </w:rPr>
      </w:pPr>
    </w:p>
    <w:p>
      <w:pPr>
        <w:sectPr>
          <w:pgSz w:w="11880" w:h="15480" w:orient="portrait"/>
          <w:cols w:equalWidth="0" w:num="2">
            <w:col w:w="860" w:space="200"/>
            <w:col w:w="8000"/>
          </w:cols>
          <w:pgMar w:left="1380" w:top="1392" w:right="1440" w:bottom="534" w:gutter="0" w:footer="0" w:header="0"/>
        </w:sect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060"/>
          </w:cols>
          <w:pgMar w:left="1380" w:top="1392" w:right="1440" w:bottom="534"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08" w:lineRule="auto"/>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6068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6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8.4pt,1.05pt" o:allowincell="f" strokecolor="#000000" strokeweight="0.5pt"/>
            </w:pict>
          </mc:Fallback>
        </mc:AlternateConten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*97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*101.INS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*101.SCH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*101.CAL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*101.DEF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*101.LAB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*101.PRE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12700</wp:posOffset>
                </wp:positionV>
                <wp:extent cx="49987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87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pt" to="394pt,1pt" o:allowincell="f" strokecolor="#000000" strokeweight="0.5pt"/>
            </w:pict>
          </mc:Fallback>
        </mc:AlternateConten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and Restated Executive Recoupment Policy.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Instance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 are filed herewith.</w:t>
      </w:r>
    </w:p>
    <w:p>
      <w:pPr>
        <w:spacing w:after="0" w:line="80" w:lineRule="exact"/>
        <w:rPr>
          <w:sz w:val="20"/>
          <w:szCs w:val="20"/>
          <w:color w:val="auto"/>
        </w:rPr>
      </w:pPr>
    </w:p>
    <w:p>
      <w:pPr>
        <w:ind w:right="660"/>
        <w:spacing w:after="0" w:line="239" w:lineRule="auto"/>
        <w:rPr>
          <w:sz w:val="20"/>
          <w:szCs w:val="20"/>
          <w:color w:val="auto"/>
        </w:rPr>
      </w:pPr>
      <w:r>
        <w:rPr>
          <w:rFonts w:ascii="Times New Roman" w:cs="Times New Roman" w:eastAsia="Times New Roman" w:hAnsi="Times New Roman"/>
          <w:sz w:val="20"/>
          <w:szCs w:val="20"/>
          <w:color w:val="auto"/>
        </w:rPr>
        <w:t>Exhibit represents a management contract or compensatory plan, contract or arrangement required to be filed as Exhibits to this Annual Report on Form 10-K.</w:t>
      </w:r>
    </w:p>
    <w:p>
      <w:pPr>
        <w:spacing w:after="0" w:line="8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Schedules and exhibits omitted pursuant to Item 601(a)(5) of Regulation S-K. The registrant will furnish a copy of any omitted schedule or exhibit as a supplement to the SEC or its staff upon request.</w:t>
      </w:r>
    </w:p>
    <w:p>
      <w:pPr>
        <w:spacing w:after="0" w:line="200" w:lineRule="exact"/>
        <w:rPr>
          <w:sz w:val="20"/>
          <w:szCs w:val="20"/>
          <w:color w:val="auto"/>
        </w:rPr>
      </w:pPr>
    </w:p>
    <w:p>
      <w:pPr>
        <w:sectPr>
          <w:pgSz w:w="11880" w:h="15480" w:orient="portrait"/>
          <w:cols w:equalWidth="0" w:num="2">
            <w:col w:w="860" w:space="380"/>
            <w:col w:w="7820"/>
          </w:cols>
          <w:pgMar w:left="1380" w:top="1390" w:right="144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060"/>
          </w:cols>
          <w:pgMar w:left="1380" w:top="1390" w:right="1440" w:bottom="534"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u w:val="single" w:color="auto"/>
          <w:color w:val="auto"/>
        </w:rPr>
        <w:t>L.B. FOSTER COMPANY</w:t>
      </w: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600" w:val="left"/>
          <w:tab w:leader="none" w:pos="5360" w:val="left"/>
        </w:tabs>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b w:val="1"/>
          <w:bCs w:val="1"/>
          <w:u w:val="single" w:color="auto"/>
          <w:color w:val="auto"/>
        </w:rPr>
        <w:t>March 5, 2026</w:t>
      </w:r>
      <w:r>
        <w:rPr>
          <w:sz w:val="20"/>
          <w:szCs w:val="20"/>
          <w:color w:val="auto"/>
        </w:rPr>
        <w:tab/>
      </w:r>
      <w:r>
        <w:rPr>
          <w:rFonts w:ascii="Times New Roman" w:cs="Times New Roman" w:eastAsia="Times New Roman" w:hAnsi="Times New Roman"/>
          <w:sz w:val="20"/>
          <w:szCs w:val="20"/>
          <w:b w:val="1"/>
          <w:bCs w:val="1"/>
          <w:color w:val="auto"/>
        </w:rPr>
        <w:t>By: /s/</w:t>
      </w:r>
      <w:r>
        <w:rPr>
          <w:sz w:val="20"/>
          <w:szCs w:val="20"/>
          <w:color w:val="auto"/>
        </w:rPr>
        <w:tab/>
      </w:r>
      <w:r>
        <w:rPr>
          <w:rFonts w:ascii="Times New Roman" w:cs="Times New Roman" w:eastAsia="Times New Roman" w:hAnsi="Times New Roman"/>
          <w:sz w:val="19"/>
          <w:szCs w:val="19"/>
          <w:b w:val="1"/>
          <w:bCs w:val="1"/>
          <w:color w:val="auto"/>
        </w:rPr>
        <w:t>John F. Kasel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3162300</wp:posOffset>
                </wp:positionH>
                <wp:positionV relativeFrom="paragraph">
                  <wp:posOffset>20955</wp:posOffset>
                </wp:positionV>
                <wp:extent cx="26289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8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pt,1.65pt" to="456pt,1.65pt" o:allowincell="f" strokecolor="#000000" strokeweight="0.5pt"/>
            </w:pict>
          </mc:Fallback>
        </mc:AlternateContent>
      </w:r>
    </w:p>
    <w:p>
      <w:pPr>
        <w:spacing w:after="0" w:line="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(John F. Kasel,</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40"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4"/>
              </w:rPr>
              <w:t>Name</w:t>
            </w:r>
          </w:p>
        </w:tc>
        <w:tc>
          <w:tcPr>
            <w:tcW w:w="1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6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880" w:type="dxa"/>
            <w:vAlign w:val="bottom"/>
          </w:tcPr>
          <w:p>
            <w:pPr>
              <w:spacing w:after="0"/>
              <w:rPr>
                <w:sz w:val="16"/>
                <w:szCs w:val="16"/>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Raymond T. Betler</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Chairman of the Board and Director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(Raymond T. Betler)</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John F. Kasel</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(John F. Kasel)</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and Director</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John E. Kunz</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(John E. Kunz)</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David J. Meyer</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(David J. Meyer)</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Diane B. Owen</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(Diane B. Owen)</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Bruce E. Thompson</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(Bruce E. Thompson)</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William M. Thalman</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Executive Vice President</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(William M. Thalman)</w:t>
            </w:r>
          </w:p>
        </w:tc>
        <w:tc>
          <w:tcPr>
            <w:tcW w:w="382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20"/>
                <w:szCs w:val="20"/>
                <w:color w:val="auto"/>
              </w:rPr>
              <w:t>and Chief Financial Officer</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1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w:t>
            </w:r>
          </w:p>
        </w:tc>
        <w:tc>
          <w:tcPr>
            <w:tcW w:w="2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Sean M. Reilly</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Corporate Controller</w:t>
            </w:r>
          </w:p>
        </w:tc>
        <w:tc>
          <w:tcPr>
            <w:tcW w:w="1620" w:type="dxa"/>
            <w:vAlign w:val="bottom"/>
            <w:gridSpan w:val="3"/>
          </w:tcPr>
          <w:p>
            <w:pPr>
              <w:jc w:val="center"/>
              <w:ind w:left="360"/>
              <w:spacing w:after="0"/>
              <w:rPr>
                <w:sz w:val="20"/>
                <w:szCs w:val="20"/>
                <w:color w:val="auto"/>
              </w:rPr>
            </w:pPr>
            <w:r>
              <w:rPr>
                <w:rFonts w:ascii="Times New Roman" w:cs="Times New Roman" w:eastAsia="Times New Roman" w:hAnsi="Times New Roman"/>
                <w:sz w:val="20"/>
                <w:szCs w:val="20"/>
                <w:color w:val="auto"/>
                <w:w w:val="98"/>
              </w:rPr>
              <w:t>March 5, 2026</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9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(Sean M. Reilly)</w:t>
            </w:r>
          </w:p>
        </w:tc>
        <w:tc>
          <w:tcPr>
            <w:tcW w:w="382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20"/>
                <w:szCs w:val="20"/>
                <w:color w:val="auto"/>
                <w:w w:val="99"/>
              </w:rPr>
              <w:t>and Principal Accounting Officer</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1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432" w:right="1380" w:bottom="5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120"/>
          </w:cols>
          <w:pgMar w:left="1380" w:top="1432" w:right="1380" w:bottom="534"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520" w:h="15480" w:orient="portrait"/>
          <w:cols w:equalWidth="0" w:num="1">
            <w:col w:w="8640"/>
          </w:cols>
          <w:pgMar w:left="1440" w:top="1440" w:right="1440" w:bottom="1440" w:gutter="0" w:footer="0" w:header="0"/>
        </w:sectPr>
      </w:pPr>
    </w:p>
    <w:bookmarkStart w:id="92" w:name="page93"/>
    <w:bookmarkEnd w:id="92"/>
    <w:p>
      <w:pPr>
        <w:ind w:left="1500"/>
        <w:spacing w:after="0"/>
        <w:rPr>
          <w:sz w:val="20"/>
          <w:szCs w:val="20"/>
          <w:color w:val="auto"/>
        </w:rPr>
      </w:pPr>
      <w:r>
        <w:rPr>
          <w:rFonts w:ascii="Arial" w:cs="Arial" w:eastAsia="Arial" w:hAnsi="Arial"/>
          <w:sz w:val="31"/>
          <w:szCs w:val="31"/>
          <w:color w:val="auto"/>
        </w:rPr>
        <mc:AlternateContent>
          <mc:Choice Requires="wps">
            <w:drawing>
              <wp:anchor simplePos="0" relativeHeight="251657728" behindDoc="1" locked="0" layoutInCell="0" allowOverlap="1">
                <wp:simplePos x="0" y="0"/>
                <wp:positionH relativeFrom="page">
                  <wp:posOffset>114300</wp:posOffset>
                </wp:positionH>
                <wp:positionV relativeFrom="page">
                  <wp:posOffset>228600</wp:posOffset>
                </wp:positionV>
                <wp:extent cx="7029450" cy="93726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0" cy="9372600"/>
                        </a:xfrm>
                        <a:prstGeom prst="rect">
                          <a:avLst/>
                        </a:prstGeom>
                        <a:solidFill>
                          <a:srgbClr val="DDE1D8"/>
                        </a:solidFill>
                      </wps:spPr>
                      <wps:bodyPr/>
                    </wps:wsp>
                  </a:graphicData>
                </a:graphic>
              </wp:anchor>
            </w:drawing>
          </mc:Choice>
          <mc:Fallback>
            <w:pict>
              <v:rect id="Shape 47" o:spid="_x0000_s1072" style="position:absolute;margin-left:9pt;margin-top:18pt;width:553.5pt;height:73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E1D8"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3651250</wp:posOffset>
                </wp:positionH>
                <wp:positionV relativeFrom="page">
                  <wp:posOffset>476885</wp:posOffset>
                </wp:positionV>
                <wp:extent cx="0" cy="887539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75395"/>
                        </a:xfrm>
                        <a:prstGeom prst="line">
                          <a:avLst/>
                        </a:prstGeom>
                        <a:solidFill>
                          <a:srgbClr val="FFFFFF"/>
                        </a:solidFill>
                        <a:ln w="12331">
                          <a:solidFill>
                            <a:srgbClr val="C00015"/>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7.5pt,37.55pt" to="287.5pt,736.4pt" o:allowincell="f" strokecolor="#C00015" strokeweight="0.9709pt">
                <w10:wrap anchorx="page" anchory="page"/>
              </v:line>
            </w:pict>
          </mc:Fallback>
        </mc:AlternateContent>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-161925</wp:posOffset>
                </wp:positionV>
                <wp:extent cx="3249930" cy="592201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930" cy="5922010"/>
                        </a:xfrm>
                        <a:prstGeom prst="rect">
                          <a:avLst/>
                        </a:prstGeom>
                        <a:solidFill>
                          <a:srgbClr val="DDE1D8"/>
                        </a:solidFill>
                      </wps:spPr>
                      <wps:bodyPr/>
                    </wps:wsp>
                  </a:graphicData>
                </a:graphic>
              </wp:anchor>
            </w:drawing>
          </mc:Choice>
          <mc:Fallback>
            <w:pict>
              <v:rect id="Shape 49" o:spid="_x0000_s1074" style="position:absolute;margin-left:-7pt;margin-top:-12.7499pt;width:255.9pt;height:46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E1D8" stroked="f"/>
            </w:pict>
          </mc:Fallback>
        </mc:AlternateContent>
      </w:r>
    </w:p>
    <w:p>
      <w:pPr>
        <w:spacing w:after="0" w:line="369"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JOHN F. KASEL</w:t>
      </w:r>
    </w:p>
    <w:p>
      <w:pPr>
        <w:spacing w:after="0" w:line="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President and Chief Executive Officer</w:t>
      </w:r>
    </w:p>
    <w:p>
      <w:pPr>
        <w:spacing w:after="0" w:line="284"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BRIAN H. FRIEDMAN</w:t>
      </w:r>
    </w:p>
    <w:p>
      <w:pPr>
        <w:spacing w:after="0" w:line="5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Senior Vice President, Chief Growth Officer</w:t>
      </w:r>
    </w:p>
    <w:p>
      <w:pPr>
        <w:spacing w:after="0" w:line="28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PATRICK J. GUINEE</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Executive Vice President, General Counsel, and Secretary</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GREGORY W. LIPPARD</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Senior Vice President, Rail</w:t>
      </w:r>
    </w:p>
    <w:p>
      <w:pPr>
        <w:spacing w:after="0" w:line="27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ROBERT A. NESS</w:t>
      </w:r>
    </w:p>
    <w:p>
      <w:pPr>
        <w:spacing w:after="0" w:line="8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Senior Vice President, Infrastructure</w:t>
      </w:r>
    </w:p>
    <w:p>
      <w:pPr>
        <w:spacing w:after="0" w:line="284"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JAMIE F. O’NEILL</w:t>
      </w:r>
    </w:p>
    <w:p>
      <w:pPr>
        <w:spacing w:after="0" w:line="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Senior Vice President, Human Resources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SEAN M. REILLY</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Controller and Principal Accounting Officer</w:t>
      </w:r>
    </w:p>
    <w:p>
      <w:pPr>
        <w:spacing w:after="0" w:line="273"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SARA F. ROLLI</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Senior Vice President, Operational Administration</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WILLIAM M. THALMAN</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33"/>
          <w:szCs w:val="33"/>
          <w:color w:val="auto"/>
        </w:rPr>
        <w:t>SHAREHOLDER</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33"/>
          <w:szCs w:val="33"/>
          <w:color w:val="auto"/>
        </w:rPr>
        <w:t>INFORMATION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Form 10-K</w:t>
      </w:r>
    </w:p>
    <w:p>
      <w:pPr>
        <w:spacing w:after="0" w:line="50" w:lineRule="exact"/>
        <w:rPr>
          <w:sz w:val="20"/>
          <w:szCs w:val="20"/>
          <w:color w:val="auto"/>
        </w:rPr>
      </w:pPr>
    </w:p>
    <w:p>
      <w:pPr>
        <w:jc w:val="right"/>
        <w:spacing w:after="0" w:line="334" w:lineRule="auto"/>
        <w:rPr>
          <w:sz w:val="20"/>
          <w:szCs w:val="20"/>
          <w:color w:val="auto"/>
        </w:rPr>
      </w:pPr>
      <w:r>
        <w:rPr>
          <w:rFonts w:ascii="Arial" w:cs="Arial" w:eastAsia="Arial" w:hAnsi="Arial"/>
          <w:sz w:val="18"/>
          <w:szCs w:val="18"/>
          <w:color w:val="auto"/>
        </w:rPr>
        <w:t>A copy of the Company’s Annual Report on Form 10-K to the Securities and Exchange Commission is available upon request from L.B. Foster’s Investor Relations Department or from the Company Website at www.lbfoster.com</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Stock Exchange</w:t>
      </w:r>
    </w:p>
    <w:p>
      <w:pPr>
        <w:spacing w:after="0" w:line="50" w:lineRule="exact"/>
        <w:rPr>
          <w:sz w:val="20"/>
          <w:szCs w:val="20"/>
          <w:color w:val="auto"/>
        </w:rPr>
      </w:pPr>
    </w:p>
    <w:p>
      <w:pPr>
        <w:jc w:val="both"/>
        <w:ind w:left="3800" w:hanging="3632"/>
        <w:spacing w:after="0" w:line="371" w:lineRule="auto"/>
        <w:rPr>
          <w:sz w:val="20"/>
          <w:szCs w:val="20"/>
          <w:color w:val="auto"/>
        </w:rPr>
      </w:pPr>
      <w:r>
        <w:rPr>
          <w:rFonts w:ascii="Arial" w:cs="Arial" w:eastAsia="Arial" w:hAnsi="Arial"/>
          <w:sz w:val="18"/>
          <w:szCs w:val="18"/>
          <w:color w:val="auto"/>
        </w:rPr>
        <w:t>L.B. Foster’s common stock is traded on NASDAQ. Ticker symbol: FSTR</w:t>
      </w:r>
    </w:p>
    <w:p>
      <w:pPr>
        <w:spacing w:after="0" w:line="123" w:lineRule="exact"/>
        <w:rPr>
          <w:sz w:val="20"/>
          <w:szCs w:val="20"/>
          <w:color w:val="auto"/>
        </w:rPr>
      </w:pPr>
    </w:p>
    <w:p>
      <w:pPr>
        <w:ind w:left="3560"/>
        <w:spacing w:after="0"/>
        <w:rPr>
          <w:sz w:val="20"/>
          <w:szCs w:val="20"/>
          <w:color w:val="auto"/>
        </w:rPr>
      </w:pPr>
      <w:r>
        <w:rPr>
          <w:rFonts w:ascii="Arial" w:cs="Arial" w:eastAsia="Arial" w:hAnsi="Arial"/>
          <w:sz w:val="21"/>
          <w:szCs w:val="21"/>
          <w:color w:val="auto"/>
        </w:rPr>
        <w:t>Transfer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Broadridge Corporate Issuer Solutions, Inc. 1.866.321.8022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3"/>
          <w:szCs w:val="33"/>
          <w:color w:val="auto"/>
        </w:rPr>
        <w:t>BOARD OF DIRECTORS</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color w:val="auto"/>
        </w:rPr>
        <w:t>RAYMOND T. BETLER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Chairman of the Board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L.B. Foster Company</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JOHN F. KASEL</w:t>
      </w:r>
    </w:p>
    <w:p>
      <w:pPr>
        <w:spacing w:after="0" w:line="50" w:lineRule="exact"/>
        <w:rPr>
          <w:sz w:val="20"/>
          <w:szCs w:val="20"/>
          <w:color w:val="auto"/>
        </w:rPr>
      </w:pPr>
    </w:p>
    <w:p>
      <w:pPr>
        <w:ind w:right="1640"/>
        <w:spacing w:after="0" w:line="339" w:lineRule="auto"/>
        <w:rPr>
          <w:sz w:val="20"/>
          <w:szCs w:val="20"/>
          <w:color w:val="auto"/>
        </w:rPr>
      </w:pPr>
      <w:r>
        <w:rPr>
          <w:rFonts w:ascii="Arial" w:cs="Arial" w:eastAsia="Arial" w:hAnsi="Arial"/>
          <w:sz w:val="19"/>
          <w:szCs w:val="19"/>
          <w:color w:val="auto"/>
        </w:rPr>
        <w:t>President and Chief Executive Officer L.B. Foster Company</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JOHN E. KUNZ</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Former Vice President &amp; Chief Financial Officer</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PGT Innovations</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U.S. Concrete</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DAVID J. MEYER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Ferroworks, LLC</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DIANE B. OWEN</w:t>
      </w:r>
    </w:p>
    <w:p>
      <w:pPr>
        <w:spacing w:after="0" w:line="50" w:lineRule="exact"/>
        <w:rPr>
          <w:sz w:val="20"/>
          <w:szCs w:val="20"/>
          <w:color w:val="auto"/>
        </w:rPr>
      </w:pPr>
    </w:p>
    <w:p>
      <w:pPr>
        <w:ind w:right="760"/>
        <w:spacing w:after="0" w:line="360" w:lineRule="auto"/>
        <w:rPr>
          <w:sz w:val="20"/>
          <w:szCs w:val="20"/>
          <w:color w:val="auto"/>
        </w:rPr>
      </w:pPr>
      <w:r>
        <w:rPr>
          <w:rFonts w:ascii="Arial" w:cs="Arial" w:eastAsia="Arial" w:hAnsi="Arial"/>
          <w:sz w:val="19"/>
          <w:szCs w:val="19"/>
          <w:color w:val="auto"/>
        </w:rPr>
        <w:t>Former Senior Vice President – Corporate Audit H.J. Heinz Company</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color w:val="auto"/>
        </w:rPr>
        <w:t>BRUCE E. THOMPSON</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President</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Hospitality Development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140"/>
        <w:spacing w:after="0" w:line="320" w:lineRule="auto"/>
        <w:rPr>
          <w:sz w:val="20"/>
          <w:szCs w:val="20"/>
          <w:color w:val="auto"/>
        </w:rPr>
      </w:pPr>
      <w:r>
        <w:rPr>
          <w:rFonts w:ascii="Arial" w:cs="Arial" w:eastAsia="Arial" w:hAnsi="Arial"/>
          <w:sz w:val="31"/>
          <w:szCs w:val="31"/>
          <w:color w:val="auto"/>
        </w:rPr>
        <w:t>CORPORATE HEADQUARTERS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415 Holiday Drive</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Suite 100</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Pittsburgh, Pennsylvania USA 15220</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1.412.928.3400</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www.lbfoster.com</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L.B. Foster is a registered trademark of L.B. Foster Company.</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CXT is a registered trademark of CXT, Incorporated, a wholly-owned subsidiary of L.B. Foster Company.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CXT is a Licensee of Envirocast, LLC.</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 2026 L.B. Foster Company. All Rights Reserved.</w:t>
      </w:r>
    </w:p>
    <w:p>
      <w:pPr>
        <w:sectPr>
          <w:pgSz w:w="11520" w:h="15480" w:orient="portrait"/>
          <w:cols w:equalWidth="0" w:num="2">
            <w:col w:w="4980" w:space="400"/>
            <w:col w:w="4780"/>
          </w:cols>
          <w:pgMar w:left="580" w:top="912" w:right="780" w:bottom="331"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52"/>
          <w:szCs w:val="52"/>
          <w:color w:val="auto"/>
        </w:rPr>
        <w:t>We innovate to solve global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54"/>
          <w:szCs w:val="54"/>
          <w:color w:val="auto"/>
        </w:rPr>
        <w:t>infrastructure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L.B. Foster Corporate Headquarters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415 Holiday Drive, Suite 100</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Pittsburgh, PA USA 15220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412.928.3400</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www.lbfoster.com</w:t>
      </w:r>
    </w:p>
    <w:sectPr>
      <w:pgSz w:w="11880" w:h="15480" w:orient="portrait"/>
      <w:cols w:equalWidth="0" w:num="1">
        <w:col w:w="9000"/>
      </w:cols>
      <w:pgMar w:left="1440" w:top="1440" w:right="1440" w:bottom="27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È"/>
      <w:numFmt w:val="bullet"/>
      <w:start w:val="1"/>
    </w:lvl>
  </w:abstractNum>
  <w:abstractNum w:abstractNumId="2">
    <w:nsid w:val="12200854"/>
    <w:multiLevelType w:val="hybridMultilevel"/>
    <w:lvl w:ilvl="0">
      <w:lvlJc w:val="left"/>
      <w:lvlText w:val="\lquote "/>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2026-04-10T20:04:35Z</dcterms:created>
  <dcterms:modified xsi:type="dcterms:W3CDTF">2026-04-10T20:04:35Z</dcterms:modified>
</cp:coreProperties>
</file>