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FOSTER L B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ARON R. ENGLISH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22NW, LP, 590 1st Ave. S, Unit C1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206-227-3078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22NW Fund,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1,004,117.00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1,004,117.00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1,004,117.00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1,004,117.00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English Aron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1,005,022.00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1,005,022.00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1,005,022.00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11"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FOSTER L B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415 HOLIDAY DR, PITTSBURGH, PENNSYLVANIA , 15220.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22NW Fund were purchased with working capital (which may, at any given time, include margin loans made by brokerage firms in the ordinary course of business). The aggregate purchase price of the 1,004,117 Shares beneficially owned by 22NW Fund is approximately $13,133,850, excluding brokerage commissions. The Shares directly owned by Mr. English were purchased with personal funds (which may, at any given time, include margin loans made by brokerage firms in the ordinary course of business). The aggregate purchase price of the 905 Shares directly owned by Mr. English is approximately $10,000, excluding brokerage commissions. The Shares directly owned by Mr. Hirai-Hadley were</w:t>
      </w:r>
    </w:p>
    <w:p>
      <w:pPr>
        <w:sectPr>
          <w:pgSz w:w="11900" w:h="16838" w:orient="portrait"/>
          <w:cols w:equalWidth="0" w:num="1">
            <w:col w:w="11100"/>
          </w:cols>
          <w:pgMar w:left="360" w:top="111" w:right="439" w:bottom="0" w:gutter="0" w:footer="0" w:header="0"/>
          <w:type w:val="continuous"/>
        </w:sectPr>
      </w:pPr>
    </w:p>
    <w:bookmarkStart w:id="6" w:name="page7"/>
    <w:bookmarkEnd w:id="6"/>
    <w:p>
      <w:pPr>
        <w:spacing w:after="0" w:line="49" w:lineRule="exact"/>
        <w:rPr>
          <w:sz w:val="20"/>
          <w:szCs w:val="20"/>
          <w:color w:val="auto"/>
        </w:rPr>
      </w:pPr>
    </w:p>
    <w:p>
      <w:pPr>
        <w:jc w:val="both"/>
        <w:ind w:left="940" w:right="180"/>
        <w:spacing w:after="0" w:line="244" w:lineRule="auto"/>
        <w:rPr>
          <w:sz w:val="20"/>
          <w:szCs w:val="20"/>
          <w:color w:val="auto"/>
        </w:rPr>
      </w:pPr>
      <w:r>
        <w:rPr>
          <w:rFonts w:ascii="Times New Roman" w:cs="Times New Roman" w:eastAsia="Times New Roman" w:hAnsi="Times New Roman"/>
          <w:sz w:val="22"/>
          <w:szCs w:val="22"/>
          <w:color w:val="auto"/>
        </w:rPr>
        <w:t>purchased with personal funds (which may, at any given time, include margin loans made by brokerage firms in the ordinary course of business). The aggregate purchase price of the 991 Shares directly owned by Mr. Hirai-Hadley is approximately $15,195, excluding brokerage commissions.</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10,307,374 Shares outstanding as of February 27, 2026, which is the total number of Shares outstanding as reported in the Issuer's annual report on Form 10-K filed with the Securities and Exchange Commission on March 5, 2026. As of the date hereof, 22NW Fund directly beneficially owned 1,004,117 Shares, constituting approximately 9.7% of the Shares outstanding. As of the date hereof, Mr. English directly beneficially owned 905 Shares, constituting approximately 0.01% of the Shares outstanding. As of the date hereof, Mr. Hirai-Hadley directly beneficially owned 991 Shares, constituting approximately 0.01% of the Shares</w:t>
      </w:r>
    </w:p>
    <w:p>
      <w:pPr>
        <w:spacing w:after="0" w:line="6" w:lineRule="exact"/>
        <w:rPr>
          <w:sz w:val="20"/>
          <w:szCs w:val="20"/>
          <w:color w:val="auto"/>
        </w:rPr>
      </w:pPr>
    </w:p>
    <w:p>
      <w:pPr>
        <w:ind w:left="940" w:right="20" w:hanging="932"/>
        <w:spacing w:after="0" w:line="209"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22NW, as the investment manager of 22NW Fund, may be deemed to beneficially own the 1,004,117 Shares owned by 22NW Fund, constituting approximately 9.7% of the Shares outstanding. 22NW GP, as the general partner of 22NW Fund, may be deemed to beneficially own the 1,004,117 Shares owned by 22NW Fund, constituting approximately 9.7% of the Shares outstanding. 22NW Inc., as the general partner of 22NW, may be deemed to beneficially own the 1,004,117 Shares owned by 22NW Fund, constituting approximately 9.7% of the Shares outstanding. Mr. English, as the Portfolio Manager of 22NW, Manager of 22NW GP and President and sole shareholder of 22NW Inc., may be deemed to beneficially own the 1,004,117 Shares owned by 22NW Fund, which, together with the Shares he directly beneficially owns, constitutes an aggregate of 1,005,022 Shares, constituting approximately 9.8% of the Shares outstanding.</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5(c) is hereby amended and restated to read as follows: The transactions in the Shares by the Reporting Persons</w:t>
      </w:r>
    </w:p>
    <w:p>
      <w:pPr>
        <w:spacing w:after="0" w:line="26" w:lineRule="exact"/>
        <w:rPr>
          <w:sz w:val="20"/>
          <w:szCs w:val="20"/>
          <w:color w:val="auto"/>
        </w:rPr>
      </w:pPr>
    </w:p>
    <w:p>
      <w:pPr>
        <w:ind w:left="940" w:right="34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60 days are set forth in Exhibit 1 and are incorporated herein by reference. All of such transactions were effected in the open market unless otherwise noted therein.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22NW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Manager of 22NW Fund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22NW,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President and Sole Shareholder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22NW GP, Inc.,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22NW GP,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English Aron R.</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Aron R. English</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Bryson O. Hirai-Hadley</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Bryson O. Hirai-Hadley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ectPr>
          <w:pgSz w:w="11900" w:h="16887" w:orient="portrait"/>
          <w:cols w:equalWidth="0" w:num="1">
            <w:col w:w="11140"/>
          </w:cols>
          <w:pgMar w:left="360" w:top="111" w:right="399" w:bottom="0" w:gutter="0" w:footer="0" w:header="0"/>
        </w:sectPr>
      </w:pPr>
    </w:p>
    <w:bookmarkStart w:id="7" w:name="page8"/>
    <w:bookmarkEnd w:id="7"/>
    <w:p>
      <w:pPr>
        <w:spacing w:after="0"/>
        <w:tabs>
          <w:tab w:leader="none" w:pos="4700" w:val="left"/>
        </w:tabs>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(60) Days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Securities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7"/>
              </w:rPr>
              <w:t>Price Per</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2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Date of</w:t>
            </w:r>
          </w:p>
        </w:tc>
        <w:tc>
          <w:tcPr>
            <w:tcW w:w="0" w:type="dxa"/>
            <w:vAlign w:val="bottom"/>
          </w:tcPr>
          <w:p>
            <w:pPr>
              <w:spacing w:after="0"/>
              <w:rPr>
                <w:sz w:val="1"/>
                <w:szCs w:val="1"/>
                <w:color w:val="auto"/>
              </w:rPr>
            </w:pPr>
          </w:p>
        </w:tc>
      </w:tr>
      <w:tr>
        <w:trPr>
          <w:trHeight w:val="162"/>
        </w:trPr>
        <w:tc>
          <w:tcPr>
            <w:tcW w:w="24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Nature of the Transaction</w:t>
            </w:r>
          </w:p>
        </w:tc>
        <w:tc>
          <w:tcPr>
            <w:tcW w:w="2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Purchased/(Sold)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Security($</w:t>
            </w:r>
            <w:r>
              <w:rPr>
                <w:rFonts w:ascii="Times New Roman" w:cs="Times New Roman" w:eastAsia="Times New Roman" w:hAnsi="Times New Roman"/>
                <w:sz w:val="18"/>
                <w:szCs w:val="18"/>
                <w:color w:val="auto"/>
                <w:w w:val="98"/>
              </w:rPr>
              <w:t>)</w:t>
            </w: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vMerge w:val="restart"/>
          </w:tcPr>
          <w:p>
            <w:pPr>
              <w:spacing w:after="0"/>
              <w:rPr>
                <w:sz w:val="14"/>
                <w:szCs w:val="14"/>
                <w:color w:val="auto"/>
              </w:rPr>
            </w:pPr>
          </w:p>
        </w:tc>
        <w:tc>
          <w:tcPr>
            <w:tcW w:w="460" w:type="dxa"/>
            <w:vAlign w:val="bottom"/>
            <w:vMerge w:val="restart"/>
          </w:tcPr>
          <w:p>
            <w:pPr>
              <w:spacing w:after="0"/>
              <w:rPr>
                <w:sz w:val="14"/>
                <w:szCs w:val="14"/>
                <w:color w:val="auto"/>
              </w:rPr>
            </w:pPr>
          </w:p>
        </w:tc>
        <w:tc>
          <w:tcPr>
            <w:tcW w:w="28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8"/>
                <w:szCs w:val="18"/>
                <w:color w:val="auto"/>
              </w:rPr>
              <w:t xml:space="preserve">Price Range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16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w w:val="98"/>
              </w:rPr>
              <w:t>Purchase/Sale</w:t>
            </w:r>
          </w:p>
        </w:tc>
        <w:tc>
          <w:tcPr>
            <w:tcW w:w="0" w:type="dxa"/>
            <w:vAlign w:val="bottom"/>
          </w:tcPr>
          <w:p>
            <w:pPr>
              <w:spacing w:after="0"/>
              <w:rPr>
                <w:sz w:val="1"/>
                <w:szCs w:val="1"/>
                <w:color w:val="auto"/>
              </w:rPr>
            </w:pPr>
          </w:p>
        </w:tc>
      </w:tr>
      <w:tr>
        <w:trPr>
          <w:trHeight w:val="48"/>
        </w:trPr>
        <w:tc>
          <w:tcPr>
            <w:tcW w:w="2420" w:type="dxa"/>
            <w:vAlign w:val="bottom"/>
            <w:gridSpan w:val="3"/>
            <w:vMerge w:val="continue"/>
          </w:tcPr>
          <w:p>
            <w:pPr>
              <w:spacing w:after="0"/>
              <w:rPr>
                <w:sz w:val="4"/>
                <w:szCs w:val="4"/>
                <w:color w:val="auto"/>
              </w:rPr>
            </w:pPr>
          </w:p>
        </w:tc>
        <w:tc>
          <w:tcPr>
            <w:tcW w:w="20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860" w:type="dxa"/>
            <w:vAlign w:val="bottom"/>
            <w:gridSpan w:val="4"/>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22NW FUND, LP</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(5,124)</w:t>
            </w: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31.9880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31.5000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- 32.1250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03/04/2026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(78,414)</w:t>
            </w:r>
          </w:p>
        </w:tc>
        <w:tc>
          <w:tcPr>
            <w:tcW w:w="480" w:type="dxa"/>
            <w:vAlign w:val="bottom"/>
          </w:tcPr>
          <w:p>
            <w:pPr>
              <w:spacing w:after="0"/>
              <w:rPr>
                <w:sz w:val="18"/>
                <w:szCs w:val="18"/>
                <w:color w:val="auto"/>
              </w:rPr>
            </w:pP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28.5103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- 29.0000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(25,889)</w:t>
            </w: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28.1864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- 28.7350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03/24/2026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(2,716)</w:t>
            </w:r>
          </w:p>
        </w:tc>
        <w:tc>
          <w:tcPr>
            <w:tcW w:w="480" w:type="dxa"/>
            <w:vAlign w:val="bottom"/>
          </w:tcPr>
          <w:p>
            <w:pPr>
              <w:spacing w:after="0"/>
              <w:rPr>
                <w:sz w:val="18"/>
                <w:szCs w:val="18"/>
                <w:color w:val="auto"/>
              </w:rPr>
            </w:pP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28.0860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- 28.5000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(8,968)</w:t>
            </w: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28.0208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- 28.1200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03/26/2026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7"/>
              </w:rPr>
              <w:t>(862)</w:t>
            </w:r>
          </w:p>
        </w:tc>
        <w:tc>
          <w:tcPr>
            <w:tcW w:w="480" w:type="dxa"/>
            <w:vAlign w:val="bottom"/>
          </w:tcPr>
          <w:p>
            <w:pPr>
              <w:spacing w:after="0"/>
              <w:rPr>
                <w:sz w:val="18"/>
                <w:szCs w:val="18"/>
                <w:color w:val="auto"/>
              </w:rPr>
            </w:pP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28.0200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03/27/2026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(1,887)</w:t>
            </w: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5"/>
              </w:rPr>
              <w:t>28.0111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- 28.1000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03/30/2026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(1,500)</w:t>
            </w:r>
          </w:p>
        </w:tc>
        <w:tc>
          <w:tcPr>
            <w:tcW w:w="480" w:type="dxa"/>
            <w:vAlign w:val="bottom"/>
          </w:tcPr>
          <w:p>
            <w:pPr>
              <w:spacing w:after="0"/>
              <w:rPr>
                <w:sz w:val="18"/>
                <w:szCs w:val="18"/>
                <w:color w:val="auto"/>
              </w:rPr>
            </w:pP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8"/>
              </w:rPr>
              <w:t>28.02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(38,431)</w:t>
            </w: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28.0473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- 28.3025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04/01/2026</w:t>
            </w: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5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(23,138)</w:t>
            </w:r>
          </w:p>
        </w:tc>
        <w:tc>
          <w:tcPr>
            <w:tcW w:w="480" w:type="dxa"/>
            <w:vAlign w:val="bottom"/>
          </w:tcPr>
          <w:p>
            <w:pPr>
              <w:spacing w:after="0"/>
              <w:rPr>
                <w:sz w:val="20"/>
                <w:szCs w:val="20"/>
                <w:color w:val="auto"/>
              </w:rPr>
            </w:pPr>
          </w:p>
        </w:tc>
        <w:tc>
          <w:tcPr>
            <w:tcW w:w="15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28.0085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28.0000</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- 28.1000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04/02/2026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386965"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firstLine="8"/>
        <w:spacing w:after="0" w:line="219" w:lineRule="auto"/>
        <w:tabs>
          <w:tab w:leader="none" w:pos="127"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price reported in column </w:t>
      </w:r>
      <w:r>
        <w:rPr>
          <w:rFonts w:ascii="Times New Roman" w:cs="Times New Roman" w:eastAsia="Times New Roman" w:hAnsi="Times New Roman"/>
          <w:sz w:val="18"/>
          <w:szCs w:val="18"/>
          <w:u w:val="single" w:color="auto"/>
          <w:color w:val="auto"/>
        </w:rPr>
        <w:t>Price Per Security ($)</w:t>
      </w:r>
      <w:r>
        <w:rPr>
          <w:rFonts w:ascii="Times New Roman" w:cs="Times New Roman" w:eastAsia="Times New Roman" w:hAnsi="Times New Roman"/>
          <w:sz w:val="18"/>
          <w:szCs w:val="18"/>
          <w:color w:val="auto"/>
        </w:rPr>
        <w:t xml:space="preserve"> is a weighted average price if a price range is indicated in column </w:t>
      </w:r>
      <w:r>
        <w:rPr>
          <w:rFonts w:ascii="Times New Roman" w:cs="Times New Roman" w:eastAsia="Times New Roman" w:hAnsi="Times New Roman"/>
          <w:sz w:val="18"/>
          <w:szCs w:val="18"/>
          <w:u w:val="single" w:color="auto"/>
          <w:color w:val="auto"/>
        </w:rPr>
        <w:t>Price Range ($)</w:t>
      </w:r>
      <w:r>
        <w:rPr>
          <w:rFonts w:ascii="Times New Roman" w:cs="Times New Roman" w:eastAsia="Times New Roman" w:hAnsi="Times New Roman"/>
          <w:sz w:val="18"/>
          <w:szCs w:val="18"/>
          <w:color w:val="auto"/>
        </w:rPr>
        <w:t>. These securities were sold in multiple transactions at prices between the corresponding price ranges in the applicable row. The Reporting Persons undertake to provide the Issuer, any security holder of the Issuer or the staff of the Securities and Exchange Commission, upon request, full information regarding the number of securities sold at each separate price.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2026-04-02T19:27:18Z</dcterms:created>
  <dcterms:modified xsi:type="dcterms:W3CDTF">2026-04-02T19:27:18Z</dcterms:modified>
</cp:coreProperties>
</file>