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4A0" w:firstRow="1" w:lastRow="0" w:firstColumn="1" w:lastColumn="0" w:noHBand="0" w:noVBand="1"/>
      </w:tblPr>
      <w:tblGrid>
        <w:gridCol w:w="5400"/>
        <w:gridCol w:w="5400"/>
      </w:tblGrid>
      <w:tr w:rsidR="00376768">
        <w:tc>
          <w:tcPr>
            <w:tcW w:w="2500" w:type="pct"/>
            <w:tcMar>
              <w:top w:w="0" w:type="dxa"/>
              <w:left w:w="0" w:type="dxa"/>
              <w:bottom w:w="0" w:type="dxa"/>
              <w:right w:w="80" w:type="dxa"/>
            </w:tcMar>
            <w:vAlign w:val="bottom"/>
            <w:hideMark/>
          </w:tcPr>
          <w:p w:rsidR="00376768" w:rsidRDefault="00F16CF0">
            <w:pPr>
              <w:rPr>
                <w:rFonts w:ascii="Arial" w:hAnsi="Arial" w:cs="Arial"/>
                <w:szCs w:val="20"/>
              </w:rPr>
            </w:pPr>
            <w:bookmarkStart w:id="0" w:name="_GoBack"/>
            <w:bookmarkEnd w:id="0"/>
            <w:r>
              <w:rPr>
                <w:rFonts w:ascii="Arial" w:hAnsi="Arial" w:cs="Arial"/>
                <w:noProof/>
                <w:color w:val="000000"/>
                <w:sz w:val="24"/>
                <w:lang w:bidi="ar-SA"/>
              </w:rPr>
              <w:drawing>
                <wp:inline distT="0" distB="0" distL="0" distR="0">
                  <wp:extent cx="2089785" cy="368300"/>
                  <wp:effectExtent l="0" t="0" r="5715" b="0"/>
                  <wp:docPr id="1" name="Picture 1" descr="fstr-def14a_052418im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r-def14a_052418img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9785" cy="368300"/>
                          </a:xfrm>
                          <a:prstGeom prst="rect">
                            <a:avLst/>
                          </a:prstGeom>
                          <a:noFill/>
                          <a:ln>
                            <a:noFill/>
                          </a:ln>
                        </pic:spPr>
                      </pic:pic>
                    </a:graphicData>
                  </a:graphic>
                </wp:inline>
              </w:drawing>
            </w:r>
          </w:p>
        </w:tc>
        <w:tc>
          <w:tcPr>
            <w:tcW w:w="2500" w:type="pct"/>
            <w:tcMar>
              <w:top w:w="0" w:type="dxa"/>
              <w:left w:w="0" w:type="dxa"/>
              <w:bottom w:w="0" w:type="dxa"/>
              <w:right w:w="0" w:type="dxa"/>
            </w:tcMar>
            <w:hideMark/>
          </w:tcPr>
          <w:p w:rsidR="00376768" w:rsidRDefault="00EC2B72">
            <w:pPr>
              <w:jc w:val="center"/>
              <w:rPr>
                <w:rFonts w:ascii="Arial" w:hAnsi="Arial" w:cs="Arial"/>
                <w:sz w:val="28"/>
                <w:szCs w:val="28"/>
              </w:rPr>
            </w:pPr>
            <w:r>
              <w:rPr>
                <w:rFonts w:ascii="Arial" w:hAnsi="Arial" w:cs="Arial"/>
                <w:b/>
                <w:bCs/>
                <w:sz w:val="28"/>
                <w:szCs w:val="28"/>
              </w:rPr>
              <w:t>L.B. FOSTER COMPANY</w:t>
            </w:r>
            <w:r>
              <w:rPr>
                <w:rFonts w:ascii="Arial" w:hAnsi="Arial" w:cs="Arial"/>
                <w:b/>
                <w:bCs/>
                <w:sz w:val="28"/>
                <w:szCs w:val="28"/>
              </w:rPr>
              <w:br/>
              <w:t>415 Holiday Drive</w:t>
            </w:r>
            <w:r>
              <w:rPr>
                <w:rFonts w:ascii="Arial" w:hAnsi="Arial" w:cs="Arial"/>
                <w:b/>
                <w:bCs/>
                <w:sz w:val="28"/>
                <w:szCs w:val="28"/>
              </w:rPr>
              <w:br/>
              <w:t>Pittsburgh, Pennsylvania 15220</w:t>
            </w:r>
          </w:p>
        </w:tc>
      </w:tr>
    </w:tbl>
    <w:p w:rsidR="00376768" w:rsidRDefault="00EC2B72">
      <w:pPr>
        <w:spacing w:before="160"/>
        <w:jc w:val="center"/>
        <w:rPr>
          <w:rFonts w:ascii="Arial" w:hAnsi="Arial" w:cs="Arial"/>
          <w:sz w:val="24"/>
        </w:rPr>
      </w:pPr>
      <w:r>
        <w:rPr>
          <w:rFonts w:ascii="Arial" w:hAnsi="Arial" w:cs="Arial"/>
          <w:b/>
          <w:bCs/>
          <w:sz w:val="24"/>
        </w:rPr>
        <w:t>NOTICE OF ANNUAL MEETING OF SHAREHOLDERS</w:t>
      </w:r>
      <w:r>
        <w:rPr>
          <w:rFonts w:ascii="Arial" w:hAnsi="Arial" w:cs="Arial"/>
          <w:b/>
          <w:bCs/>
          <w:sz w:val="24"/>
        </w:rPr>
        <w:br/>
        <w:t>TO BE HELD ON MAY 24, 2018</w:t>
      </w:r>
    </w:p>
    <w:p w:rsidR="00376768" w:rsidRDefault="00EC2B72">
      <w:pPr>
        <w:spacing w:before="160"/>
        <w:rPr>
          <w:rFonts w:ascii="Arial" w:hAnsi="Arial" w:cs="Arial"/>
          <w:szCs w:val="20"/>
        </w:rPr>
      </w:pPr>
      <w:r>
        <w:rPr>
          <w:rFonts w:ascii="Arial" w:hAnsi="Arial" w:cs="Arial"/>
          <w:szCs w:val="20"/>
        </w:rPr>
        <w:t>To Our Shareholders:</w:t>
      </w:r>
    </w:p>
    <w:p w:rsidR="00376768" w:rsidRDefault="00EC2B72">
      <w:pPr>
        <w:spacing w:before="160"/>
        <w:ind w:firstLine="360"/>
        <w:jc w:val="both"/>
        <w:rPr>
          <w:rFonts w:ascii="Arial" w:hAnsi="Arial" w:cs="Arial"/>
          <w:szCs w:val="20"/>
        </w:rPr>
      </w:pPr>
      <w:r>
        <w:rPr>
          <w:rFonts w:ascii="Arial" w:hAnsi="Arial" w:cs="Arial"/>
          <w:szCs w:val="20"/>
        </w:rPr>
        <w:t>L. B. Foster Company will hold its Annual Meeting of Shareholders at the Duquesne Club at 325 Sixth Avenue, Pittsburgh, Pennsylvania 15222 on Thursday, May 24, 2018, at 8:30 AM, Eastern Daylight Time (the “Annual Meeting” or the “Meeting”), for the purposes of:</w:t>
      </w:r>
    </w:p>
    <w:p w:rsidR="00376768" w:rsidRDefault="00EC2B72">
      <w:pPr>
        <w:spacing w:before="160"/>
        <w:ind w:left="720" w:hanging="360"/>
        <w:rPr>
          <w:rFonts w:ascii="Arial" w:hAnsi="Arial" w:cs="Arial"/>
          <w:szCs w:val="20"/>
        </w:rPr>
      </w:pPr>
      <w:r>
        <w:rPr>
          <w:rFonts w:ascii="Arial" w:hAnsi="Arial" w:cs="Arial"/>
          <w:szCs w:val="20"/>
        </w:rPr>
        <w:t>1.</w:t>
      </w:r>
      <w:r>
        <w:rPr>
          <w:rFonts w:ascii="Arial" w:hAnsi="Arial" w:cs="Arial"/>
          <w:szCs w:val="20"/>
        </w:rPr>
        <w:tab/>
        <w:t>Electing a board of eight directors for the ensuing year;</w:t>
      </w:r>
    </w:p>
    <w:p w:rsidR="00376768" w:rsidRDefault="00EC2B72">
      <w:pPr>
        <w:spacing w:before="160"/>
        <w:ind w:left="720" w:hanging="360"/>
        <w:rPr>
          <w:rFonts w:ascii="Arial" w:hAnsi="Arial" w:cs="Arial"/>
          <w:szCs w:val="20"/>
        </w:rPr>
      </w:pPr>
      <w:r>
        <w:rPr>
          <w:rFonts w:ascii="Arial" w:hAnsi="Arial" w:cs="Arial"/>
          <w:szCs w:val="20"/>
        </w:rPr>
        <w:t>2.</w:t>
      </w:r>
      <w:r>
        <w:rPr>
          <w:rFonts w:ascii="Arial" w:hAnsi="Arial" w:cs="Arial"/>
          <w:szCs w:val="20"/>
        </w:rPr>
        <w:tab/>
        <w:t>Ratifying the appointment of Ernst &amp; Young LLP as our independent registered public accounting firm for 2018;</w:t>
      </w:r>
    </w:p>
    <w:p w:rsidR="00376768" w:rsidRDefault="00EC2B72">
      <w:pPr>
        <w:spacing w:before="160"/>
        <w:ind w:left="720" w:hanging="360"/>
        <w:rPr>
          <w:rFonts w:ascii="Arial" w:hAnsi="Arial" w:cs="Arial"/>
          <w:szCs w:val="20"/>
        </w:rPr>
      </w:pPr>
      <w:r>
        <w:rPr>
          <w:rFonts w:ascii="Arial" w:hAnsi="Arial" w:cs="Arial"/>
          <w:szCs w:val="20"/>
        </w:rPr>
        <w:t>3.</w:t>
      </w:r>
      <w:r>
        <w:rPr>
          <w:rFonts w:ascii="Arial" w:hAnsi="Arial" w:cs="Arial"/>
          <w:szCs w:val="20"/>
        </w:rPr>
        <w:tab/>
        <w:t>Advisory approval of the compensation paid to the Company’s named executive officers in 2017; and</w:t>
      </w:r>
    </w:p>
    <w:p w:rsidR="00376768" w:rsidRDefault="00EC2B72">
      <w:pPr>
        <w:spacing w:before="160"/>
        <w:ind w:left="720" w:hanging="360"/>
        <w:rPr>
          <w:rFonts w:ascii="Arial" w:hAnsi="Arial" w:cs="Arial"/>
          <w:szCs w:val="20"/>
        </w:rPr>
      </w:pPr>
      <w:r>
        <w:rPr>
          <w:rFonts w:ascii="Arial" w:hAnsi="Arial" w:cs="Arial"/>
          <w:szCs w:val="20"/>
        </w:rPr>
        <w:t>4.</w:t>
      </w:r>
      <w:r>
        <w:rPr>
          <w:rFonts w:ascii="Arial" w:hAnsi="Arial" w:cs="Arial"/>
          <w:szCs w:val="20"/>
        </w:rPr>
        <w:tab/>
        <w:t>Approval of the 2006 Omnibus Incentive Plan (as Amended and Restated).</w:t>
      </w:r>
    </w:p>
    <w:p w:rsidR="00376768" w:rsidRDefault="00EC2B72">
      <w:pPr>
        <w:spacing w:before="160"/>
        <w:ind w:firstLine="360"/>
        <w:jc w:val="both"/>
        <w:rPr>
          <w:rFonts w:ascii="Arial" w:hAnsi="Arial" w:cs="Arial"/>
          <w:szCs w:val="20"/>
        </w:rPr>
      </w:pPr>
      <w:r>
        <w:rPr>
          <w:rFonts w:ascii="Arial" w:hAnsi="Arial" w:cs="Arial"/>
          <w:szCs w:val="20"/>
        </w:rPr>
        <w:t xml:space="preserve">Shareholders will also be asked to consider and act upon such other </w:t>
      </w:r>
      <w:proofErr w:type="gramStart"/>
      <w:r>
        <w:rPr>
          <w:rFonts w:ascii="Arial" w:hAnsi="Arial" w:cs="Arial"/>
          <w:szCs w:val="20"/>
        </w:rPr>
        <w:t>business that properly come</w:t>
      </w:r>
      <w:proofErr w:type="gramEnd"/>
      <w:r>
        <w:rPr>
          <w:rFonts w:ascii="Arial" w:hAnsi="Arial" w:cs="Arial"/>
          <w:szCs w:val="20"/>
        </w:rPr>
        <w:t xml:space="preserve"> before the Annual Meeting.</w:t>
      </w:r>
    </w:p>
    <w:p w:rsidR="00376768" w:rsidRDefault="00EC2B72">
      <w:pPr>
        <w:spacing w:before="160"/>
        <w:ind w:firstLine="360"/>
        <w:jc w:val="both"/>
        <w:rPr>
          <w:rFonts w:ascii="Arial" w:hAnsi="Arial" w:cs="Arial"/>
          <w:szCs w:val="20"/>
        </w:rPr>
      </w:pPr>
      <w:r>
        <w:rPr>
          <w:rFonts w:ascii="Arial" w:hAnsi="Arial" w:cs="Arial"/>
          <w:szCs w:val="20"/>
        </w:rPr>
        <w:t>Shareholders are cordially invited to attend the Annual Meeting. Only holders of record of Company common stock at the close of business on March 22, 2018 will be entitled to vote at the meeting or at any adjournment or postponement thereof.</w:t>
      </w:r>
    </w:p>
    <w:p w:rsidR="00376768" w:rsidRDefault="00EC2B72">
      <w:pPr>
        <w:spacing w:before="160"/>
        <w:ind w:firstLine="360"/>
        <w:jc w:val="both"/>
        <w:rPr>
          <w:rFonts w:ascii="Arial" w:hAnsi="Arial" w:cs="Arial"/>
          <w:szCs w:val="20"/>
        </w:rPr>
      </w:pPr>
      <w:r>
        <w:rPr>
          <w:rFonts w:ascii="Arial" w:hAnsi="Arial" w:cs="Arial"/>
          <w:szCs w:val="20"/>
        </w:rPr>
        <w:t>U.S. Securities and Exchange Commission rules allow companies to furnish proxy materials to their shareholders over the Internet. This process expedites shareholder receipt of proxy materials and lowers the cost of our Annual Meeting. On or about April 12, 2018, we mailed to our shareholders a Notice of Internet Availability containing instructions on how to access our 2018 Proxy Statement and 2017 Annual Report and how to cast your vote. That Notice also includes instructions on how to receive a paper copy of the Annual Meeting materials.</w:t>
      </w:r>
    </w:p>
    <w:p w:rsidR="00376768" w:rsidRDefault="00EC2B72">
      <w:pPr>
        <w:spacing w:before="160"/>
        <w:ind w:firstLine="360"/>
        <w:jc w:val="both"/>
        <w:rPr>
          <w:rFonts w:ascii="Arial" w:hAnsi="Arial" w:cs="Arial"/>
          <w:szCs w:val="20"/>
        </w:rPr>
      </w:pPr>
      <w:r>
        <w:rPr>
          <w:rFonts w:ascii="Arial" w:hAnsi="Arial" w:cs="Arial"/>
          <w:szCs w:val="20"/>
        </w:rPr>
        <w:t>Your vote is important. Whether you plan to attend the Annual Meeting or not, we hope you will vote your shares as soon as possible. Please sign, date, and return your proxy card or voting instruction form or vote by telephone or via the Internet; instructions are included on the proxy card and voter instruction form. If you plan to attend the Annual Meeting in person, please detach the Admission Ticket from your proxy card and bring it to the Meeting. If you are a beneficial owner of shares held in “street name” through a broker, bank, or other intermediary, please contact your broker, bank, or other intermediary to obtain evidence of ownership and a legal proxy, which you must bring with you to the Meeting.</w:t>
      </w:r>
    </w:p>
    <w:tbl>
      <w:tblPr>
        <w:tblW w:w="5000" w:type="pct"/>
        <w:tblLayout w:type="fixed"/>
        <w:tblCellMar>
          <w:left w:w="0" w:type="dxa"/>
          <w:right w:w="0" w:type="dxa"/>
        </w:tblCellMar>
        <w:tblLook w:val="0000" w:firstRow="0" w:lastRow="0" w:firstColumn="0" w:lastColumn="0" w:noHBand="0" w:noVBand="0"/>
      </w:tblPr>
      <w:tblGrid>
        <w:gridCol w:w="6731"/>
        <w:gridCol w:w="4069"/>
      </w:tblGrid>
      <w:tr w:rsidR="00376768">
        <w:tc>
          <w:tcPr>
            <w:tcW w:w="3116" w:type="pct"/>
          </w:tcPr>
          <w:p w:rsidR="00376768" w:rsidRDefault="00376768">
            <w:pPr>
              <w:rPr>
                <w:rFonts w:ascii="Arial" w:hAnsi="Arial" w:cs="Arial"/>
                <w:szCs w:val="20"/>
              </w:rPr>
            </w:pPr>
          </w:p>
        </w:tc>
        <w:tc>
          <w:tcPr>
            <w:tcW w:w="1884" w:type="pct"/>
          </w:tcPr>
          <w:p w:rsidR="00376768" w:rsidRDefault="00376768">
            <w:pPr>
              <w:rPr>
                <w:rFonts w:ascii="Arial" w:hAnsi="Arial" w:cs="Arial"/>
                <w:szCs w:val="20"/>
              </w:rPr>
            </w:pPr>
          </w:p>
        </w:tc>
      </w:tr>
      <w:tr w:rsidR="00376768">
        <w:tc>
          <w:tcPr>
            <w:tcW w:w="3116" w:type="pct"/>
          </w:tcPr>
          <w:p w:rsidR="00376768" w:rsidRDefault="00376768">
            <w:pPr>
              <w:rPr>
                <w:rFonts w:ascii="Arial" w:hAnsi="Arial" w:cs="Arial"/>
                <w:szCs w:val="20"/>
              </w:rPr>
            </w:pPr>
          </w:p>
        </w:tc>
        <w:tc>
          <w:tcPr>
            <w:tcW w:w="1884" w:type="pct"/>
          </w:tcPr>
          <w:p w:rsidR="00376768" w:rsidRDefault="00EC2B72">
            <w:pPr>
              <w:rPr>
                <w:rFonts w:ascii="Arial" w:hAnsi="Arial" w:cs="Arial"/>
                <w:szCs w:val="20"/>
              </w:rPr>
            </w:pPr>
            <w:r>
              <w:rPr>
                <w:rFonts w:ascii="Arial" w:hAnsi="Arial" w:cs="Arial"/>
                <w:szCs w:val="20"/>
              </w:rPr>
              <w:t xml:space="preserve">Patrick J. </w:t>
            </w:r>
            <w:proofErr w:type="spellStart"/>
            <w:r>
              <w:rPr>
                <w:rFonts w:ascii="Arial" w:hAnsi="Arial" w:cs="Arial"/>
                <w:szCs w:val="20"/>
              </w:rPr>
              <w:t>Guinee</w:t>
            </w:r>
            <w:proofErr w:type="spellEnd"/>
          </w:p>
        </w:tc>
      </w:tr>
      <w:tr w:rsidR="00376768">
        <w:tc>
          <w:tcPr>
            <w:tcW w:w="3116" w:type="pct"/>
          </w:tcPr>
          <w:p w:rsidR="00376768" w:rsidRDefault="00376768">
            <w:pPr>
              <w:rPr>
                <w:rFonts w:ascii="Arial" w:hAnsi="Arial" w:cs="Arial"/>
                <w:szCs w:val="20"/>
              </w:rPr>
            </w:pPr>
          </w:p>
        </w:tc>
        <w:tc>
          <w:tcPr>
            <w:tcW w:w="1884" w:type="pct"/>
          </w:tcPr>
          <w:p w:rsidR="00376768" w:rsidRDefault="00EC2B72">
            <w:pPr>
              <w:rPr>
                <w:rFonts w:ascii="Arial" w:hAnsi="Arial" w:cs="Arial"/>
                <w:szCs w:val="20"/>
              </w:rPr>
            </w:pPr>
            <w:r>
              <w:rPr>
                <w:rFonts w:ascii="Arial" w:hAnsi="Arial" w:cs="Arial"/>
                <w:szCs w:val="20"/>
              </w:rPr>
              <w:t>Senior Vice President, General Counsel &amp;</w:t>
            </w:r>
          </w:p>
        </w:tc>
      </w:tr>
      <w:tr w:rsidR="00376768">
        <w:tc>
          <w:tcPr>
            <w:tcW w:w="3116" w:type="pct"/>
          </w:tcPr>
          <w:p w:rsidR="00376768" w:rsidRDefault="00376768">
            <w:pPr>
              <w:rPr>
                <w:rFonts w:ascii="Arial" w:hAnsi="Arial" w:cs="Arial"/>
                <w:szCs w:val="20"/>
              </w:rPr>
            </w:pPr>
          </w:p>
        </w:tc>
        <w:tc>
          <w:tcPr>
            <w:tcW w:w="1884" w:type="pct"/>
          </w:tcPr>
          <w:p w:rsidR="00376768" w:rsidRDefault="00EC2B72">
            <w:pPr>
              <w:rPr>
                <w:rFonts w:ascii="Arial" w:hAnsi="Arial" w:cs="Arial"/>
                <w:szCs w:val="20"/>
              </w:rPr>
            </w:pPr>
            <w:r>
              <w:rPr>
                <w:rFonts w:ascii="Arial" w:hAnsi="Arial" w:cs="Arial"/>
                <w:szCs w:val="20"/>
              </w:rPr>
              <w:t>Corporate Secretary</w:t>
            </w:r>
          </w:p>
        </w:tc>
      </w:tr>
    </w:tbl>
    <w:p w:rsidR="00376768" w:rsidRDefault="00EC2B72">
      <w:pPr>
        <w:spacing w:before="160"/>
        <w:rPr>
          <w:rFonts w:ascii="Arial" w:hAnsi="Arial" w:cs="Arial"/>
          <w:szCs w:val="20"/>
        </w:rPr>
        <w:sectPr w:rsidR="00376768">
          <w:footerReference w:type="default" r:id="rId8"/>
          <w:pgSz w:w="12240" w:h="15840" w:code="1"/>
          <w:pgMar w:top="720" w:right="720" w:bottom="720" w:left="720" w:header="720" w:footer="720" w:gutter="0"/>
          <w:cols w:space="720"/>
          <w:docGrid w:linePitch="360"/>
        </w:sectPr>
      </w:pPr>
      <w:r>
        <w:rPr>
          <w:rFonts w:ascii="Arial" w:hAnsi="Arial" w:cs="Arial"/>
          <w:szCs w:val="20"/>
        </w:rPr>
        <w:t>Pittsburgh, Pennsylvania</w:t>
      </w:r>
      <w:r>
        <w:rPr>
          <w:rFonts w:ascii="Arial" w:hAnsi="Arial" w:cs="Arial"/>
          <w:szCs w:val="20"/>
        </w:rPr>
        <w:br/>
        <w:t>April 12, 2018</w:t>
      </w:r>
    </w:p>
    <w:p w:rsidR="00376768" w:rsidRDefault="00EC2B72">
      <w:pPr>
        <w:jc w:val="center"/>
        <w:rPr>
          <w:rFonts w:cs="Arial"/>
          <w:color w:val="366193"/>
          <w:sz w:val="28"/>
          <w:szCs w:val="28"/>
        </w:rPr>
      </w:pPr>
      <w:r>
        <w:rPr>
          <w:rFonts w:cs="Arial"/>
          <w:b/>
          <w:bCs/>
          <w:color w:val="366193"/>
          <w:sz w:val="28"/>
          <w:szCs w:val="28"/>
        </w:rPr>
        <w:lastRenderedPageBreak/>
        <w:t>Table of Contents</w:t>
      </w:r>
    </w:p>
    <w:tbl>
      <w:tblPr>
        <w:tblW w:w="5000" w:type="pct"/>
        <w:tblLayout w:type="fixed"/>
        <w:tblCellMar>
          <w:left w:w="0" w:type="dxa"/>
          <w:right w:w="0" w:type="dxa"/>
        </w:tblCellMar>
        <w:tblLook w:val="0000" w:firstRow="0" w:lastRow="0" w:firstColumn="0" w:lastColumn="0" w:noHBand="0" w:noVBand="0"/>
      </w:tblPr>
      <w:tblGrid>
        <w:gridCol w:w="10208"/>
        <w:gridCol w:w="143"/>
        <w:gridCol w:w="449"/>
      </w:tblGrid>
      <w:tr w:rsidR="00376768">
        <w:tc>
          <w:tcPr>
            <w:tcW w:w="4726" w:type="pct"/>
          </w:tcPr>
          <w:p w:rsidR="00376768" w:rsidRDefault="00376768">
            <w:pPr>
              <w:tabs>
                <w:tab w:val="left" w:leader="dot" w:pos="11520"/>
              </w:tabs>
              <w:ind w:left="173" w:hanging="173"/>
              <w:rPr>
                <w:rFonts w:ascii="Arial" w:hAnsi="Arial" w:cs="Arial"/>
                <w:sz w:val="19"/>
                <w:szCs w:val="20"/>
              </w:rPr>
            </w:pPr>
          </w:p>
        </w:tc>
        <w:tc>
          <w:tcPr>
            <w:tcW w:w="66" w:type="pct"/>
          </w:tcPr>
          <w:p w:rsidR="00376768" w:rsidRDefault="00376768">
            <w:pPr>
              <w:jc w:val="right"/>
              <w:rPr>
                <w:rFonts w:ascii="Arial" w:hAnsi="Arial" w:cs="Arial"/>
                <w:sz w:val="19"/>
                <w:szCs w:val="20"/>
              </w:rPr>
            </w:pPr>
          </w:p>
        </w:tc>
        <w:tc>
          <w:tcPr>
            <w:tcW w:w="208" w:type="pct"/>
            <w:vAlign w:val="bottom"/>
          </w:tcPr>
          <w:p w:rsidR="00376768" w:rsidRDefault="00376768">
            <w:pPr>
              <w:jc w:val="right"/>
              <w:rPr>
                <w:rFonts w:ascii="Arial" w:hAnsi="Arial" w:cs="Arial"/>
                <w:sz w:val="19"/>
                <w:szCs w:val="20"/>
              </w:rPr>
            </w:pPr>
          </w:p>
        </w:tc>
      </w:tr>
      <w:tr w:rsidR="00376768">
        <w:tc>
          <w:tcPr>
            <w:tcW w:w="4726" w:type="pct"/>
          </w:tcPr>
          <w:p w:rsidR="00376768" w:rsidRDefault="00EC2B72">
            <w:pPr>
              <w:tabs>
                <w:tab w:val="left" w:leader="dot" w:pos="11520"/>
              </w:tabs>
              <w:ind w:left="173" w:hanging="173"/>
              <w:rPr>
                <w:rFonts w:ascii="Arial" w:hAnsi="Arial" w:cs="Arial"/>
                <w:sz w:val="19"/>
                <w:szCs w:val="20"/>
              </w:rPr>
            </w:pPr>
            <w:r>
              <w:rPr>
                <w:rFonts w:ascii="Arial" w:hAnsi="Arial" w:cs="Arial"/>
                <w:sz w:val="19"/>
                <w:szCs w:val="20"/>
              </w:rPr>
              <w:t>GENERAL INFORMATION</w:t>
            </w:r>
            <w:r>
              <w:rPr>
                <w:rFonts w:ascii="Arial" w:hAnsi="Arial" w:cs="Arial"/>
                <w:spacing w:val="26"/>
                <w:sz w:val="19"/>
              </w:rPr>
              <w:tab/>
            </w:r>
          </w:p>
        </w:tc>
        <w:tc>
          <w:tcPr>
            <w:tcW w:w="66" w:type="pct"/>
          </w:tcPr>
          <w:p w:rsidR="00376768" w:rsidRDefault="00376768">
            <w:pPr>
              <w:jc w:val="right"/>
              <w:rPr>
                <w:rFonts w:ascii="Arial" w:hAnsi="Arial" w:cs="Arial"/>
                <w:sz w:val="19"/>
                <w:szCs w:val="20"/>
              </w:rPr>
            </w:pPr>
          </w:p>
        </w:tc>
        <w:tc>
          <w:tcPr>
            <w:tcW w:w="208" w:type="pct"/>
            <w:vAlign w:val="bottom"/>
          </w:tcPr>
          <w:p w:rsidR="00376768" w:rsidRDefault="00EC2B72">
            <w:pPr>
              <w:jc w:val="right"/>
              <w:rPr>
                <w:rFonts w:ascii="Arial" w:hAnsi="Arial" w:cs="Arial"/>
                <w:sz w:val="19"/>
                <w:szCs w:val="20"/>
              </w:rPr>
            </w:pPr>
            <w:r>
              <w:rPr>
                <w:rFonts w:ascii="Arial" w:hAnsi="Arial" w:cs="Arial"/>
                <w:sz w:val="19"/>
                <w:szCs w:val="20"/>
              </w:rPr>
              <w:fldChar w:fldCharType="begin"/>
            </w:r>
            <w:r>
              <w:rPr>
                <w:rFonts w:ascii="Arial" w:hAnsi="Arial" w:cs="Arial"/>
                <w:sz w:val="19"/>
                <w:szCs w:val="20"/>
              </w:rPr>
              <w:instrText xml:space="preserve"> PAGEREF a001_v1 \h </w:instrText>
            </w:r>
            <w:r>
              <w:rPr>
                <w:rFonts w:ascii="Arial" w:hAnsi="Arial" w:cs="Arial"/>
                <w:sz w:val="19"/>
                <w:szCs w:val="20"/>
              </w:rPr>
            </w:r>
            <w:r>
              <w:rPr>
                <w:rFonts w:ascii="Arial" w:hAnsi="Arial" w:cs="Arial"/>
                <w:sz w:val="19"/>
                <w:szCs w:val="20"/>
              </w:rPr>
              <w:fldChar w:fldCharType="separate"/>
            </w:r>
            <w:r w:rsidR="00D87BB8">
              <w:rPr>
                <w:rFonts w:ascii="Arial" w:hAnsi="Arial" w:cs="Arial"/>
                <w:noProof/>
                <w:sz w:val="19"/>
                <w:szCs w:val="20"/>
              </w:rPr>
              <w:t>1</w:t>
            </w:r>
            <w:r>
              <w:rPr>
                <w:rFonts w:ascii="Arial" w:hAnsi="Arial" w:cs="Arial"/>
                <w:sz w:val="19"/>
                <w:szCs w:val="20"/>
              </w:rPr>
              <w:fldChar w:fldCharType="end"/>
            </w:r>
          </w:p>
        </w:tc>
      </w:tr>
      <w:tr w:rsidR="00376768">
        <w:tc>
          <w:tcPr>
            <w:tcW w:w="4726" w:type="pct"/>
          </w:tcPr>
          <w:p w:rsidR="00376768" w:rsidRDefault="00EC2B72">
            <w:pPr>
              <w:tabs>
                <w:tab w:val="left" w:leader="dot" w:pos="11520"/>
              </w:tabs>
              <w:ind w:left="173" w:hanging="173"/>
              <w:rPr>
                <w:rFonts w:ascii="Arial" w:hAnsi="Arial" w:cs="Arial"/>
                <w:sz w:val="19"/>
                <w:szCs w:val="20"/>
              </w:rPr>
            </w:pPr>
            <w:r>
              <w:rPr>
                <w:rFonts w:ascii="Arial" w:hAnsi="Arial" w:cs="Arial"/>
                <w:sz w:val="19"/>
                <w:szCs w:val="20"/>
              </w:rPr>
              <w:t>PROPOSAL NO. 1 - ELECTION OF DIRECTORS</w:t>
            </w:r>
            <w:r>
              <w:rPr>
                <w:rFonts w:ascii="Arial" w:hAnsi="Arial" w:cs="Arial"/>
                <w:spacing w:val="26"/>
                <w:sz w:val="19"/>
              </w:rPr>
              <w:tab/>
            </w:r>
          </w:p>
        </w:tc>
        <w:tc>
          <w:tcPr>
            <w:tcW w:w="66" w:type="pct"/>
          </w:tcPr>
          <w:p w:rsidR="00376768" w:rsidRDefault="00376768">
            <w:pPr>
              <w:jc w:val="right"/>
              <w:rPr>
                <w:rFonts w:ascii="Arial" w:hAnsi="Arial" w:cs="Arial"/>
                <w:sz w:val="19"/>
                <w:szCs w:val="20"/>
              </w:rPr>
            </w:pPr>
          </w:p>
        </w:tc>
        <w:tc>
          <w:tcPr>
            <w:tcW w:w="208" w:type="pct"/>
            <w:vAlign w:val="bottom"/>
          </w:tcPr>
          <w:p w:rsidR="00376768" w:rsidRDefault="00EC2B72">
            <w:pPr>
              <w:jc w:val="right"/>
              <w:rPr>
                <w:rFonts w:ascii="Arial" w:hAnsi="Arial" w:cs="Arial"/>
                <w:sz w:val="19"/>
                <w:szCs w:val="20"/>
              </w:rPr>
            </w:pPr>
            <w:r>
              <w:rPr>
                <w:rFonts w:ascii="Arial" w:hAnsi="Arial" w:cs="Arial"/>
                <w:sz w:val="19"/>
                <w:szCs w:val="20"/>
              </w:rPr>
              <w:fldChar w:fldCharType="begin"/>
            </w:r>
            <w:r>
              <w:rPr>
                <w:rFonts w:ascii="Arial" w:hAnsi="Arial" w:cs="Arial"/>
                <w:sz w:val="19"/>
                <w:szCs w:val="20"/>
              </w:rPr>
              <w:instrText xml:space="preserve"> PAGEREF a002_v1 \h </w:instrText>
            </w:r>
            <w:r>
              <w:rPr>
                <w:rFonts w:ascii="Arial" w:hAnsi="Arial" w:cs="Arial"/>
                <w:sz w:val="19"/>
                <w:szCs w:val="20"/>
              </w:rPr>
            </w:r>
            <w:r>
              <w:rPr>
                <w:rFonts w:ascii="Arial" w:hAnsi="Arial" w:cs="Arial"/>
                <w:sz w:val="19"/>
                <w:szCs w:val="20"/>
              </w:rPr>
              <w:fldChar w:fldCharType="separate"/>
            </w:r>
            <w:r w:rsidR="00D87BB8">
              <w:rPr>
                <w:rFonts w:ascii="Arial" w:hAnsi="Arial" w:cs="Arial"/>
                <w:noProof/>
                <w:sz w:val="19"/>
                <w:szCs w:val="20"/>
              </w:rPr>
              <w:t>2</w:t>
            </w:r>
            <w:r>
              <w:rPr>
                <w:rFonts w:ascii="Arial" w:hAnsi="Arial" w:cs="Arial"/>
                <w:sz w:val="19"/>
                <w:szCs w:val="20"/>
              </w:rPr>
              <w:fldChar w:fldCharType="end"/>
            </w:r>
          </w:p>
        </w:tc>
      </w:tr>
      <w:tr w:rsidR="00376768">
        <w:tc>
          <w:tcPr>
            <w:tcW w:w="4726" w:type="pct"/>
          </w:tcPr>
          <w:p w:rsidR="00376768" w:rsidRDefault="00EC2B72">
            <w:pPr>
              <w:tabs>
                <w:tab w:val="left" w:leader="dot" w:pos="11520"/>
              </w:tabs>
              <w:ind w:left="173" w:hanging="173"/>
              <w:rPr>
                <w:rFonts w:ascii="Arial" w:hAnsi="Arial" w:cs="Arial"/>
                <w:sz w:val="19"/>
                <w:szCs w:val="20"/>
              </w:rPr>
            </w:pPr>
            <w:r>
              <w:rPr>
                <w:rFonts w:ascii="Arial" w:hAnsi="Arial" w:cs="Arial"/>
                <w:sz w:val="19"/>
                <w:szCs w:val="20"/>
              </w:rPr>
              <w:t>PROPOSAL NO. 2 - RATIFICATION OF APPOINTMENT OF INDEPENDENT REGISTERED PUBLIC ACCOUNTING FIRM</w:t>
            </w:r>
            <w:r>
              <w:rPr>
                <w:rFonts w:ascii="Arial" w:hAnsi="Arial" w:cs="Arial"/>
                <w:spacing w:val="26"/>
                <w:sz w:val="19"/>
              </w:rPr>
              <w:tab/>
            </w:r>
          </w:p>
        </w:tc>
        <w:tc>
          <w:tcPr>
            <w:tcW w:w="66" w:type="pct"/>
          </w:tcPr>
          <w:p w:rsidR="00376768" w:rsidRDefault="00376768">
            <w:pPr>
              <w:jc w:val="right"/>
              <w:rPr>
                <w:rFonts w:ascii="Arial" w:hAnsi="Arial" w:cs="Arial"/>
                <w:sz w:val="19"/>
                <w:szCs w:val="20"/>
              </w:rPr>
            </w:pPr>
          </w:p>
        </w:tc>
        <w:tc>
          <w:tcPr>
            <w:tcW w:w="208" w:type="pct"/>
            <w:vAlign w:val="bottom"/>
          </w:tcPr>
          <w:p w:rsidR="00376768" w:rsidRDefault="00EC2B72">
            <w:pPr>
              <w:jc w:val="right"/>
              <w:rPr>
                <w:rFonts w:ascii="Arial" w:hAnsi="Arial" w:cs="Arial"/>
                <w:sz w:val="19"/>
                <w:szCs w:val="20"/>
              </w:rPr>
            </w:pPr>
            <w:r>
              <w:rPr>
                <w:rFonts w:ascii="Arial" w:hAnsi="Arial" w:cs="Arial"/>
                <w:sz w:val="19"/>
                <w:szCs w:val="20"/>
              </w:rPr>
              <w:fldChar w:fldCharType="begin"/>
            </w:r>
            <w:r>
              <w:rPr>
                <w:rFonts w:ascii="Arial" w:hAnsi="Arial" w:cs="Arial"/>
                <w:sz w:val="19"/>
                <w:szCs w:val="20"/>
              </w:rPr>
              <w:instrText xml:space="preserve"> PAGEREF a003_v1 \h </w:instrText>
            </w:r>
            <w:r>
              <w:rPr>
                <w:rFonts w:ascii="Arial" w:hAnsi="Arial" w:cs="Arial"/>
                <w:sz w:val="19"/>
                <w:szCs w:val="20"/>
              </w:rPr>
            </w:r>
            <w:r>
              <w:rPr>
                <w:rFonts w:ascii="Arial" w:hAnsi="Arial" w:cs="Arial"/>
                <w:sz w:val="19"/>
                <w:szCs w:val="20"/>
              </w:rPr>
              <w:fldChar w:fldCharType="separate"/>
            </w:r>
            <w:r w:rsidR="00D87BB8">
              <w:rPr>
                <w:rFonts w:ascii="Arial" w:hAnsi="Arial" w:cs="Arial"/>
                <w:noProof/>
                <w:sz w:val="19"/>
                <w:szCs w:val="20"/>
              </w:rPr>
              <w:t>5</w:t>
            </w:r>
            <w:r>
              <w:rPr>
                <w:rFonts w:ascii="Arial" w:hAnsi="Arial" w:cs="Arial"/>
                <w:sz w:val="19"/>
                <w:szCs w:val="20"/>
              </w:rPr>
              <w:fldChar w:fldCharType="end"/>
            </w:r>
          </w:p>
        </w:tc>
      </w:tr>
      <w:tr w:rsidR="00376768">
        <w:tc>
          <w:tcPr>
            <w:tcW w:w="4726" w:type="pct"/>
          </w:tcPr>
          <w:p w:rsidR="00376768" w:rsidRDefault="00EC2B72">
            <w:pPr>
              <w:tabs>
                <w:tab w:val="left" w:leader="dot" w:pos="11520"/>
              </w:tabs>
              <w:ind w:left="173" w:hanging="173"/>
              <w:rPr>
                <w:rFonts w:ascii="Arial" w:hAnsi="Arial" w:cs="Arial"/>
                <w:sz w:val="19"/>
                <w:szCs w:val="20"/>
              </w:rPr>
            </w:pPr>
            <w:r>
              <w:rPr>
                <w:rFonts w:ascii="Arial" w:hAnsi="Arial" w:cs="Arial"/>
                <w:sz w:val="19"/>
                <w:szCs w:val="20"/>
              </w:rPr>
              <w:t>PROPOSAL NO. 3 - ADVISORY VOTE ON NAMED EXECUTIVE OFFICERS’ 2017 COMPENSATION</w:t>
            </w:r>
            <w:r>
              <w:rPr>
                <w:rFonts w:ascii="Arial" w:hAnsi="Arial" w:cs="Arial"/>
                <w:spacing w:val="26"/>
                <w:sz w:val="19"/>
              </w:rPr>
              <w:tab/>
            </w:r>
          </w:p>
        </w:tc>
        <w:tc>
          <w:tcPr>
            <w:tcW w:w="66" w:type="pct"/>
          </w:tcPr>
          <w:p w:rsidR="00376768" w:rsidRDefault="00376768">
            <w:pPr>
              <w:jc w:val="right"/>
              <w:rPr>
                <w:rFonts w:ascii="Arial" w:hAnsi="Arial" w:cs="Arial"/>
                <w:sz w:val="19"/>
                <w:szCs w:val="20"/>
              </w:rPr>
            </w:pPr>
          </w:p>
        </w:tc>
        <w:tc>
          <w:tcPr>
            <w:tcW w:w="208" w:type="pct"/>
            <w:vAlign w:val="bottom"/>
          </w:tcPr>
          <w:p w:rsidR="00376768" w:rsidRDefault="00EC2B72">
            <w:pPr>
              <w:jc w:val="right"/>
              <w:rPr>
                <w:rFonts w:ascii="Arial" w:hAnsi="Arial" w:cs="Arial"/>
                <w:sz w:val="19"/>
                <w:szCs w:val="20"/>
              </w:rPr>
            </w:pPr>
            <w:r>
              <w:rPr>
                <w:rFonts w:ascii="Arial" w:hAnsi="Arial" w:cs="Arial"/>
                <w:sz w:val="19"/>
                <w:szCs w:val="20"/>
              </w:rPr>
              <w:fldChar w:fldCharType="begin"/>
            </w:r>
            <w:r>
              <w:rPr>
                <w:rFonts w:ascii="Arial" w:hAnsi="Arial" w:cs="Arial"/>
                <w:sz w:val="19"/>
                <w:szCs w:val="20"/>
              </w:rPr>
              <w:instrText xml:space="preserve"> PAGEREF a004_v1 \h </w:instrText>
            </w:r>
            <w:r>
              <w:rPr>
                <w:rFonts w:ascii="Arial" w:hAnsi="Arial" w:cs="Arial"/>
                <w:sz w:val="19"/>
                <w:szCs w:val="20"/>
              </w:rPr>
            </w:r>
            <w:r>
              <w:rPr>
                <w:rFonts w:ascii="Arial" w:hAnsi="Arial" w:cs="Arial"/>
                <w:sz w:val="19"/>
                <w:szCs w:val="20"/>
              </w:rPr>
              <w:fldChar w:fldCharType="separate"/>
            </w:r>
            <w:r w:rsidR="00D87BB8">
              <w:rPr>
                <w:rFonts w:ascii="Arial" w:hAnsi="Arial" w:cs="Arial"/>
                <w:noProof/>
                <w:sz w:val="19"/>
                <w:szCs w:val="20"/>
              </w:rPr>
              <w:t>5</w:t>
            </w:r>
            <w:r>
              <w:rPr>
                <w:rFonts w:ascii="Arial" w:hAnsi="Arial" w:cs="Arial"/>
                <w:sz w:val="19"/>
                <w:szCs w:val="20"/>
              </w:rPr>
              <w:fldChar w:fldCharType="end"/>
            </w:r>
          </w:p>
        </w:tc>
      </w:tr>
      <w:tr w:rsidR="00376768">
        <w:tc>
          <w:tcPr>
            <w:tcW w:w="4726" w:type="pct"/>
          </w:tcPr>
          <w:p w:rsidR="00376768" w:rsidRDefault="00EC2B72">
            <w:pPr>
              <w:tabs>
                <w:tab w:val="left" w:leader="dot" w:pos="11520"/>
              </w:tabs>
              <w:ind w:left="173" w:hanging="173"/>
              <w:rPr>
                <w:rFonts w:ascii="Arial" w:hAnsi="Arial" w:cs="Arial"/>
                <w:sz w:val="19"/>
                <w:szCs w:val="20"/>
              </w:rPr>
            </w:pPr>
            <w:r>
              <w:rPr>
                <w:rFonts w:ascii="Arial" w:hAnsi="Arial" w:cs="Arial"/>
                <w:sz w:val="19"/>
                <w:szCs w:val="20"/>
              </w:rPr>
              <w:t xml:space="preserve">PROPOSAL NO. 4 - APPROVAL OF THE 2006 OMNIBUS INCENTIVE COMPENSATION PLAN </w:t>
            </w:r>
            <w:r>
              <w:rPr>
                <w:rFonts w:ascii="Arial" w:hAnsi="Arial" w:cs="Arial"/>
                <w:sz w:val="19"/>
                <w:szCs w:val="20"/>
              </w:rPr>
              <w:br/>
              <w:t>(as Amended and Restated)</w:t>
            </w:r>
            <w:r>
              <w:rPr>
                <w:rFonts w:ascii="Arial" w:hAnsi="Arial" w:cs="Arial"/>
                <w:spacing w:val="26"/>
                <w:sz w:val="19"/>
              </w:rPr>
              <w:t xml:space="preserve"> </w:t>
            </w:r>
            <w:r>
              <w:rPr>
                <w:rFonts w:ascii="Arial" w:hAnsi="Arial" w:cs="Arial"/>
                <w:spacing w:val="26"/>
                <w:sz w:val="19"/>
              </w:rPr>
              <w:tab/>
            </w:r>
          </w:p>
        </w:tc>
        <w:tc>
          <w:tcPr>
            <w:tcW w:w="66" w:type="pct"/>
          </w:tcPr>
          <w:p w:rsidR="00376768" w:rsidRDefault="00376768">
            <w:pPr>
              <w:jc w:val="right"/>
              <w:rPr>
                <w:rFonts w:ascii="Arial" w:hAnsi="Arial" w:cs="Arial"/>
                <w:sz w:val="19"/>
                <w:szCs w:val="20"/>
              </w:rPr>
            </w:pPr>
          </w:p>
        </w:tc>
        <w:tc>
          <w:tcPr>
            <w:tcW w:w="208" w:type="pct"/>
            <w:vAlign w:val="bottom"/>
          </w:tcPr>
          <w:p w:rsidR="00376768" w:rsidRDefault="00EC2B72">
            <w:pPr>
              <w:jc w:val="right"/>
              <w:rPr>
                <w:rFonts w:ascii="Arial" w:hAnsi="Arial" w:cs="Arial"/>
                <w:sz w:val="19"/>
                <w:szCs w:val="20"/>
              </w:rPr>
            </w:pPr>
            <w:r>
              <w:rPr>
                <w:rFonts w:ascii="Arial" w:hAnsi="Arial" w:cs="Arial"/>
                <w:sz w:val="19"/>
                <w:szCs w:val="20"/>
              </w:rPr>
              <w:fldChar w:fldCharType="begin"/>
            </w:r>
            <w:r>
              <w:rPr>
                <w:rFonts w:ascii="Arial" w:hAnsi="Arial" w:cs="Arial"/>
                <w:sz w:val="19"/>
                <w:szCs w:val="20"/>
              </w:rPr>
              <w:instrText xml:space="preserve"> PAGEREF a005_v1 \h </w:instrText>
            </w:r>
            <w:r>
              <w:rPr>
                <w:rFonts w:ascii="Arial" w:hAnsi="Arial" w:cs="Arial"/>
                <w:sz w:val="19"/>
                <w:szCs w:val="20"/>
              </w:rPr>
            </w:r>
            <w:r>
              <w:rPr>
                <w:rFonts w:ascii="Arial" w:hAnsi="Arial" w:cs="Arial"/>
                <w:sz w:val="19"/>
                <w:szCs w:val="20"/>
              </w:rPr>
              <w:fldChar w:fldCharType="separate"/>
            </w:r>
            <w:r w:rsidR="00D87BB8">
              <w:rPr>
                <w:rFonts w:ascii="Arial" w:hAnsi="Arial" w:cs="Arial"/>
                <w:noProof/>
                <w:sz w:val="19"/>
                <w:szCs w:val="20"/>
              </w:rPr>
              <w:t>5</w:t>
            </w:r>
            <w:r>
              <w:rPr>
                <w:rFonts w:ascii="Arial" w:hAnsi="Arial" w:cs="Arial"/>
                <w:sz w:val="19"/>
                <w:szCs w:val="20"/>
              </w:rPr>
              <w:fldChar w:fldCharType="end"/>
            </w:r>
          </w:p>
        </w:tc>
      </w:tr>
      <w:tr w:rsidR="00376768">
        <w:tc>
          <w:tcPr>
            <w:tcW w:w="4726" w:type="pct"/>
          </w:tcPr>
          <w:p w:rsidR="00376768" w:rsidRDefault="00EC2B72">
            <w:pPr>
              <w:tabs>
                <w:tab w:val="left" w:leader="dot" w:pos="11520"/>
              </w:tabs>
              <w:ind w:left="173" w:hanging="173"/>
              <w:rPr>
                <w:rFonts w:ascii="Arial" w:hAnsi="Arial" w:cs="Arial"/>
                <w:sz w:val="19"/>
                <w:szCs w:val="20"/>
              </w:rPr>
            </w:pPr>
            <w:r>
              <w:rPr>
                <w:rFonts w:ascii="Arial" w:hAnsi="Arial" w:cs="Arial"/>
                <w:sz w:val="19"/>
                <w:szCs w:val="20"/>
              </w:rPr>
              <w:t>STOCK OWNERSHIP</w:t>
            </w:r>
            <w:r>
              <w:rPr>
                <w:rFonts w:ascii="Arial" w:hAnsi="Arial" w:cs="Arial"/>
                <w:spacing w:val="26"/>
                <w:sz w:val="19"/>
              </w:rPr>
              <w:tab/>
            </w:r>
          </w:p>
        </w:tc>
        <w:tc>
          <w:tcPr>
            <w:tcW w:w="66" w:type="pct"/>
          </w:tcPr>
          <w:p w:rsidR="00376768" w:rsidRDefault="00376768">
            <w:pPr>
              <w:jc w:val="right"/>
              <w:rPr>
                <w:rFonts w:ascii="Arial" w:hAnsi="Arial" w:cs="Arial"/>
                <w:sz w:val="19"/>
                <w:szCs w:val="20"/>
              </w:rPr>
            </w:pPr>
          </w:p>
        </w:tc>
        <w:tc>
          <w:tcPr>
            <w:tcW w:w="208" w:type="pct"/>
            <w:vAlign w:val="bottom"/>
          </w:tcPr>
          <w:p w:rsidR="00376768" w:rsidRDefault="00EC2B72">
            <w:pPr>
              <w:jc w:val="right"/>
              <w:rPr>
                <w:rFonts w:ascii="Arial" w:hAnsi="Arial" w:cs="Arial"/>
                <w:sz w:val="19"/>
                <w:szCs w:val="20"/>
              </w:rPr>
            </w:pPr>
            <w:r>
              <w:rPr>
                <w:rFonts w:ascii="Arial" w:hAnsi="Arial" w:cs="Arial"/>
                <w:sz w:val="19"/>
                <w:szCs w:val="20"/>
              </w:rPr>
              <w:fldChar w:fldCharType="begin"/>
            </w:r>
            <w:r>
              <w:rPr>
                <w:rFonts w:ascii="Arial" w:hAnsi="Arial" w:cs="Arial"/>
                <w:sz w:val="19"/>
                <w:szCs w:val="20"/>
              </w:rPr>
              <w:instrText xml:space="preserve"> PAGEREF a006_v1 \h </w:instrText>
            </w:r>
            <w:r>
              <w:rPr>
                <w:rFonts w:ascii="Arial" w:hAnsi="Arial" w:cs="Arial"/>
                <w:sz w:val="19"/>
                <w:szCs w:val="20"/>
              </w:rPr>
            </w:r>
            <w:r>
              <w:rPr>
                <w:rFonts w:ascii="Arial" w:hAnsi="Arial" w:cs="Arial"/>
                <w:sz w:val="19"/>
                <w:szCs w:val="20"/>
              </w:rPr>
              <w:fldChar w:fldCharType="separate"/>
            </w:r>
            <w:r w:rsidR="00D87BB8">
              <w:rPr>
                <w:rFonts w:ascii="Arial" w:hAnsi="Arial" w:cs="Arial"/>
                <w:noProof/>
                <w:sz w:val="19"/>
                <w:szCs w:val="20"/>
              </w:rPr>
              <w:t>15</w:t>
            </w:r>
            <w:r>
              <w:rPr>
                <w:rFonts w:ascii="Arial" w:hAnsi="Arial" w:cs="Arial"/>
                <w:sz w:val="19"/>
                <w:szCs w:val="20"/>
              </w:rPr>
              <w:fldChar w:fldCharType="end"/>
            </w:r>
          </w:p>
        </w:tc>
      </w:tr>
      <w:tr w:rsidR="00376768">
        <w:tc>
          <w:tcPr>
            <w:tcW w:w="4726" w:type="pct"/>
          </w:tcPr>
          <w:p w:rsidR="00376768" w:rsidRDefault="00EC2B72">
            <w:pPr>
              <w:tabs>
                <w:tab w:val="left" w:leader="dot" w:pos="11520"/>
              </w:tabs>
              <w:ind w:left="173" w:hanging="173"/>
              <w:rPr>
                <w:rFonts w:ascii="Arial" w:hAnsi="Arial" w:cs="Arial"/>
                <w:sz w:val="19"/>
                <w:szCs w:val="20"/>
              </w:rPr>
            </w:pPr>
            <w:r>
              <w:rPr>
                <w:rFonts w:ascii="Arial" w:hAnsi="Arial" w:cs="Arial"/>
                <w:sz w:val="19"/>
                <w:szCs w:val="20"/>
              </w:rPr>
              <w:t>DIRECTOR COMPENSATION – 2017</w:t>
            </w:r>
            <w:r>
              <w:rPr>
                <w:rFonts w:ascii="Arial" w:hAnsi="Arial" w:cs="Arial"/>
                <w:spacing w:val="26"/>
                <w:sz w:val="19"/>
              </w:rPr>
              <w:tab/>
            </w:r>
          </w:p>
        </w:tc>
        <w:tc>
          <w:tcPr>
            <w:tcW w:w="66" w:type="pct"/>
          </w:tcPr>
          <w:p w:rsidR="00376768" w:rsidRDefault="00376768">
            <w:pPr>
              <w:jc w:val="right"/>
              <w:rPr>
                <w:rFonts w:ascii="Arial" w:hAnsi="Arial" w:cs="Arial"/>
                <w:sz w:val="19"/>
                <w:szCs w:val="20"/>
              </w:rPr>
            </w:pPr>
          </w:p>
        </w:tc>
        <w:tc>
          <w:tcPr>
            <w:tcW w:w="208" w:type="pct"/>
            <w:vAlign w:val="bottom"/>
          </w:tcPr>
          <w:p w:rsidR="00376768" w:rsidRDefault="00EC2B72">
            <w:pPr>
              <w:jc w:val="right"/>
              <w:rPr>
                <w:rFonts w:ascii="Arial" w:hAnsi="Arial" w:cs="Arial"/>
                <w:sz w:val="19"/>
                <w:szCs w:val="20"/>
              </w:rPr>
            </w:pPr>
            <w:r>
              <w:rPr>
                <w:rFonts w:ascii="Arial" w:hAnsi="Arial" w:cs="Arial"/>
                <w:sz w:val="19"/>
                <w:szCs w:val="20"/>
              </w:rPr>
              <w:fldChar w:fldCharType="begin"/>
            </w:r>
            <w:r>
              <w:rPr>
                <w:rFonts w:ascii="Arial" w:hAnsi="Arial" w:cs="Arial"/>
                <w:sz w:val="19"/>
                <w:szCs w:val="20"/>
              </w:rPr>
              <w:instrText xml:space="preserve"> PAGEREF a007_v1 \h </w:instrText>
            </w:r>
            <w:r>
              <w:rPr>
                <w:rFonts w:ascii="Arial" w:hAnsi="Arial" w:cs="Arial"/>
                <w:sz w:val="19"/>
                <w:szCs w:val="20"/>
              </w:rPr>
            </w:r>
            <w:r>
              <w:rPr>
                <w:rFonts w:ascii="Arial" w:hAnsi="Arial" w:cs="Arial"/>
                <w:sz w:val="19"/>
                <w:szCs w:val="20"/>
              </w:rPr>
              <w:fldChar w:fldCharType="separate"/>
            </w:r>
            <w:r w:rsidR="00D87BB8">
              <w:rPr>
                <w:rFonts w:ascii="Arial" w:hAnsi="Arial" w:cs="Arial"/>
                <w:noProof/>
                <w:sz w:val="19"/>
                <w:szCs w:val="20"/>
              </w:rPr>
              <w:t>17</w:t>
            </w:r>
            <w:r>
              <w:rPr>
                <w:rFonts w:ascii="Arial" w:hAnsi="Arial" w:cs="Arial"/>
                <w:sz w:val="19"/>
                <w:szCs w:val="20"/>
              </w:rPr>
              <w:fldChar w:fldCharType="end"/>
            </w:r>
          </w:p>
        </w:tc>
      </w:tr>
      <w:tr w:rsidR="00376768">
        <w:tc>
          <w:tcPr>
            <w:tcW w:w="4726" w:type="pct"/>
          </w:tcPr>
          <w:p w:rsidR="00376768" w:rsidRDefault="00EC2B72">
            <w:pPr>
              <w:tabs>
                <w:tab w:val="left" w:leader="dot" w:pos="11520"/>
              </w:tabs>
              <w:ind w:left="173" w:hanging="173"/>
              <w:rPr>
                <w:rFonts w:ascii="Arial" w:hAnsi="Arial" w:cs="Arial"/>
                <w:sz w:val="19"/>
                <w:szCs w:val="20"/>
              </w:rPr>
            </w:pPr>
            <w:r>
              <w:rPr>
                <w:rFonts w:ascii="Arial" w:hAnsi="Arial" w:cs="Arial"/>
                <w:sz w:val="19"/>
                <w:szCs w:val="20"/>
              </w:rPr>
              <w:t>INDEPENDENT REGISTERED PUBLIC ACCOUNTING FIRM FEES</w:t>
            </w:r>
            <w:r>
              <w:rPr>
                <w:rFonts w:ascii="Arial" w:hAnsi="Arial" w:cs="Arial"/>
                <w:spacing w:val="26"/>
                <w:sz w:val="19"/>
              </w:rPr>
              <w:tab/>
            </w:r>
          </w:p>
        </w:tc>
        <w:tc>
          <w:tcPr>
            <w:tcW w:w="66" w:type="pct"/>
          </w:tcPr>
          <w:p w:rsidR="00376768" w:rsidRDefault="00376768">
            <w:pPr>
              <w:jc w:val="right"/>
              <w:rPr>
                <w:rFonts w:ascii="Arial" w:hAnsi="Arial" w:cs="Arial"/>
                <w:sz w:val="19"/>
                <w:szCs w:val="20"/>
              </w:rPr>
            </w:pPr>
          </w:p>
        </w:tc>
        <w:tc>
          <w:tcPr>
            <w:tcW w:w="208" w:type="pct"/>
            <w:vAlign w:val="bottom"/>
          </w:tcPr>
          <w:p w:rsidR="00376768" w:rsidRDefault="00EC2B72">
            <w:pPr>
              <w:jc w:val="right"/>
              <w:rPr>
                <w:rFonts w:ascii="Arial" w:hAnsi="Arial" w:cs="Arial"/>
                <w:sz w:val="19"/>
                <w:szCs w:val="20"/>
              </w:rPr>
            </w:pPr>
            <w:r>
              <w:rPr>
                <w:rFonts w:ascii="Arial" w:hAnsi="Arial" w:cs="Arial"/>
                <w:sz w:val="19"/>
                <w:szCs w:val="20"/>
              </w:rPr>
              <w:fldChar w:fldCharType="begin"/>
            </w:r>
            <w:r>
              <w:rPr>
                <w:rFonts w:ascii="Arial" w:hAnsi="Arial" w:cs="Arial"/>
                <w:sz w:val="19"/>
                <w:szCs w:val="20"/>
              </w:rPr>
              <w:instrText xml:space="preserve"> PAGEREF a008_v1 \h </w:instrText>
            </w:r>
            <w:r>
              <w:rPr>
                <w:rFonts w:ascii="Arial" w:hAnsi="Arial" w:cs="Arial"/>
                <w:sz w:val="19"/>
                <w:szCs w:val="20"/>
              </w:rPr>
            </w:r>
            <w:r>
              <w:rPr>
                <w:rFonts w:ascii="Arial" w:hAnsi="Arial" w:cs="Arial"/>
                <w:sz w:val="19"/>
                <w:szCs w:val="20"/>
              </w:rPr>
              <w:fldChar w:fldCharType="separate"/>
            </w:r>
            <w:r w:rsidR="00D87BB8">
              <w:rPr>
                <w:rFonts w:ascii="Arial" w:hAnsi="Arial" w:cs="Arial"/>
                <w:noProof/>
                <w:sz w:val="19"/>
                <w:szCs w:val="20"/>
              </w:rPr>
              <w:t>18</w:t>
            </w:r>
            <w:r>
              <w:rPr>
                <w:rFonts w:ascii="Arial" w:hAnsi="Arial" w:cs="Arial"/>
                <w:sz w:val="19"/>
                <w:szCs w:val="20"/>
              </w:rPr>
              <w:fldChar w:fldCharType="end"/>
            </w:r>
          </w:p>
        </w:tc>
      </w:tr>
      <w:tr w:rsidR="00376768">
        <w:tc>
          <w:tcPr>
            <w:tcW w:w="4726" w:type="pct"/>
          </w:tcPr>
          <w:p w:rsidR="00376768" w:rsidRDefault="00EC2B72">
            <w:pPr>
              <w:tabs>
                <w:tab w:val="left" w:leader="dot" w:pos="11520"/>
              </w:tabs>
              <w:ind w:left="346" w:hanging="173"/>
              <w:rPr>
                <w:rFonts w:ascii="Arial" w:hAnsi="Arial" w:cs="Arial"/>
                <w:sz w:val="19"/>
                <w:szCs w:val="20"/>
              </w:rPr>
            </w:pPr>
            <w:r>
              <w:rPr>
                <w:rFonts w:ascii="Arial" w:hAnsi="Arial" w:cs="Arial"/>
                <w:sz w:val="19"/>
                <w:szCs w:val="20"/>
              </w:rPr>
              <w:t>Policy for Approval of Audit and Permitted Non-Audit Services</w:t>
            </w:r>
            <w:r>
              <w:rPr>
                <w:rFonts w:ascii="Arial" w:hAnsi="Arial" w:cs="Arial"/>
                <w:spacing w:val="26"/>
                <w:sz w:val="19"/>
              </w:rPr>
              <w:tab/>
            </w:r>
          </w:p>
        </w:tc>
        <w:tc>
          <w:tcPr>
            <w:tcW w:w="66" w:type="pct"/>
          </w:tcPr>
          <w:p w:rsidR="00376768" w:rsidRDefault="00376768">
            <w:pPr>
              <w:jc w:val="right"/>
              <w:rPr>
                <w:rFonts w:ascii="Arial" w:hAnsi="Arial" w:cs="Arial"/>
                <w:sz w:val="19"/>
                <w:szCs w:val="20"/>
              </w:rPr>
            </w:pPr>
          </w:p>
        </w:tc>
        <w:tc>
          <w:tcPr>
            <w:tcW w:w="208" w:type="pct"/>
            <w:vAlign w:val="bottom"/>
          </w:tcPr>
          <w:p w:rsidR="00376768" w:rsidRDefault="00EC2B72">
            <w:pPr>
              <w:jc w:val="right"/>
              <w:rPr>
                <w:rFonts w:ascii="Arial" w:hAnsi="Arial" w:cs="Arial"/>
                <w:sz w:val="19"/>
                <w:szCs w:val="20"/>
              </w:rPr>
            </w:pPr>
            <w:r>
              <w:rPr>
                <w:rFonts w:ascii="Arial" w:hAnsi="Arial" w:cs="Arial"/>
                <w:sz w:val="19"/>
                <w:szCs w:val="20"/>
              </w:rPr>
              <w:fldChar w:fldCharType="begin"/>
            </w:r>
            <w:r>
              <w:rPr>
                <w:rFonts w:ascii="Arial" w:hAnsi="Arial" w:cs="Arial"/>
                <w:sz w:val="19"/>
                <w:szCs w:val="20"/>
              </w:rPr>
              <w:instrText xml:space="preserve"> PAGEREF a009_v1 \h </w:instrText>
            </w:r>
            <w:r>
              <w:rPr>
                <w:rFonts w:ascii="Arial" w:hAnsi="Arial" w:cs="Arial"/>
                <w:sz w:val="19"/>
                <w:szCs w:val="20"/>
              </w:rPr>
            </w:r>
            <w:r>
              <w:rPr>
                <w:rFonts w:ascii="Arial" w:hAnsi="Arial" w:cs="Arial"/>
                <w:sz w:val="19"/>
                <w:szCs w:val="20"/>
              </w:rPr>
              <w:fldChar w:fldCharType="separate"/>
            </w:r>
            <w:r w:rsidR="00D87BB8">
              <w:rPr>
                <w:rFonts w:ascii="Arial" w:hAnsi="Arial" w:cs="Arial"/>
                <w:noProof/>
                <w:sz w:val="19"/>
                <w:szCs w:val="20"/>
              </w:rPr>
              <w:t>18</w:t>
            </w:r>
            <w:r>
              <w:rPr>
                <w:rFonts w:ascii="Arial" w:hAnsi="Arial" w:cs="Arial"/>
                <w:sz w:val="19"/>
                <w:szCs w:val="20"/>
              </w:rPr>
              <w:fldChar w:fldCharType="end"/>
            </w:r>
          </w:p>
        </w:tc>
      </w:tr>
      <w:tr w:rsidR="00376768">
        <w:tc>
          <w:tcPr>
            <w:tcW w:w="4726" w:type="pct"/>
          </w:tcPr>
          <w:p w:rsidR="00376768" w:rsidRDefault="00EC2B72">
            <w:pPr>
              <w:tabs>
                <w:tab w:val="left" w:leader="dot" w:pos="11520"/>
              </w:tabs>
              <w:ind w:left="173" w:hanging="173"/>
              <w:rPr>
                <w:rFonts w:ascii="Arial" w:hAnsi="Arial" w:cs="Arial"/>
                <w:sz w:val="19"/>
                <w:szCs w:val="20"/>
              </w:rPr>
            </w:pPr>
            <w:r>
              <w:rPr>
                <w:rFonts w:ascii="Arial" w:hAnsi="Arial" w:cs="Arial"/>
                <w:sz w:val="19"/>
                <w:szCs w:val="20"/>
              </w:rPr>
              <w:t>CORPORATE GOVERNANCE</w:t>
            </w:r>
            <w:r>
              <w:rPr>
                <w:rFonts w:ascii="Arial" w:hAnsi="Arial" w:cs="Arial"/>
                <w:spacing w:val="26"/>
                <w:sz w:val="19"/>
              </w:rPr>
              <w:tab/>
            </w:r>
          </w:p>
        </w:tc>
        <w:tc>
          <w:tcPr>
            <w:tcW w:w="66" w:type="pct"/>
          </w:tcPr>
          <w:p w:rsidR="00376768" w:rsidRDefault="00376768">
            <w:pPr>
              <w:jc w:val="right"/>
              <w:rPr>
                <w:rFonts w:ascii="Arial" w:hAnsi="Arial" w:cs="Arial"/>
                <w:sz w:val="19"/>
                <w:szCs w:val="20"/>
              </w:rPr>
            </w:pPr>
          </w:p>
        </w:tc>
        <w:tc>
          <w:tcPr>
            <w:tcW w:w="208" w:type="pct"/>
            <w:vAlign w:val="bottom"/>
          </w:tcPr>
          <w:p w:rsidR="00376768" w:rsidRDefault="00EC2B72">
            <w:pPr>
              <w:jc w:val="right"/>
              <w:rPr>
                <w:rFonts w:ascii="Arial" w:hAnsi="Arial" w:cs="Arial"/>
                <w:sz w:val="19"/>
                <w:szCs w:val="20"/>
              </w:rPr>
            </w:pPr>
            <w:r>
              <w:rPr>
                <w:rFonts w:ascii="Arial" w:hAnsi="Arial" w:cs="Arial"/>
                <w:sz w:val="19"/>
                <w:szCs w:val="20"/>
              </w:rPr>
              <w:fldChar w:fldCharType="begin"/>
            </w:r>
            <w:r>
              <w:rPr>
                <w:rFonts w:ascii="Arial" w:hAnsi="Arial" w:cs="Arial"/>
                <w:sz w:val="19"/>
                <w:szCs w:val="20"/>
              </w:rPr>
              <w:instrText xml:space="preserve"> PAGEREF a010_v1 \h </w:instrText>
            </w:r>
            <w:r>
              <w:rPr>
                <w:rFonts w:ascii="Arial" w:hAnsi="Arial" w:cs="Arial"/>
                <w:sz w:val="19"/>
                <w:szCs w:val="20"/>
              </w:rPr>
            </w:r>
            <w:r>
              <w:rPr>
                <w:rFonts w:ascii="Arial" w:hAnsi="Arial" w:cs="Arial"/>
                <w:sz w:val="19"/>
                <w:szCs w:val="20"/>
              </w:rPr>
              <w:fldChar w:fldCharType="separate"/>
            </w:r>
            <w:r w:rsidR="00D87BB8">
              <w:rPr>
                <w:rFonts w:ascii="Arial" w:hAnsi="Arial" w:cs="Arial"/>
                <w:noProof/>
                <w:sz w:val="19"/>
                <w:szCs w:val="20"/>
              </w:rPr>
              <w:t>19</w:t>
            </w:r>
            <w:r>
              <w:rPr>
                <w:rFonts w:ascii="Arial" w:hAnsi="Arial" w:cs="Arial"/>
                <w:sz w:val="19"/>
                <w:szCs w:val="20"/>
              </w:rPr>
              <w:fldChar w:fldCharType="end"/>
            </w:r>
          </w:p>
        </w:tc>
      </w:tr>
      <w:tr w:rsidR="00376768">
        <w:tc>
          <w:tcPr>
            <w:tcW w:w="4726" w:type="pct"/>
          </w:tcPr>
          <w:p w:rsidR="00376768" w:rsidRDefault="00EC2B72">
            <w:pPr>
              <w:tabs>
                <w:tab w:val="left" w:leader="dot" w:pos="11520"/>
              </w:tabs>
              <w:ind w:left="346" w:hanging="173"/>
              <w:rPr>
                <w:rFonts w:ascii="Arial" w:hAnsi="Arial" w:cs="Arial"/>
                <w:sz w:val="19"/>
                <w:szCs w:val="20"/>
              </w:rPr>
            </w:pPr>
            <w:r>
              <w:rPr>
                <w:rFonts w:ascii="Arial" w:hAnsi="Arial" w:cs="Arial"/>
                <w:sz w:val="19"/>
                <w:szCs w:val="20"/>
              </w:rPr>
              <w:t>The Board, Board Meetings, Independence, and Tenure</w:t>
            </w:r>
            <w:r>
              <w:rPr>
                <w:rFonts w:ascii="Arial" w:hAnsi="Arial" w:cs="Arial"/>
                <w:spacing w:val="26"/>
                <w:sz w:val="19"/>
              </w:rPr>
              <w:tab/>
            </w:r>
          </w:p>
        </w:tc>
        <w:tc>
          <w:tcPr>
            <w:tcW w:w="66" w:type="pct"/>
          </w:tcPr>
          <w:p w:rsidR="00376768" w:rsidRDefault="00376768">
            <w:pPr>
              <w:jc w:val="right"/>
              <w:rPr>
                <w:rFonts w:ascii="Arial" w:hAnsi="Arial" w:cs="Arial"/>
                <w:sz w:val="19"/>
                <w:szCs w:val="20"/>
              </w:rPr>
            </w:pPr>
          </w:p>
        </w:tc>
        <w:tc>
          <w:tcPr>
            <w:tcW w:w="208" w:type="pct"/>
            <w:vAlign w:val="bottom"/>
          </w:tcPr>
          <w:p w:rsidR="00376768" w:rsidRDefault="00EC2B72">
            <w:pPr>
              <w:jc w:val="right"/>
              <w:rPr>
                <w:rFonts w:ascii="Arial" w:hAnsi="Arial" w:cs="Arial"/>
                <w:sz w:val="19"/>
                <w:szCs w:val="20"/>
              </w:rPr>
            </w:pPr>
            <w:r>
              <w:rPr>
                <w:rFonts w:ascii="Arial" w:hAnsi="Arial" w:cs="Arial"/>
                <w:sz w:val="19"/>
                <w:szCs w:val="20"/>
              </w:rPr>
              <w:fldChar w:fldCharType="begin"/>
            </w:r>
            <w:r>
              <w:rPr>
                <w:rFonts w:ascii="Arial" w:hAnsi="Arial" w:cs="Arial"/>
                <w:sz w:val="19"/>
                <w:szCs w:val="20"/>
              </w:rPr>
              <w:instrText xml:space="preserve"> PAGEREF a011_v1 \h </w:instrText>
            </w:r>
            <w:r>
              <w:rPr>
                <w:rFonts w:ascii="Arial" w:hAnsi="Arial" w:cs="Arial"/>
                <w:sz w:val="19"/>
                <w:szCs w:val="20"/>
              </w:rPr>
            </w:r>
            <w:r>
              <w:rPr>
                <w:rFonts w:ascii="Arial" w:hAnsi="Arial" w:cs="Arial"/>
                <w:sz w:val="19"/>
                <w:szCs w:val="20"/>
              </w:rPr>
              <w:fldChar w:fldCharType="separate"/>
            </w:r>
            <w:r w:rsidR="00D87BB8">
              <w:rPr>
                <w:rFonts w:ascii="Arial" w:hAnsi="Arial" w:cs="Arial"/>
                <w:noProof/>
                <w:sz w:val="19"/>
                <w:szCs w:val="20"/>
              </w:rPr>
              <w:t>19</w:t>
            </w:r>
            <w:r>
              <w:rPr>
                <w:rFonts w:ascii="Arial" w:hAnsi="Arial" w:cs="Arial"/>
                <w:sz w:val="19"/>
                <w:szCs w:val="20"/>
              </w:rPr>
              <w:fldChar w:fldCharType="end"/>
            </w:r>
          </w:p>
        </w:tc>
      </w:tr>
      <w:tr w:rsidR="00376768">
        <w:tc>
          <w:tcPr>
            <w:tcW w:w="4726" w:type="pct"/>
          </w:tcPr>
          <w:p w:rsidR="00376768" w:rsidRDefault="00EC2B72">
            <w:pPr>
              <w:tabs>
                <w:tab w:val="left" w:leader="dot" w:pos="11520"/>
              </w:tabs>
              <w:ind w:left="346" w:hanging="173"/>
              <w:rPr>
                <w:rFonts w:ascii="Arial" w:hAnsi="Arial" w:cs="Arial"/>
                <w:sz w:val="19"/>
                <w:szCs w:val="20"/>
              </w:rPr>
            </w:pPr>
            <w:r>
              <w:rPr>
                <w:rFonts w:ascii="Arial" w:hAnsi="Arial" w:cs="Arial"/>
                <w:sz w:val="19"/>
                <w:szCs w:val="20"/>
              </w:rPr>
              <w:t>Board Leadership Structure</w:t>
            </w:r>
            <w:r>
              <w:rPr>
                <w:rFonts w:ascii="Arial" w:hAnsi="Arial" w:cs="Arial"/>
                <w:spacing w:val="26"/>
                <w:sz w:val="19"/>
              </w:rPr>
              <w:tab/>
            </w:r>
          </w:p>
        </w:tc>
        <w:tc>
          <w:tcPr>
            <w:tcW w:w="66" w:type="pct"/>
          </w:tcPr>
          <w:p w:rsidR="00376768" w:rsidRDefault="00376768">
            <w:pPr>
              <w:jc w:val="right"/>
              <w:rPr>
                <w:rFonts w:ascii="Arial" w:hAnsi="Arial" w:cs="Arial"/>
                <w:sz w:val="19"/>
                <w:szCs w:val="20"/>
              </w:rPr>
            </w:pPr>
          </w:p>
        </w:tc>
        <w:tc>
          <w:tcPr>
            <w:tcW w:w="208" w:type="pct"/>
            <w:vAlign w:val="bottom"/>
          </w:tcPr>
          <w:p w:rsidR="00376768" w:rsidRDefault="00EC2B72">
            <w:pPr>
              <w:jc w:val="right"/>
              <w:rPr>
                <w:rFonts w:ascii="Arial" w:hAnsi="Arial" w:cs="Arial"/>
                <w:sz w:val="19"/>
                <w:szCs w:val="20"/>
              </w:rPr>
            </w:pPr>
            <w:r>
              <w:rPr>
                <w:rFonts w:ascii="Arial" w:hAnsi="Arial" w:cs="Arial"/>
                <w:sz w:val="19"/>
                <w:szCs w:val="20"/>
              </w:rPr>
              <w:fldChar w:fldCharType="begin"/>
            </w:r>
            <w:r>
              <w:rPr>
                <w:rFonts w:ascii="Arial" w:hAnsi="Arial" w:cs="Arial"/>
                <w:sz w:val="19"/>
                <w:szCs w:val="20"/>
              </w:rPr>
              <w:instrText xml:space="preserve"> PAGEREF a012_v1 \h </w:instrText>
            </w:r>
            <w:r>
              <w:rPr>
                <w:rFonts w:ascii="Arial" w:hAnsi="Arial" w:cs="Arial"/>
                <w:sz w:val="19"/>
                <w:szCs w:val="20"/>
              </w:rPr>
            </w:r>
            <w:r>
              <w:rPr>
                <w:rFonts w:ascii="Arial" w:hAnsi="Arial" w:cs="Arial"/>
                <w:sz w:val="19"/>
                <w:szCs w:val="20"/>
              </w:rPr>
              <w:fldChar w:fldCharType="separate"/>
            </w:r>
            <w:r w:rsidR="00D87BB8">
              <w:rPr>
                <w:rFonts w:ascii="Arial" w:hAnsi="Arial" w:cs="Arial"/>
                <w:noProof/>
                <w:sz w:val="19"/>
                <w:szCs w:val="20"/>
              </w:rPr>
              <w:t>19</w:t>
            </w:r>
            <w:r>
              <w:rPr>
                <w:rFonts w:ascii="Arial" w:hAnsi="Arial" w:cs="Arial"/>
                <w:sz w:val="19"/>
                <w:szCs w:val="20"/>
              </w:rPr>
              <w:fldChar w:fldCharType="end"/>
            </w:r>
          </w:p>
        </w:tc>
      </w:tr>
      <w:tr w:rsidR="00376768">
        <w:tc>
          <w:tcPr>
            <w:tcW w:w="4726" w:type="pct"/>
          </w:tcPr>
          <w:p w:rsidR="00376768" w:rsidRDefault="00EC2B72">
            <w:pPr>
              <w:tabs>
                <w:tab w:val="left" w:leader="dot" w:pos="11520"/>
              </w:tabs>
              <w:ind w:left="346" w:hanging="173"/>
              <w:rPr>
                <w:rFonts w:ascii="Arial" w:hAnsi="Arial" w:cs="Arial"/>
                <w:sz w:val="19"/>
                <w:szCs w:val="20"/>
              </w:rPr>
            </w:pPr>
            <w:r>
              <w:rPr>
                <w:rFonts w:ascii="Arial" w:hAnsi="Arial" w:cs="Arial"/>
                <w:sz w:val="19"/>
                <w:szCs w:val="20"/>
              </w:rPr>
              <w:t>Board Attendance</w:t>
            </w:r>
            <w:r>
              <w:rPr>
                <w:rFonts w:ascii="Arial" w:hAnsi="Arial" w:cs="Arial"/>
                <w:spacing w:val="26"/>
                <w:sz w:val="19"/>
              </w:rPr>
              <w:tab/>
            </w:r>
          </w:p>
        </w:tc>
        <w:tc>
          <w:tcPr>
            <w:tcW w:w="66" w:type="pct"/>
          </w:tcPr>
          <w:p w:rsidR="00376768" w:rsidRDefault="00376768">
            <w:pPr>
              <w:jc w:val="right"/>
              <w:rPr>
                <w:rFonts w:ascii="Arial" w:hAnsi="Arial" w:cs="Arial"/>
                <w:sz w:val="19"/>
                <w:szCs w:val="20"/>
              </w:rPr>
            </w:pPr>
          </w:p>
        </w:tc>
        <w:tc>
          <w:tcPr>
            <w:tcW w:w="208" w:type="pct"/>
            <w:vAlign w:val="bottom"/>
          </w:tcPr>
          <w:p w:rsidR="00376768" w:rsidRDefault="00EC2B72">
            <w:pPr>
              <w:jc w:val="right"/>
              <w:rPr>
                <w:rFonts w:ascii="Arial" w:hAnsi="Arial" w:cs="Arial"/>
                <w:sz w:val="19"/>
                <w:szCs w:val="20"/>
              </w:rPr>
            </w:pPr>
            <w:r>
              <w:rPr>
                <w:rFonts w:ascii="Arial" w:hAnsi="Arial" w:cs="Arial"/>
                <w:sz w:val="19"/>
                <w:szCs w:val="20"/>
              </w:rPr>
              <w:fldChar w:fldCharType="begin"/>
            </w:r>
            <w:r>
              <w:rPr>
                <w:rFonts w:ascii="Arial" w:hAnsi="Arial" w:cs="Arial"/>
                <w:sz w:val="19"/>
                <w:szCs w:val="20"/>
              </w:rPr>
              <w:instrText xml:space="preserve"> PAGEREF a013_v1 \h </w:instrText>
            </w:r>
            <w:r>
              <w:rPr>
                <w:rFonts w:ascii="Arial" w:hAnsi="Arial" w:cs="Arial"/>
                <w:sz w:val="19"/>
                <w:szCs w:val="20"/>
              </w:rPr>
            </w:r>
            <w:r>
              <w:rPr>
                <w:rFonts w:ascii="Arial" w:hAnsi="Arial" w:cs="Arial"/>
                <w:sz w:val="19"/>
                <w:szCs w:val="20"/>
              </w:rPr>
              <w:fldChar w:fldCharType="separate"/>
            </w:r>
            <w:r w:rsidR="00D87BB8">
              <w:rPr>
                <w:rFonts w:ascii="Arial" w:hAnsi="Arial" w:cs="Arial"/>
                <w:noProof/>
                <w:sz w:val="19"/>
                <w:szCs w:val="20"/>
              </w:rPr>
              <w:t>19</w:t>
            </w:r>
            <w:r>
              <w:rPr>
                <w:rFonts w:ascii="Arial" w:hAnsi="Arial" w:cs="Arial"/>
                <w:sz w:val="19"/>
                <w:szCs w:val="20"/>
              </w:rPr>
              <w:fldChar w:fldCharType="end"/>
            </w:r>
          </w:p>
        </w:tc>
      </w:tr>
      <w:tr w:rsidR="00376768">
        <w:tc>
          <w:tcPr>
            <w:tcW w:w="4726" w:type="pct"/>
          </w:tcPr>
          <w:p w:rsidR="00376768" w:rsidRDefault="00EC2B72">
            <w:pPr>
              <w:tabs>
                <w:tab w:val="left" w:leader="dot" w:pos="11520"/>
              </w:tabs>
              <w:ind w:left="346" w:hanging="173"/>
              <w:rPr>
                <w:rFonts w:ascii="Arial" w:hAnsi="Arial" w:cs="Arial"/>
                <w:sz w:val="19"/>
                <w:szCs w:val="20"/>
              </w:rPr>
            </w:pPr>
            <w:r>
              <w:rPr>
                <w:rFonts w:ascii="Arial" w:hAnsi="Arial" w:cs="Arial"/>
                <w:sz w:val="19"/>
                <w:szCs w:val="20"/>
              </w:rPr>
              <w:t>Board’s Role in Risk Oversight</w:t>
            </w:r>
            <w:r>
              <w:rPr>
                <w:rFonts w:ascii="Arial" w:hAnsi="Arial" w:cs="Arial"/>
                <w:spacing w:val="26"/>
                <w:sz w:val="19"/>
              </w:rPr>
              <w:tab/>
            </w:r>
          </w:p>
        </w:tc>
        <w:tc>
          <w:tcPr>
            <w:tcW w:w="66" w:type="pct"/>
          </w:tcPr>
          <w:p w:rsidR="00376768" w:rsidRDefault="00376768">
            <w:pPr>
              <w:jc w:val="right"/>
              <w:rPr>
                <w:rFonts w:ascii="Arial" w:hAnsi="Arial" w:cs="Arial"/>
                <w:sz w:val="19"/>
                <w:szCs w:val="20"/>
              </w:rPr>
            </w:pPr>
          </w:p>
        </w:tc>
        <w:tc>
          <w:tcPr>
            <w:tcW w:w="208" w:type="pct"/>
            <w:vAlign w:val="bottom"/>
          </w:tcPr>
          <w:p w:rsidR="00376768" w:rsidRDefault="00EC2B72">
            <w:pPr>
              <w:jc w:val="right"/>
              <w:rPr>
                <w:rFonts w:ascii="Arial" w:hAnsi="Arial" w:cs="Arial"/>
                <w:sz w:val="19"/>
                <w:szCs w:val="20"/>
              </w:rPr>
            </w:pPr>
            <w:r>
              <w:rPr>
                <w:rFonts w:ascii="Arial" w:hAnsi="Arial" w:cs="Arial"/>
                <w:sz w:val="19"/>
                <w:szCs w:val="20"/>
              </w:rPr>
              <w:fldChar w:fldCharType="begin"/>
            </w:r>
            <w:r>
              <w:rPr>
                <w:rFonts w:ascii="Arial" w:hAnsi="Arial" w:cs="Arial"/>
                <w:sz w:val="19"/>
                <w:szCs w:val="20"/>
              </w:rPr>
              <w:instrText xml:space="preserve"> PAGEREF a014_v1 \h </w:instrText>
            </w:r>
            <w:r>
              <w:rPr>
                <w:rFonts w:ascii="Arial" w:hAnsi="Arial" w:cs="Arial"/>
                <w:sz w:val="19"/>
                <w:szCs w:val="20"/>
              </w:rPr>
            </w:r>
            <w:r>
              <w:rPr>
                <w:rFonts w:ascii="Arial" w:hAnsi="Arial" w:cs="Arial"/>
                <w:sz w:val="19"/>
                <w:szCs w:val="20"/>
              </w:rPr>
              <w:fldChar w:fldCharType="separate"/>
            </w:r>
            <w:r w:rsidR="00D87BB8">
              <w:rPr>
                <w:rFonts w:ascii="Arial" w:hAnsi="Arial" w:cs="Arial"/>
                <w:noProof/>
                <w:sz w:val="19"/>
                <w:szCs w:val="20"/>
              </w:rPr>
              <w:t>19</w:t>
            </w:r>
            <w:r>
              <w:rPr>
                <w:rFonts w:ascii="Arial" w:hAnsi="Arial" w:cs="Arial"/>
                <w:sz w:val="19"/>
                <w:szCs w:val="20"/>
              </w:rPr>
              <w:fldChar w:fldCharType="end"/>
            </w:r>
          </w:p>
        </w:tc>
      </w:tr>
      <w:tr w:rsidR="00376768">
        <w:tc>
          <w:tcPr>
            <w:tcW w:w="4726" w:type="pct"/>
          </w:tcPr>
          <w:p w:rsidR="00376768" w:rsidRDefault="00EC2B72">
            <w:pPr>
              <w:tabs>
                <w:tab w:val="left" w:leader="dot" w:pos="11520"/>
              </w:tabs>
              <w:ind w:left="346" w:hanging="173"/>
              <w:rPr>
                <w:rFonts w:ascii="Arial" w:hAnsi="Arial" w:cs="Arial"/>
                <w:sz w:val="19"/>
                <w:szCs w:val="20"/>
              </w:rPr>
            </w:pPr>
            <w:r>
              <w:rPr>
                <w:rFonts w:ascii="Arial" w:hAnsi="Arial" w:cs="Arial"/>
                <w:sz w:val="19"/>
                <w:szCs w:val="20"/>
              </w:rPr>
              <w:t>Diversity</w:t>
            </w:r>
            <w:r>
              <w:rPr>
                <w:rFonts w:ascii="Arial" w:hAnsi="Arial" w:cs="Arial"/>
                <w:spacing w:val="26"/>
                <w:sz w:val="19"/>
              </w:rPr>
              <w:tab/>
            </w:r>
          </w:p>
        </w:tc>
        <w:tc>
          <w:tcPr>
            <w:tcW w:w="66" w:type="pct"/>
          </w:tcPr>
          <w:p w:rsidR="00376768" w:rsidRDefault="00376768">
            <w:pPr>
              <w:jc w:val="right"/>
              <w:rPr>
                <w:rFonts w:ascii="Arial" w:hAnsi="Arial" w:cs="Arial"/>
                <w:sz w:val="19"/>
                <w:szCs w:val="20"/>
              </w:rPr>
            </w:pPr>
          </w:p>
        </w:tc>
        <w:tc>
          <w:tcPr>
            <w:tcW w:w="208" w:type="pct"/>
            <w:vAlign w:val="bottom"/>
          </w:tcPr>
          <w:p w:rsidR="00376768" w:rsidRDefault="00EC2B72">
            <w:pPr>
              <w:jc w:val="right"/>
              <w:rPr>
                <w:rFonts w:ascii="Arial" w:hAnsi="Arial" w:cs="Arial"/>
                <w:sz w:val="19"/>
                <w:szCs w:val="20"/>
              </w:rPr>
            </w:pPr>
            <w:r>
              <w:rPr>
                <w:rFonts w:ascii="Arial" w:hAnsi="Arial" w:cs="Arial"/>
                <w:sz w:val="19"/>
                <w:szCs w:val="20"/>
              </w:rPr>
              <w:fldChar w:fldCharType="begin"/>
            </w:r>
            <w:r>
              <w:rPr>
                <w:rFonts w:ascii="Arial" w:hAnsi="Arial" w:cs="Arial"/>
                <w:sz w:val="19"/>
                <w:szCs w:val="20"/>
              </w:rPr>
              <w:instrText xml:space="preserve"> PAGEREF a015_v1 \h </w:instrText>
            </w:r>
            <w:r>
              <w:rPr>
                <w:rFonts w:ascii="Arial" w:hAnsi="Arial" w:cs="Arial"/>
                <w:sz w:val="19"/>
                <w:szCs w:val="20"/>
              </w:rPr>
            </w:r>
            <w:r>
              <w:rPr>
                <w:rFonts w:ascii="Arial" w:hAnsi="Arial" w:cs="Arial"/>
                <w:sz w:val="19"/>
                <w:szCs w:val="20"/>
              </w:rPr>
              <w:fldChar w:fldCharType="separate"/>
            </w:r>
            <w:r w:rsidR="00D87BB8">
              <w:rPr>
                <w:rFonts w:ascii="Arial" w:hAnsi="Arial" w:cs="Arial"/>
                <w:noProof/>
                <w:sz w:val="19"/>
                <w:szCs w:val="20"/>
              </w:rPr>
              <w:t>19</w:t>
            </w:r>
            <w:r>
              <w:rPr>
                <w:rFonts w:ascii="Arial" w:hAnsi="Arial" w:cs="Arial"/>
                <w:sz w:val="19"/>
                <w:szCs w:val="20"/>
              </w:rPr>
              <w:fldChar w:fldCharType="end"/>
            </w:r>
          </w:p>
        </w:tc>
      </w:tr>
      <w:tr w:rsidR="00376768">
        <w:tc>
          <w:tcPr>
            <w:tcW w:w="4726" w:type="pct"/>
          </w:tcPr>
          <w:p w:rsidR="00376768" w:rsidRDefault="00EC2B72">
            <w:pPr>
              <w:tabs>
                <w:tab w:val="left" w:leader="dot" w:pos="11520"/>
              </w:tabs>
              <w:ind w:left="346" w:hanging="173"/>
              <w:rPr>
                <w:rFonts w:ascii="Arial" w:hAnsi="Arial" w:cs="Arial"/>
                <w:sz w:val="19"/>
                <w:szCs w:val="20"/>
              </w:rPr>
            </w:pPr>
            <w:r>
              <w:rPr>
                <w:rFonts w:ascii="Arial" w:hAnsi="Arial" w:cs="Arial"/>
                <w:sz w:val="19"/>
                <w:szCs w:val="20"/>
              </w:rPr>
              <w:t>Communications with Directors</w:t>
            </w:r>
            <w:r>
              <w:rPr>
                <w:rFonts w:ascii="Arial" w:hAnsi="Arial" w:cs="Arial"/>
                <w:spacing w:val="26"/>
                <w:sz w:val="19"/>
              </w:rPr>
              <w:tab/>
            </w:r>
          </w:p>
        </w:tc>
        <w:tc>
          <w:tcPr>
            <w:tcW w:w="66" w:type="pct"/>
          </w:tcPr>
          <w:p w:rsidR="00376768" w:rsidRDefault="00376768">
            <w:pPr>
              <w:jc w:val="right"/>
              <w:rPr>
                <w:rFonts w:ascii="Arial" w:hAnsi="Arial" w:cs="Arial"/>
                <w:sz w:val="19"/>
                <w:szCs w:val="20"/>
              </w:rPr>
            </w:pPr>
          </w:p>
        </w:tc>
        <w:tc>
          <w:tcPr>
            <w:tcW w:w="208" w:type="pct"/>
            <w:vAlign w:val="bottom"/>
          </w:tcPr>
          <w:p w:rsidR="00376768" w:rsidRDefault="00EC2B72">
            <w:pPr>
              <w:jc w:val="right"/>
              <w:rPr>
                <w:rFonts w:ascii="Arial" w:hAnsi="Arial" w:cs="Arial"/>
                <w:sz w:val="19"/>
                <w:szCs w:val="20"/>
              </w:rPr>
            </w:pPr>
            <w:r>
              <w:rPr>
                <w:rFonts w:ascii="Arial" w:hAnsi="Arial" w:cs="Arial"/>
                <w:sz w:val="19"/>
                <w:szCs w:val="20"/>
              </w:rPr>
              <w:fldChar w:fldCharType="begin"/>
            </w:r>
            <w:r>
              <w:rPr>
                <w:rFonts w:ascii="Arial" w:hAnsi="Arial" w:cs="Arial"/>
                <w:sz w:val="19"/>
                <w:szCs w:val="20"/>
              </w:rPr>
              <w:instrText xml:space="preserve"> PAGEREF a016_v1 \h </w:instrText>
            </w:r>
            <w:r>
              <w:rPr>
                <w:rFonts w:ascii="Arial" w:hAnsi="Arial" w:cs="Arial"/>
                <w:sz w:val="19"/>
                <w:szCs w:val="20"/>
              </w:rPr>
            </w:r>
            <w:r>
              <w:rPr>
                <w:rFonts w:ascii="Arial" w:hAnsi="Arial" w:cs="Arial"/>
                <w:sz w:val="19"/>
                <w:szCs w:val="20"/>
              </w:rPr>
              <w:fldChar w:fldCharType="separate"/>
            </w:r>
            <w:r w:rsidR="00D87BB8">
              <w:rPr>
                <w:rFonts w:ascii="Arial" w:hAnsi="Arial" w:cs="Arial"/>
                <w:noProof/>
                <w:sz w:val="19"/>
                <w:szCs w:val="20"/>
              </w:rPr>
              <w:t>19</w:t>
            </w:r>
            <w:r>
              <w:rPr>
                <w:rFonts w:ascii="Arial" w:hAnsi="Arial" w:cs="Arial"/>
                <w:sz w:val="19"/>
                <w:szCs w:val="20"/>
              </w:rPr>
              <w:fldChar w:fldCharType="end"/>
            </w:r>
          </w:p>
        </w:tc>
      </w:tr>
      <w:tr w:rsidR="00376768">
        <w:tc>
          <w:tcPr>
            <w:tcW w:w="4726" w:type="pct"/>
          </w:tcPr>
          <w:p w:rsidR="00376768" w:rsidRDefault="00EC2B72">
            <w:pPr>
              <w:tabs>
                <w:tab w:val="left" w:leader="dot" w:pos="11520"/>
              </w:tabs>
              <w:ind w:left="346" w:hanging="173"/>
              <w:rPr>
                <w:rFonts w:ascii="Arial" w:hAnsi="Arial" w:cs="Arial"/>
                <w:sz w:val="19"/>
                <w:szCs w:val="20"/>
              </w:rPr>
            </w:pPr>
            <w:r>
              <w:rPr>
                <w:rFonts w:ascii="Arial" w:hAnsi="Arial" w:cs="Arial"/>
                <w:sz w:val="19"/>
                <w:szCs w:val="20"/>
              </w:rPr>
              <w:t>Board Committees</w:t>
            </w:r>
            <w:r>
              <w:rPr>
                <w:rFonts w:ascii="Arial" w:hAnsi="Arial" w:cs="Arial"/>
                <w:spacing w:val="26"/>
                <w:sz w:val="19"/>
              </w:rPr>
              <w:tab/>
            </w:r>
          </w:p>
        </w:tc>
        <w:tc>
          <w:tcPr>
            <w:tcW w:w="66" w:type="pct"/>
          </w:tcPr>
          <w:p w:rsidR="00376768" w:rsidRDefault="00376768">
            <w:pPr>
              <w:jc w:val="right"/>
              <w:rPr>
                <w:rFonts w:ascii="Arial" w:hAnsi="Arial" w:cs="Arial"/>
                <w:sz w:val="19"/>
                <w:szCs w:val="20"/>
              </w:rPr>
            </w:pPr>
          </w:p>
        </w:tc>
        <w:tc>
          <w:tcPr>
            <w:tcW w:w="208" w:type="pct"/>
            <w:vAlign w:val="bottom"/>
          </w:tcPr>
          <w:p w:rsidR="00376768" w:rsidRDefault="00EC2B72">
            <w:pPr>
              <w:jc w:val="right"/>
              <w:rPr>
                <w:rFonts w:ascii="Arial" w:hAnsi="Arial" w:cs="Arial"/>
                <w:sz w:val="19"/>
                <w:szCs w:val="20"/>
              </w:rPr>
            </w:pPr>
            <w:r>
              <w:rPr>
                <w:rFonts w:ascii="Arial" w:hAnsi="Arial" w:cs="Arial"/>
                <w:sz w:val="19"/>
                <w:szCs w:val="20"/>
              </w:rPr>
              <w:fldChar w:fldCharType="begin"/>
            </w:r>
            <w:r>
              <w:rPr>
                <w:rFonts w:ascii="Arial" w:hAnsi="Arial" w:cs="Arial"/>
                <w:sz w:val="19"/>
                <w:szCs w:val="20"/>
              </w:rPr>
              <w:instrText xml:space="preserve"> PAGEREF a017_v1 \h </w:instrText>
            </w:r>
            <w:r>
              <w:rPr>
                <w:rFonts w:ascii="Arial" w:hAnsi="Arial" w:cs="Arial"/>
                <w:sz w:val="19"/>
                <w:szCs w:val="20"/>
              </w:rPr>
            </w:r>
            <w:r>
              <w:rPr>
                <w:rFonts w:ascii="Arial" w:hAnsi="Arial" w:cs="Arial"/>
                <w:sz w:val="19"/>
                <w:szCs w:val="20"/>
              </w:rPr>
              <w:fldChar w:fldCharType="separate"/>
            </w:r>
            <w:r w:rsidR="00D87BB8">
              <w:rPr>
                <w:rFonts w:ascii="Arial" w:hAnsi="Arial" w:cs="Arial"/>
                <w:noProof/>
                <w:sz w:val="19"/>
                <w:szCs w:val="20"/>
              </w:rPr>
              <w:t>20</w:t>
            </w:r>
            <w:r>
              <w:rPr>
                <w:rFonts w:ascii="Arial" w:hAnsi="Arial" w:cs="Arial"/>
                <w:sz w:val="19"/>
                <w:szCs w:val="20"/>
              </w:rPr>
              <w:fldChar w:fldCharType="end"/>
            </w:r>
          </w:p>
        </w:tc>
      </w:tr>
      <w:tr w:rsidR="00376768">
        <w:tc>
          <w:tcPr>
            <w:tcW w:w="4726" w:type="pct"/>
          </w:tcPr>
          <w:p w:rsidR="00376768" w:rsidRDefault="00EC2B72">
            <w:pPr>
              <w:tabs>
                <w:tab w:val="left" w:leader="dot" w:pos="11520"/>
              </w:tabs>
              <w:ind w:left="346" w:hanging="173"/>
              <w:rPr>
                <w:rFonts w:ascii="Arial" w:hAnsi="Arial" w:cs="Arial"/>
                <w:sz w:val="19"/>
                <w:szCs w:val="20"/>
              </w:rPr>
            </w:pPr>
            <w:r>
              <w:rPr>
                <w:rFonts w:ascii="Arial" w:hAnsi="Arial" w:cs="Arial"/>
                <w:sz w:val="19"/>
                <w:szCs w:val="20"/>
              </w:rPr>
              <w:t>Additional Corporate Governance Matters</w:t>
            </w:r>
            <w:r>
              <w:rPr>
                <w:rFonts w:ascii="Arial" w:hAnsi="Arial" w:cs="Arial"/>
                <w:spacing w:val="26"/>
                <w:sz w:val="19"/>
              </w:rPr>
              <w:tab/>
            </w:r>
          </w:p>
        </w:tc>
        <w:tc>
          <w:tcPr>
            <w:tcW w:w="66" w:type="pct"/>
          </w:tcPr>
          <w:p w:rsidR="00376768" w:rsidRDefault="00376768">
            <w:pPr>
              <w:jc w:val="right"/>
              <w:rPr>
                <w:rFonts w:ascii="Arial" w:hAnsi="Arial" w:cs="Arial"/>
                <w:sz w:val="19"/>
                <w:szCs w:val="20"/>
              </w:rPr>
            </w:pPr>
          </w:p>
        </w:tc>
        <w:tc>
          <w:tcPr>
            <w:tcW w:w="208" w:type="pct"/>
            <w:vAlign w:val="bottom"/>
          </w:tcPr>
          <w:p w:rsidR="00376768" w:rsidRDefault="00EC2B72">
            <w:pPr>
              <w:jc w:val="right"/>
              <w:rPr>
                <w:rFonts w:ascii="Arial" w:hAnsi="Arial" w:cs="Arial"/>
                <w:sz w:val="19"/>
                <w:szCs w:val="20"/>
              </w:rPr>
            </w:pPr>
            <w:r>
              <w:rPr>
                <w:rFonts w:ascii="Arial" w:hAnsi="Arial" w:cs="Arial"/>
                <w:sz w:val="19"/>
                <w:szCs w:val="20"/>
              </w:rPr>
              <w:fldChar w:fldCharType="begin"/>
            </w:r>
            <w:r>
              <w:rPr>
                <w:rFonts w:ascii="Arial" w:hAnsi="Arial" w:cs="Arial"/>
                <w:sz w:val="19"/>
                <w:szCs w:val="20"/>
              </w:rPr>
              <w:instrText xml:space="preserve"> PAGEREF a018_v1 \h </w:instrText>
            </w:r>
            <w:r>
              <w:rPr>
                <w:rFonts w:ascii="Arial" w:hAnsi="Arial" w:cs="Arial"/>
                <w:sz w:val="19"/>
                <w:szCs w:val="20"/>
              </w:rPr>
            </w:r>
            <w:r>
              <w:rPr>
                <w:rFonts w:ascii="Arial" w:hAnsi="Arial" w:cs="Arial"/>
                <w:sz w:val="19"/>
                <w:szCs w:val="20"/>
              </w:rPr>
              <w:fldChar w:fldCharType="separate"/>
            </w:r>
            <w:r w:rsidR="00D87BB8">
              <w:rPr>
                <w:rFonts w:ascii="Arial" w:hAnsi="Arial" w:cs="Arial"/>
                <w:noProof/>
                <w:sz w:val="19"/>
                <w:szCs w:val="20"/>
              </w:rPr>
              <w:t>23</w:t>
            </w:r>
            <w:r>
              <w:rPr>
                <w:rFonts w:ascii="Arial" w:hAnsi="Arial" w:cs="Arial"/>
                <w:sz w:val="19"/>
                <w:szCs w:val="20"/>
              </w:rPr>
              <w:fldChar w:fldCharType="end"/>
            </w:r>
          </w:p>
        </w:tc>
      </w:tr>
      <w:tr w:rsidR="00376768">
        <w:tc>
          <w:tcPr>
            <w:tcW w:w="4726" w:type="pct"/>
          </w:tcPr>
          <w:p w:rsidR="00376768" w:rsidRDefault="00EC2B72">
            <w:pPr>
              <w:tabs>
                <w:tab w:val="left" w:leader="dot" w:pos="11520"/>
              </w:tabs>
              <w:ind w:left="346" w:hanging="173"/>
              <w:rPr>
                <w:rFonts w:ascii="Arial" w:hAnsi="Arial" w:cs="Arial"/>
                <w:sz w:val="19"/>
                <w:szCs w:val="20"/>
              </w:rPr>
            </w:pPr>
            <w:r>
              <w:rPr>
                <w:rFonts w:ascii="Arial" w:hAnsi="Arial" w:cs="Arial"/>
                <w:sz w:val="19"/>
                <w:szCs w:val="20"/>
              </w:rPr>
              <w:t>Transactions With Related Parties</w:t>
            </w:r>
            <w:r>
              <w:rPr>
                <w:rFonts w:ascii="Arial" w:hAnsi="Arial" w:cs="Arial"/>
                <w:spacing w:val="26"/>
                <w:sz w:val="19"/>
              </w:rPr>
              <w:tab/>
            </w:r>
          </w:p>
        </w:tc>
        <w:tc>
          <w:tcPr>
            <w:tcW w:w="66" w:type="pct"/>
          </w:tcPr>
          <w:p w:rsidR="00376768" w:rsidRDefault="00376768">
            <w:pPr>
              <w:jc w:val="right"/>
              <w:rPr>
                <w:rFonts w:ascii="Arial" w:hAnsi="Arial" w:cs="Arial"/>
                <w:sz w:val="19"/>
                <w:szCs w:val="20"/>
              </w:rPr>
            </w:pPr>
          </w:p>
        </w:tc>
        <w:tc>
          <w:tcPr>
            <w:tcW w:w="208" w:type="pct"/>
            <w:vAlign w:val="bottom"/>
          </w:tcPr>
          <w:p w:rsidR="00376768" w:rsidRDefault="00EC2B72">
            <w:pPr>
              <w:jc w:val="right"/>
              <w:rPr>
                <w:rFonts w:ascii="Arial" w:hAnsi="Arial" w:cs="Arial"/>
                <w:sz w:val="19"/>
                <w:szCs w:val="20"/>
              </w:rPr>
            </w:pPr>
            <w:r>
              <w:rPr>
                <w:rFonts w:ascii="Arial" w:hAnsi="Arial" w:cs="Arial"/>
                <w:sz w:val="19"/>
                <w:szCs w:val="20"/>
              </w:rPr>
              <w:fldChar w:fldCharType="begin"/>
            </w:r>
            <w:r>
              <w:rPr>
                <w:rFonts w:ascii="Arial" w:hAnsi="Arial" w:cs="Arial"/>
                <w:sz w:val="19"/>
                <w:szCs w:val="20"/>
              </w:rPr>
              <w:instrText xml:space="preserve"> PAGEREF a019_v1 \h </w:instrText>
            </w:r>
            <w:r>
              <w:rPr>
                <w:rFonts w:ascii="Arial" w:hAnsi="Arial" w:cs="Arial"/>
                <w:sz w:val="19"/>
                <w:szCs w:val="20"/>
              </w:rPr>
            </w:r>
            <w:r>
              <w:rPr>
                <w:rFonts w:ascii="Arial" w:hAnsi="Arial" w:cs="Arial"/>
                <w:sz w:val="19"/>
                <w:szCs w:val="20"/>
              </w:rPr>
              <w:fldChar w:fldCharType="separate"/>
            </w:r>
            <w:r w:rsidR="00D87BB8">
              <w:rPr>
                <w:rFonts w:ascii="Arial" w:hAnsi="Arial" w:cs="Arial"/>
                <w:noProof/>
                <w:sz w:val="19"/>
                <w:szCs w:val="20"/>
              </w:rPr>
              <w:t>23</w:t>
            </w:r>
            <w:r>
              <w:rPr>
                <w:rFonts w:ascii="Arial" w:hAnsi="Arial" w:cs="Arial"/>
                <w:sz w:val="19"/>
                <w:szCs w:val="20"/>
              </w:rPr>
              <w:fldChar w:fldCharType="end"/>
            </w:r>
          </w:p>
        </w:tc>
      </w:tr>
      <w:tr w:rsidR="00376768">
        <w:tc>
          <w:tcPr>
            <w:tcW w:w="4726" w:type="pct"/>
          </w:tcPr>
          <w:p w:rsidR="00376768" w:rsidRDefault="00EC2B72">
            <w:pPr>
              <w:tabs>
                <w:tab w:val="left" w:leader="dot" w:pos="11520"/>
              </w:tabs>
              <w:ind w:left="346" w:hanging="173"/>
              <w:rPr>
                <w:rFonts w:ascii="Arial" w:hAnsi="Arial" w:cs="Arial"/>
                <w:sz w:val="19"/>
                <w:szCs w:val="20"/>
              </w:rPr>
            </w:pPr>
            <w:r>
              <w:rPr>
                <w:rFonts w:ascii="Arial" w:hAnsi="Arial" w:cs="Arial"/>
                <w:sz w:val="19"/>
                <w:szCs w:val="20"/>
              </w:rPr>
              <w:t>Compensation Committee Interlocks and Insider Participation</w:t>
            </w:r>
            <w:r>
              <w:rPr>
                <w:rFonts w:ascii="Arial" w:hAnsi="Arial" w:cs="Arial"/>
                <w:spacing w:val="26"/>
                <w:sz w:val="19"/>
              </w:rPr>
              <w:tab/>
            </w:r>
          </w:p>
        </w:tc>
        <w:tc>
          <w:tcPr>
            <w:tcW w:w="66" w:type="pct"/>
          </w:tcPr>
          <w:p w:rsidR="00376768" w:rsidRDefault="00376768">
            <w:pPr>
              <w:jc w:val="right"/>
              <w:rPr>
                <w:rFonts w:ascii="Arial" w:hAnsi="Arial" w:cs="Arial"/>
                <w:sz w:val="19"/>
                <w:szCs w:val="20"/>
              </w:rPr>
            </w:pPr>
          </w:p>
        </w:tc>
        <w:tc>
          <w:tcPr>
            <w:tcW w:w="208" w:type="pct"/>
            <w:vAlign w:val="bottom"/>
          </w:tcPr>
          <w:p w:rsidR="00376768" w:rsidRDefault="00EC2B72">
            <w:pPr>
              <w:jc w:val="right"/>
              <w:rPr>
                <w:rFonts w:ascii="Arial" w:hAnsi="Arial" w:cs="Arial"/>
                <w:sz w:val="19"/>
                <w:szCs w:val="20"/>
              </w:rPr>
            </w:pPr>
            <w:r>
              <w:rPr>
                <w:rFonts w:ascii="Arial" w:hAnsi="Arial" w:cs="Arial"/>
                <w:sz w:val="19"/>
                <w:szCs w:val="20"/>
              </w:rPr>
              <w:fldChar w:fldCharType="begin"/>
            </w:r>
            <w:r>
              <w:rPr>
                <w:rFonts w:ascii="Arial" w:hAnsi="Arial" w:cs="Arial"/>
                <w:sz w:val="19"/>
                <w:szCs w:val="20"/>
              </w:rPr>
              <w:instrText xml:space="preserve"> PAGEREF a020_v1 \h </w:instrText>
            </w:r>
            <w:r>
              <w:rPr>
                <w:rFonts w:ascii="Arial" w:hAnsi="Arial" w:cs="Arial"/>
                <w:sz w:val="19"/>
                <w:szCs w:val="20"/>
              </w:rPr>
            </w:r>
            <w:r>
              <w:rPr>
                <w:rFonts w:ascii="Arial" w:hAnsi="Arial" w:cs="Arial"/>
                <w:sz w:val="19"/>
                <w:szCs w:val="20"/>
              </w:rPr>
              <w:fldChar w:fldCharType="separate"/>
            </w:r>
            <w:r w:rsidR="00D87BB8">
              <w:rPr>
                <w:rFonts w:ascii="Arial" w:hAnsi="Arial" w:cs="Arial"/>
                <w:noProof/>
                <w:sz w:val="19"/>
                <w:szCs w:val="20"/>
              </w:rPr>
              <w:t>24</w:t>
            </w:r>
            <w:r>
              <w:rPr>
                <w:rFonts w:ascii="Arial" w:hAnsi="Arial" w:cs="Arial"/>
                <w:sz w:val="19"/>
                <w:szCs w:val="20"/>
              </w:rPr>
              <w:fldChar w:fldCharType="end"/>
            </w:r>
          </w:p>
        </w:tc>
      </w:tr>
      <w:tr w:rsidR="00376768">
        <w:tc>
          <w:tcPr>
            <w:tcW w:w="4726" w:type="pct"/>
          </w:tcPr>
          <w:p w:rsidR="00376768" w:rsidRDefault="00EC2B72">
            <w:pPr>
              <w:tabs>
                <w:tab w:val="left" w:leader="dot" w:pos="11520"/>
              </w:tabs>
              <w:ind w:left="346" w:hanging="173"/>
              <w:rPr>
                <w:rFonts w:ascii="Arial" w:hAnsi="Arial" w:cs="Arial"/>
                <w:sz w:val="19"/>
                <w:szCs w:val="20"/>
              </w:rPr>
            </w:pPr>
            <w:r>
              <w:rPr>
                <w:rFonts w:ascii="Arial" w:hAnsi="Arial" w:cs="Arial"/>
                <w:sz w:val="19"/>
                <w:szCs w:val="20"/>
              </w:rPr>
              <w:t>Section 16(a) Beneficial Ownership Reporting Compliance</w:t>
            </w:r>
            <w:r>
              <w:rPr>
                <w:rFonts w:ascii="Arial" w:hAnsi="Arial" w:cs="Arial"/>
                <w:spacing w:val="26"/>
                <w:sz w:val="19"/>
              </w:rPr>
              <w:tab/>
            </w:r>
          </w:p>
        </w:tc>
        <w:tc>
          <w:tcPr>
            <w:tcW w:w="66" w:type="pct"/>
          </w:tcPr>
          <w:p w:rsidR="00376768" w:rsidRDefault="00376768">
            <w:pPr>
              <w:jc w:val="right"/>
              <w:rPr>
                <w:rFonts w:ascii="Arial" w:hAnsi="Arial" w:cs="Arial"/>
                <w:sz w:val="19"/>
                <w:szCs w:val="20"/>
              </w:rPr>
            </w:pPr>
          </w:p>
        </w:tc>
        <w:tc>
          <w:tcPr>
            <w:tcW w:w="208" w:type="pct"/>
            <w:vAlign w:val="bottom"/>
          </w:tcPr>
          <w:p w:rsidR="00376768" w:rsidRDefault="00EC2B72">
            <w:pPr>
              <w:jc w:val="right"/>
              <w:rPr>
                <w:rFonts w:ascii="Arial" w:hAnsi="Arial" w:cs="Arial"/>
                <w:sz w:val="19"/>
                <w:szCs w:val="20"/>
              </w:rPr>
            </w:pPr>
            <w:r>
              <w:rPr>
                <w:rFonts w:ascii="Arial" w:hAnsi="Arial" w:cs="Arial"/>
                <w:sz w:val="19"/>
                <w:szCs w:val="20"/>
              </w:rPr>
              <w:fldChar w:fldCharType="begin"/>
            </w:r>
            <w:r>
              <w:rPr>
                <w:rFonts w:ascii="Arial" w:hAnsi="Arial" w:cs="Arial"/>
                <w:sz w:val="19"/>
                <w:szCs w:val="20"/>
              </w:rPr>
              <w:instrText xml:space="preserve"> PAGEREF a021_v1 \h </w:instrText>
            </w:r>
            <w:r>
              <w:rPr>
                <w:rFonts w:ascii="Arial" w:hAnsi="Arial" w:cs="Arial"/>
                <w:sz w:val="19"/>
                <w:szCs w:val="20"/>
              </w:rPr>
            </w:r>
            <w:r>
              <w:rPr>
                <w:rFonts w:ascii="Arial" w:hAnsi="Arial" w:cs="Arial"/>
                <w:sz w:val="19"/>
                <w:szCs w:val="20"/>
              </w:rPr>
              <w:fldChar w:fldCharType="separate"/>
            </w:r>
            <w:r w:rsidR="00D87BB8">
              <w:rPr>
                <w:rFonts w:ascii="Arial" w:hAnsi="Arial" w:cs="Arial"/>
                <w:noProof/>
                <w:sz w:val="19"/>
                <w:szCs w:val="20"/>
              </w:rPr>
              <w:t>24</w:t>
            </w:r>
            <w:r>
              <w:rPr>
                <w:rFonts w:ascii="Arial" w:hAnsi="Arial" w:cs="Arial"/>
                <w:sz w:val="19"/>
                <w:szCs w:val="20"/>
              </w:rPr>
              <w:fldChar w:fldCharType="end"/>
            </w:r>
          </w:p>
        </w:tc>
      </w:tr>
      <w:tr w:rsidR="00376768">
        <w:tc>
          <w:tcPr>
            <w:tcW w:w="4726" w:type="pct"/>
          </w:tcPr>
          <w:p w:rsidR="00376768" w:rsidRDefault="00EC2B72">
            <w:pPr>
              <w:tabs>
                <w:tab w:val="left" w:leader="dot" w:pos="11520"/>
              </w:tabs>
              <w:ind w:left="173" w:hanging="173"/>
              <w:rPr>
                <w:rFonts w:ascii="Arial" w:hAnsi="Arial" w:cs="Arial"/>
                <w:sz w:val="19"/>
                <w:szCs w:val="20"/>
              </w:rPr>
            </w:pPr>
            <w:r>
              <w:rPr>
                <w:rFonts w:ascii="Arial" w:hAnsi="Arial" w:cs="Arial"/>
                <w:sz w:val="19"/>
                <w:szCs w:val="20"/>
              </w:rPr>
              <w:t>EXECUTIVE COMPENSATION</w:t>
            </w:r>
            <w:r>
              <w:rPr>
                <w:rFonts w:ascii="Arial" w:hAnsi="Arial" w:cs="Arial"/>
                <w:spacing w:val="26"/>
                <w:sz w:val="19"/>
              </w:rPr>
              <w:tab/>
            </w:r>
          </w:p>
        </w:tc>
        <w:tc>
          <w:tcPr>
            <w:tcW w:w="66" w:type="pct"/>
          </w:tcPr>
          <w:p w:rsidR="00376768" w:rsidRDefault="00376768">
            <w:pPr>
              <w:jc w:val="right"/>
              <w:rPr>
                <w:rFonts w:ascii="Arial" w:hAnsi="Arial" w:cs="Arial"/>
                <w:sz w:val="19"/>
                <w:szCs w:val="20"/>
              </w:rPr>
            </w:pPr>
          </w:p>
        </w:tc>
        <w:tc>
          <w:tcPr>
            <w:tcW w:w="208" w:type="pct"/>
            <w:vAlign w:val="bottom"/>
          </w:tcPr>
          <w:p w:rsidR="00376768" w:rsidRDefault="00EC2B72">
            <w:pPr>
              <w:jc w:val="right"/>
              <w:rPr>
                <w:rFonts w:ascii="Arial" w:hAnsi="Arial" w:cs="Arial"/>
                <w:sz w:val="19"/>
                <w:szCs w:val="20"/>
              </w:rPr>
            </w:pPr>
            <w:r>
              <w:rPr>
                <w:rFonts w:ascii="Arial" w:hAnsi="Arial" w:cs="Arial"/>
                <w:sz w:val="19"/>
                <w:szCs w:val="20"/>
              </w:rPr>
              <w:fldChar w:fldCharType="begin"/>
            </w:r>
            <w:r>
              <w:rPr>
                <w:rFonts w:ascii="Arial" w:hAnsi="Arial" w:cs="Arial"/>
                <w:sz w:val="19"/>
                <w:szCs w:val="20"/>
              </w:rPr>
              <w:instrText xml:space="preserve"> PAGEREF a022_v1 \h </w:instrText>
            </w:r>
            <w:r>
              <w:rPr>
                <w:rFonts w:ascii="Arial" w:hAnsi="Arial" w:cs="Arial"/>
                <w:sz w:val="19"/>
                <w:szCs w:val="20"/>
              </w:rPr>
            </w:r>
            <w:r>
              <w:rPr>
                <w:rFonts w:ascii="Arial" w:hAnsi="Arial" w:cs="Arial"/>
                <w:sz w:val="19"/>
                <w:szCs w:val="20"/>
              </w:rPr>
              <w:fldChar w:fldCharType="separate"/>
            </w:r>
            <w:r w:rsidR="00D87BB8">
              <w:rPr>
                <w:rFonts w:ascii="Arial" w:hAnsi="Arial" w:cs="Arial"/>
                <w:noProof/>
                <w:sz w:val="19"/>
                <w:szCs w:val="20"/>
              </w:rPr>
              <w:t>24</w:t>
            </w:r>
            <w:r>
              <w:rPr>
                <w:rFonts w:ascii="Arial" w:hAnsi="Arial" w:cs="Arial"/>
                <w:sz w:val="19"/>
                <w:szCs w:val="20"/>
              </w:rPr>
              <w:fldChar w:fldCharType="end"/>
            </w:r>
          </w:p>
        </w:tc>
      </w:tr>
      <w:tr w:rsidR="00376768">
        <w:tc>
          <w:tcPr>
            <w:tcW w:w="4726" w:type="pct"/>
          </w:tcPr>
          <w:p w:rsidR="00376768" w:rsidRDefault="00EC2B72">
            <w:pPr>
              <w:tabs>
                <w:tab w:val="left" w:leader="dot" w:pos="11520"/>
              </w:tabs>
              <w:ind w:left="346" w:hanging="173"/>
              <w:rPr>
                <w:rFonts w:ascii="Arial" w:hAnsi="Arial" w:cs="Arial"/>
                <w:sz w:val="19"/>
                <w:szCs w:val="20"/>
              </w:rPr>
            </w:pPr>
            <w:r>
              <w:rPr>
                <w:rFonts w:ascii="Arial" w:hAnsi="Arial" w:cs="Arial"/>
                <w:sz w:val="19"/>
                <w:szCs w:val="20"/>
              </w:rPr>
              <w:t>Compensation Discussion and Analysis</w:t>
            </w:r>
            <w:r>
              <w:rPr>
                <w:rFonts w:ascii="Arial" w:hAnsi="Arial" w:cs="Arial"/>
                <w:spacing w:val="26"/>
                <w:sz w:val="19"/>
              </w:rPr>
              <w:tab/>
            </w:r>
          </w:p>
        </w:tc>
        <w:tc>
          <w:tcPr>
            <w:tcW w:w="66" w:type="pct"/>
          </w:tcPr>
          <w:p w:rsidR="00376768" w:rsidRDefault="00376768">
            <w:pPr>
              <w:jc w:val="right"/>
              <w:rPr>
                <w:rFonts w:ascii="Arial" w:hAnsi="Arial" w:cs="Arial"/>
                <w:sz w:val="19"/>
                <w:szCs w:val="20"/>
              </w:rPr>
            </w:pPr>
          </w:p>
        </w:tc>
        <w:tc>
          <w:tcPr>
            <w:tcW w:w="208" w:type="pct"/>
            <w:vAlign w:val="bottom"/>
          </w:tcPr>
          <w:p w:rsidR="00376768" w:rsidRDefault="00EC2B72">
            <w:pPr>
              <w:jc w:val="right"/>
              <w:rPr>
                <w:rFonts w:ascii="Arial" w:hAnsi="Arial" w:cs="Arial"/>
                <w:sz w:val="19"/>
                <w:szCs w:val="20"/>
              </w:rPr>
            </w:pPr>
            <w:r>
              <w:rPr>
                <w:rFonts w:ascii="Arial" w:hAnsi="Arial" w:cs="Arial"/>
                <w:sz w:val="19"/>
                <w:szCs w:val="20"/>
              </w:rPr>
              <w:fldChar w:fldCharType="begin"/>
            </w:r>
            <w:r>
              <w:rPr>
                <w:rFonts w:ascii="Arial" w:hAnsi="Arial" w:cs="Arial"/>
                <w:sz w:val="19"/>
                <w:szCs w:val="20"/>
              </w:rPr>
              <w:instrText xml:space="preserve"> PAGEREF a023_v1 \h </w:instrText>
            </w:r>
            <w:r>
              <w:rPr>
                <w:rFonts w:ascii="Arial" w:hAnsi="Arial" w:cs="Arial"/>
                <w:sz w:val="19"/>
                <w:szCs w:val="20"/>
              </w:rPr>
            </w:r>
            <w:r>
              <w:rPr>
                <w:rFonts w:ascii="Arial" w:hAnsi="Arial" w:cs="Arial"/>
                <w:sz w:val="19"/>
                <w:szCs w:val="20"/>
              </w:rPr>
              <w:fldChar w:fldCharType="separate"/>
            </w:r>
            <w:r w:rsidR="00D87BB8">
              <w:rPr>
                <w:rFonts w:ascii="Arial" w:hAnsi="Arial" w:cs="Arial"/>
                <w:noProof/>
                <w:sz w:val="19"/>
                <w:szCs w:val="20"/>
              </w:rPr>
              <w:t>24</w:t>
            </w:r>
            <w:r>
              <w:rPr>
                <w:rFonts w:ascii="Arial" w:hAnsi="Arial" w:cs="Arial"/>
                <w:sz w:val="19"/>
                <w:szCs w:val="20"/>
              </w:rPr>
              <w:fldChar w:fldCharType="end"/>
            </w:r>
          </w:p>
        </w:tc>
      </w:tr>
      <w:tr w:rsidR="00376768">
        <w:tc>
          <w:tcPr>
            <w:tcW w:w="4726" w:type="pct"/>
          </w:tcPr>
          <w:p w:rsidR="00376768" w:rsidRDefault="00EC2B72">
            <w:pPr>
              <w:tabs>
                <w:tab w:val="left" w:leader="dot" w:pos="11520"/>
              </w:tabs>
              <w:ind w:left="346" w:hanging="173"/>
              <w:rPr>
                <w:rFonts w:ascii="Arial" w:hAnsi="Arial" w:cs="Arial"/>
                <w:sz w:val="19"/>
                <w:szCs w:val="20"/>
              </w:rPr>
            </w:pPr>
            <w:r>
              <w:rPr>
                <w:rFonts w:ascii="Arial" w:hAnsi="Arial" w:cs="Arial"/>
                <w:sz w:val="19"/>
                <w:szCs w:val="20"/>
              </w:rPr>
              <w:t>Introduction</w:t>
            </w:r>
            <w:r>
              <w:rPr>
                <w:rFonts w:ascii="Arial" w:hAnsi="Arial" w:cs="Arial"/>
                <w:spacing w:val="26"/>
                <w:sz w:val="19"/>
              </w:rPr>
              <w:tab/>
            </w:r>
          </w:p>
        </w:tc>
        <w:tc>
          <w:tcPr>
            <w:tcW w:w="66" w:type="pct"/>
          </w:tcPr>
          <w:p w:rsidR="00376768" w:rsidRDefault="00376768">
            <w:pPr>
              <w:jc w:val="right"/>
              <w:rPr>
                <w:rFonts w:ascii="Arial" w:hAnsi="Arial" w:cs="Arial"/>
                <w:sz w:val="19"/>
                <w:szCs w:val="20"/>
              </w:rPr>
            </w:pPr>
          </w:p>
        </w:tc>
        <w:tc>
          <w:tcPr>
            <w:tcW w:w="208" w:type="pct"/>
            <w:vAlign w:val="bottom"/>
          </w:tcPr>
          <w:p w:rsidR="00376768" w:rsidRDefault="00EC2B72">
            <w:pPr>
              <w:jc w:val="right"/>
              <w:rPr>
                <w:rFonts w:ascii="Arial" w:hAnsi="Arial" w:cs="Arial"/>
                <w:sz w:val="19"/>
                <w:szCs w:val="20"/>
              </w:rPr>
            </w:pPr>
            <w:r>
              <w:rPr>
                <w:rFonts w:ascii="Arial" w:hAnsi="Arial" w:cs="Arial"/>
                <w:sz w:val="19"/>
                <w:szCs w:val="20"/>
              </w:rPr>
              <w:fldChar w:fldCharType="begin"/>
            </w:r>
            <w:r>
              <w:rPr>
                <w:rFonts w:ascii="Arial" w:hAnsi="Arial" w:cs="Arial"/>
                <w:sz w:val="19"/>
                <w:szCs w:val="20"/>
              </w:rPr>
              <w:instrText xml:space="preserve"> PAGEREF a024_v1 \h </w:instrText>
            </w:r>
            <w:r>
              <w:rPr>
                <w:rFonts w:ascii="Arial" w:hAnsi="Arial" w:cs="Arial"/>
                <w:sz w:val="19"/>
                <w:szCs w:val="20"/>
              </w:rPr>
            </w:r>
            <w:r>
              <w:rPr>
                <w:rFonts w:ascii="Arial" w:hAnsi="Arial" w:cs="Arial"/>
                <w:sz w:val="19"/>
                <w:szCs w:val="20"/>
              </w:rPr>
              <w:fldChar w:fldCharType="separate"/>
            </w:r>
            <w:r w:rsidR="00D87BB8">
              <w:rPr>
                <w:rFonts w:ascii="Arial" w:hAnsi="Arial" w:cs="Arial"/>
                <w:noProof/>
                <w:sz w:val="19"/>
                <w:szCs w:val="20"/>
              </w:rPr>
              <w:t>24</w:t>
            </w:r>
            <w:r>
              <w:rPr>
                <w:rFonts w:ascii="Arial" w:hAnsi="Arial" w:cs="Arial"/>
                <w:sz w:val="19"/>
                <w:szCs w:val="20"/>
              </w:rPr>
              <w:fldChar w:fldCharType="end"/>
            </w:r>
          </w:p>
        </w:tc>
      </w:tr>
      <w:tr w:rsidR="00376768">
        <w:tc>
          <w:tcPr>
            <w:tcW w:w="4726" w:type="pct"/>
          </w:tcPr>
          <w:p w:rsidR="00376768" w:rsidRDefault="00EC2B72">
            <w:pPr>
              <w:tabs>
                <w:tab w:val="left" w:leader="dot" w:pos="11520"/>
              </w:tabs>
              <w:ind w:left="346" w:hanging="173"/>
              <w:rPr>
                <w:rFonts w:ascii="Arial" w:hAnsi="Arial" w:cs="Arial"/>
                <w:sz w:val="19"/>
                <w:szCs w:val="20"/>
              </w:rPr>
            </w:pPr>
            <w:r>
              <w:rPr>
                <w:rFonts w:ascii="Arial" w:hAnsi="Arial" w:cs="Arial"/>
                <w:sz w:val="19"/>
                <w:szCs w:val="20"/>
              </w:rPr>
              <w:t>Executive Summary</w:t>
            </w:r>
            <w:r>
              <w:rPr>
                <w:rFonts w:ascii="Arial" w:hAnsi="Arial" w:cs="Arial"/>
                <w:spacing w:val="26"/>
                <w:sz w:val="19"/>
              </w:rPr>
              <w:tab/>
            </w:r>
          </w:p>
        </w:tc>
        <w:tc>
          <w:tcPr>
            <w:tcW w:w="66" w:type="pct"/>
          </w:tcPr>
          <w:p w:rsidR="00376768" w:rsidRDefault="00376768">
            <w:pPr>
              <w:jc w:val="right"/>
              <w:rPr>
                <w:rFonts w:ascii="Arial" w:hAnsi="Arial" w:cs="Arial"/>
                <w:sz w:val="19"/>
                <w:szCs w:val="20"/>
              </w:rPr>
            </w:pPr>
          </w:p>
        </w:tc>
        <w:tc>
          <w:tcPr>
            <w:tcW w:w="208" w:type="pct"/>
            <w:vAlign w:val="bottom"/>
          </w:tcPr>
          <w:p w:rsidR="00376768" w:rsidRDefault="00EC2B72">
            <w:pPr>
              <w:jc w:val="right"/>
              <w:rPr>
                <w:rFonts w:ascii="Arial" w:hAnsi="Arial" w:cs="Arial"/>
                <w:sz w:val="19"/>
                <w:szCs w:val="20"/>
              </w:rPr>
            </w:pPr>
            <w:r>
              <w:rPr>
                <w:rFonts w:ascii="Arial" w:hAnsi="Arial" w:cs="Arial"/>
                <w:sz w:val="19"/>
                <w:szCs w:val="20"/>
              </w:rPr>
              <w:fldChar w:fldCharType="begin"/>
            </w:r>
            <w:r>
              <w:rPr>
                <w:rFonts w:ascii="Arial" w:hAnsi="Arial" w:cs="Arial"/>
                <w:sz w:val="19"/>
                <w:szCs w:val="20"/>
              </w:rPr>
              <w:instrText xml:space="preserve"> PAGEREF a025_v1 \h </w:instrText>
            </w:r>
            <w:r>
              <w:rPr>
                <w:rFonts w:ascii="Arial" w:hAnsi="Arial" w:cs="Arial"/>
                <w:sz w:val="19"/>
                <w:szCs w:val="20"/>
              </w:rPr>
            </w:r>
            <w:r>
              <w:rPr>
                <w:rFonts w:ascii="Arial" w:hAnsi="Arial" w:cs="Arial"/>
                <w:sz w:val="19"/>
                <w:szCs w:val="20"/>
              </w:rPr>
              <w:fldChar w:fldCharType="separate"/>
            </w:r>
            <w:r w:rsidR="00D87BB8">
              <w:rPr>
                <w:rFonts w:ascii="Arial" w:hAnsi="Arial" w:cs="Arial"/>
                <w:noProof/>
                <w:sz w:val="19"/>
                <w:szCs w:val="20"/>
              </w:rPr>
              <w:t>25</w:t>
            </w:r>
            <w:r>
              <w:rPr>
                <w:rFonts w:ascii="Arial" w:hAnsi="Arial" w:cs="Arial"/>
                <w:sz w:val="19"/>
                <w:szCs w:val="20"/>
              </w:rPr>
              <w:fldChar w:fldCharType="end"/>
            </w:r>
          </w:p>
        </w:tc>
      </w:tr>
      <w:tr w:rsidR="00376768">
        <w:tc>
          <w:tcPr>
            <w:tcW w:w="4726" w:type="pct"/>
          </w:tcPr>
          <w:p w:rsidR="00376768" w:rsidRDefault="00EC2B72">
            <w:pPr>
              <w:tabs>
                <w:tab w:val="left" w:leader="dot" w:pos="11520"/>
              </w:tabs>
              <w:ind w:left="346" w:hanging="173"/>
              <w:rPr>
                <w:rFonts w:ascii="Arial" w:hAnsi="Arial" w:cs="Arial"/>
                <w:sz w:val="19"/>
                <w:szCs w:val="20"/>
              </w:rPr>
            </w:pPr>
            <w:r>
              <w:rPr>
                <w:rFonts w:ascii="Arial" w:hAnsi="Arial" w:cs="Arial"/>
                <w:sz w:val="19"/>
                <w:szCs w:val="20"/>
              </w:rPr>
              <w:t>Summary of 2017 Compensation Arrangements</w:t>
            </w:r>
            <w:r>
              <w:rPr>
                <w:rFonts w:ascii="Arial" w:hAnsi="Arial" w:cs="Arial"/>
                <w:spacing w:val="26"/>
                <w:sz w:val="19"/>
              </w:rPr>
              <w:tab/>
            </w:r>
          </w:p>
        </w:tc>
        <w:tc>
          <w:tcPr>
            <w:tcW w:w="66" w:type="pct"/>
          </w:tcPr>
          <w:p w:rsidR="00376768" w:rsidRDefault="00376768">
            <w:pPr>
              <w:jc w:val="right"/>
              <w:rPr>
                <w:rFonts w:ascii="Arial" w:hAnsi="Arial" w:cs="Arial"/>
                <w:sz w:val="19"/>
                <w:szCs w:val="20"/>
              </w:rPr>
            </w:pPr>
          </w:p>
        </w:tc>
        <w:tc>
          <w:tcPr>
            <w:tcW w:w="208" w:type="pct"/>
            <w:vAlign w:val="bottom"/>
          </w:tcPr>
          <w:p w:rsidR="00376768" w:rsidRDefault="00EC2B72">
            <w:pPr>
              <w:jc w:val="right"/>
              <w:rPr>
                <w:rFonts w:ascii="Arial" w:hAnsi="Arial" w:cs="Arial"/>
                <w:sz w:val="19"/>
                <w:szCs w:val="20"/>
              </w:rPr>
            </w:pPr>
            <w:r>
              <w:rPr>
                <w:rFonts w:ascii="Arial" w:hAnsi="Arial" w:cs="Arial"/>
                <w:sz w:val="19"/>
                <w:szCs w:val="20"/>
              </w:rPr>
              <w:fldChar w:fldCharType="begin"/>
            </w:r>
            <w:r>
              <w:rPr>
                <w:rFonts w:ascii="Arial" w:hAnsi="Arial" w:cs="Arial"/>
                <w:sz w:val="19"/>
                <w:szCs w:val="20"/>
              </w:rPr>
              <w:instrText xml:space="preserve"> PAGEREF a026_v1 \h </w:instrText>
            </w:r>
            <w:r>
              <w:rPr>
                <w:rFonts w:ascii="Arial" w:hAnsi="Arial" w:cs="Arial"/>
                <w:sz w:val="19"/>
                <w:szCs w:val="20"/>
              </w:rPr>
            </w:r>
            <w:r>
              <w:rPr>
                <w:rFonts w:ascii="Arial" w:hAnsi="Arial" w:cs="Arial"/>
                <w:sz w:val="19"/>
                <w:szCs w:val="20"/>
              </w:rPr>
              <w:fldChar w:fldCharType="separate"/>
            </w:r>
            <w:r w:rsidR="00D87BB8">
              <w:rPr>
                <w:rFonts w:ascii="Arial" w:hAnsi="Arial" w:cs="Arial"/>
                <w:noProof/>
                <w:sz w:val="19"/>
                <w:szCs w:val="20"/>
              </w:rPr>
              <w:t>27</w:t>
            </w:r>
            <w:r>
              <w:rPr>
                <w:rFonts w:ascii="Arial" w:hAnsi="Arial" w:cs="Arial"/>
                <w:sz w:val="19"/>
                <w:szCs w:val="20"/>
              </w:rPr>
              <w:fldChar w:fldCharType="end"/>
            </w:r>
          </w:p>
        </w:tc>
      </w:tr>
      <w:tr w:rsidR="00376768">
        <w:tc>
          <w:tcPr>
            <w:tcW w:w="4726" w:type="pct"/>
          </w:tcPr>
          <w:p w:rsidR="00376768" w:rsidRDefault="00EC2B72">
            <w:pPr>
              <w:tabs>
                <w:tab w:val="left" w:leader="dot" w:pos="11520"/>
              </w:tabs>
              <w:ind w:left="346" w:hanging="173"/>
              <w:rPr>
                <w:rFonts w:ascii="Arial" w:hAnsi="Arial" w:cs="Arial"/>
                <w:sz w:val="19"/>
                <w:szCs w:val="20"/>
              </w:rPr>
            </w:pPr>
            <w:r>
              <w:rPr>
                <w:rFonts w:ascii="Arial" w:hAnsi="Arial" w:cs="Arial"/>
                <w:sz w:val="19"/>
                <w:szCs w:val="20"/>
              </w:rPr>
              <w:t>Overview of Compensation Framework</w:t>
            </w:r>
            <w:r>
              <w:rPr>
                <w:rFonts w:ascii="Arial" w:hAnsi="Arial" w:cs="Arial"/>
                <w:spacing w:val="26"/>
                <w:sz w:val="19"/>
              </w:rPr>
              <w:tab/>
            </w:r>
          </w:p>
        </w:tc>
        <w:tc>
          <w:tcPr>
            <w:tcW w:w="66" w:type="pct"/>
          </w:tcPr>
          <w:p w:rsidR="00376768" w:rsidRDefault="00376768">
            <w:pPr>
              <w:jc w:val="right"/>
              <w:rPr>
                <w:rFonts w:ascii="Arial" w:hAnsi="Arial" w:cs="Arial"/>
                <w:sz w:val="19"/>
                <w:szCs w:val="20"/>
              </w:rPr>
            </w:pPr>
          </w:p>
        </w:tc>
        <w:tc>
          <w:tcPr>
            <w:tcW w:w="208" w:type="pct"/>
            <w:vAlign w:val="bottom"/>
          </w:tcPr>
          <w:p w:rsidR="00376768" w:rsidRDefault="00EC2B72">
            <w:pPr>
              <w:jc w:val="right"/>
              <w:rPr>
                <w:rFonts w:ascii="Arial" w:hAnsi="Arial" w:cs="Arial"/>
                <w:sz w:val="19"/>
                <w:szCs w:val="20"/>
              </w:rPr>
            </w:pPr>
            <w:r>
              <w:rPr>
                <w:rFonts w:ascii="Arial" w:hAnsi="Arial" w:cs="Arial"/>
                <w:sz w:val="19"/>
                <w:szCs w:val="20"/>
              </w:rPr>
              <w:fldChar w:fldCharType="begin"/>
            </w:r>
            <w:r>
              <w:rPr>
                <w:rFonts w:ascii="Arial" w:hAnsi="Arial" w:cs="Arial"/>
                <w:sz w:val="19"/>
                <w:szCs w:val="20"/>
              </w:rPr>
              <w:instrText xml:space="preserve"> PAGEREF a027_v1 \h </w:instrText>
            </w:r>
            <w:r>
              <w:rPr>
                <w:rFonts w:ascii="Arial" w:hAnsi="Arial" w:cs="Arial"/>
                <w:sz w:val="19"/>
                <w:szCs w:val="20"/>
              </w:rPr>
            </w:r>
            <w:r>
              <w:rPr>
                <w:rFonts w:ascii="Arial" w:hAnsi="Arial" w:cs="Arial"/>
                <w:sz w:val="19"/>
                <w:szCs w:val="20"/>
              </w:rPr>
              <w:fldChar w:fldCharType="separate"/>
            </w:r>
            <w:r w:rsidR="00D87BB8">
              <w:rPr>
                <w:rFonts w:ascii="Arial" w:hAnsi="Arial" w:cs="Arial"/>
                <w:noProof/>
                <w:sz w:val="19"/>
                <w:szCs w:val="20"/>
              </w:rPr>
              <w:t>28</w:t>
            </w:r>
            <w:r>
              <w:rPr>
                <w:rFonts w:ascii="Arial" w:hAnsi="Arial" w:cs="Arial"/>
                <w:sz w:val="19"/>
                <w:szCs w:val="20"/>
              </w:rPr>
              <w:fldChar w:fldCharType="end"/>
            </w:r>
          </w:p>
        </w:tc>
      </w:tr>
      <w:tr w:rsidR="00376768">
        <w:tc>
          <w:tcPr>
            <w:tcW w:w="4726" w:type="pct"/>
          </w:tcPr>
          <w:p w:rsidR="00376768" w:rsidRDefault="00EC2B72">
            <w:pPr>
              <w:tabs>
                <w:tab w:val="left" w:leader="dot" w:pos="11520"/>
              </w:tabs>
              <w:ind w:left="533" w:hanging="173"/>
              <w:rPr>
                <w:rFonts w:ascii="Arial" w:hAnsi="Arial" w:cs="Arial"/>
                <w:sz w:val="19"/>
                <w:szCs w:val="20"/>
              </w:rPr>
            </w:pPr>
            <w:r>
              <w:rPr>
                <w:rFonts w:ascii="Arial" w:hAnsi="Arial" w:cs="Arial"/>
                <w:sz w:val="19"/>
                <w:szCs w:val="20"/>
              </w:rPr>
              <w:t>Compensation Elements</w:t>
            </w:r>
            <w:r>
              <w:rPr>
                <w:rFonts w:ascii="Arial" w:hAnsi="Arial" w:cs="Arial"/>
                <w:spacing w:val="26"/>
                <w:sz w:val="19"/>
              </w:rPr>
              <w:tab/>
            </w:r>
          </w:p>
        </w:tc>
        <w:tc>
          <w:tcPr>
            <w:tcW w:w="66" w:type="pct"/>
          </w:tcPr>
          <w:p w:rsidR="00376768" w:rsidRDefault="00376768">
            <w:pPr>
              <w:jc w:val="right"/>
              <w:rPr>
                <w:rFonts w:ascii="Arial" w:hAnsi="Arial" w:cs="Arial"/>
                <w:sz w:val="19"/>
                <w:szCs w:val="20"/>
              </w:rPr>
            </w:pPr>
          </w:p>
        </w:tc>
        <w:tc>
          <w:tcPr>
            <w:tcW w:w="208" w:type="pct"/>
            <w:vAlign w:val="bottom"/>
          </w:tcPr>
          <w:p w:rsidR="00376768" w:rsidRDefault="00EC2B72">
            <w:pPr>
              <w:jc w:val="right"/>
              <w:rPr>
                <w:rFonts w:ascii="Arial" w:hAnsi="Arial" w:cs="Arial"/>
                <w:sz w:val="19"/>
                <w:szCs w:val="20"/>
              </w:rPr>
            </w:pPr>
            <w:r>
              <w:rPr>
                <w:rFonts w:ascii="Arial" w:hAnsi="Arial" w:cs="Arial"/>
                <w:sz w:val="19"/>
                <w:szCs w:val="20"/>
              </w:rPr>
              <w:fldChar w:fldCharType="begin"/>
            </w:r>
            <w:r>
              <w:rPr>
                <w:rFonts w:ascii="Arial" w:hAnsi="Arial" w:cs="Arial"/>
                <w:sz w:val="19"/>
                <w:szCs w:val="20"/>
              </w:rPr>
              <w:instrText xml:space="preserve"> PAGEREF a028_v1 \h </w:instrText>
            </w:r>
            <w:r>
              <w:rPr>
                <w:rFonts w:ascii="Arial" w:hAnsi="Arial" w:cs="Arial"/>
                <w:sz w:val="19"/>
                <w:szCs w:val="20"/>
              </w:rPr>
            </w:r>
            <w:r>
              <w:rPr>
                <w:rFonts w:ascii="Arial" w:hAnsi="Arial" w:cs="Arial"/>
                <w:sz w:val="19"/>
                <w:szCs w:val="20"/>
              </w:rPr>
              <w:fldChar w:fldCharType="separate"/>
            </w:r>
            <w:r w:rsidR="00D87BB8">
              <w:rPr>
                <w:rFonts w:ascii="Arial" w:hAnsi="Arial" w:cs="Arial"/>
                <w:noProof/>
                <w:sz w:val="19"/>
                <w:szCs w:val="20"/>
              </w:rPr>
              <w:t>30</w:t>
            </w:r>
            <w:r>
              <w:rPr>
                <w:rFonts w:ascii="Arial" w:hAnsi="Arial" w:cs="Arial"/>
                <w:sz w:val="19"/>
                <w:szCs w:val="20"/>
              </w:rPr>
              <w:fldChar w:fldCharType="end"/>
            </w:r>
          </w:p>
        </w:tc>
      </w:tr>
      <w:tr w:rsidR="00376768">
        <w:tc>
          <w:tcPr>
            <w:tcW w:w="4726" w:type="pct"/>
          </w:tcPr>
          <w:p w:rsidR="00376768" w:rsidRDefault="00EC2B72">
            <w:pPr>
              <w:tabs>
                <w:tab w:val="left" w:leader="dot" w:pos="11520"/>
              </w:tabs>
              <w:ind w:left="346" w:hanging="173"/>
              <w:rPr>
                <w:rFonts w:ascii="Arial" w:hAnsi="Arial" w:cs="Arial"/>
                <w:sz w:val="19"/>
                <w:szCs w:val="20"/>
              </w:rPr>
            </w:pPr>
            <w:r>
              <w:rPr>
                <w:rFonts w:ascii="Arial" w:hAnsi="Arial" w:cs="Arial"/>
                <w:sz w:val="19"/>
                <w:szCs w:val="20"/>
              </w:rPr>
              <w:t>Other Compensation Practices</w:t>
            </w:r>
            <w:r>
              <w:rPr>
                <w:rFonts w:ascii="Arial" w:hAnsi="Arial" w:cs="Arial"/>
                <w:spacing w:val="26"/>
                <w:sz w:val="19"/>
              </w:rPr>
              <w:tab/>
            </w:r>
          </w:p>
        </w:tc>
        <w:tc>
          <w:tcPr>
            <w:tcW w:w="66" w:type="pct"/>
          </w:tcPr>
          <w:p w:rsidR="00376768" w:rsidRDefault="00376768">
            <w:pPr>
              <w:jc w:val="right"/>
              <w:rPr>
                <w:rFonts w:ascii="Arial" w:hAnsi="Arial" w:cs="Arial"/>
                <w:sz w:val="19"/>
                <w:szCs w:val="20"/>
              </w:rPr>
            </w:pPr>
          </w:p>
        </w:tc>
        <w:tc>
          <w:tcPr>
            <w:tcW w:w="208" w:type="pct"/>
            <w:vAlign w:val="bottom"/>
          </w:tcPr>
          <w:p w:rsidR="00376768" w:rsidRDefault="00EC2B72">
            <w:pPr>
              <w:jc w:val="right"/>
              <w:rPr>
                <w:rFonts w:ascii="Arial" w:hAnsi="Arial" w:cs="Arial"/>
                <w:sz w:val="19"/>
                <w:szCs w:val="20"/>
              </w:rPr>
            </w:pPr>
            <w:r>
              <w:rPr>
                <w:rFonts w:ascii="Arial" w:hAnsi="Arial" w:cs="Arial"/>
                <w:sz w:val="19"/>
                <w:szCs w:val="20"/>
              </w:rPr>
              <w:fldChar w:fldCharType="begin"/>
            </w:r>
            <w:r>
              <w:rPr>
                <w:rFonts w:ascii="Arial" w:hAnsi="Arial" w:cs="Arial"/>
                <w:sz w:val="19"/>
                <w:szCs w:val="20"/>
              </w:rPr>
              <w:instrText xml:space="preserve"> PAGEREF a029_v1 \h </w:instrText>
            </w:r>
            <w:r>
              <w:rPr>
                <w:rFonts w:ascii="Arial" w:hAnsi="Arial" w:cs="Arial"/>
                <w:sz w:val="19"/>
                <w:szCs w:val="20"/>
              </w:rPr>
            </w:r>
            <w:r>
              <w:rPr>
                <w:rFonts w:ascii="Arial" w:hAnsi="Arial" w:cs="Arial"/>
                <w:sz w:val="19"/>
                <w:szCs w:val="20"/>
              </w:rPr>
              <w:fldChar w:fldCharType="separate"/>
            </w:r>
            <w:r w:rsidR="00D87BB8">
              <w:rPr>
                <w:rFonts w:ascii="Arial" w:hAnsi="Arial" w:cs="Arial"/>
                <w:noProof/>
                <w:sz w:val="19"/>
                <w:szCs w:val="20"/>
              </w:rPr>
              <w:t>34</w:t>
            </w:r>
            <w:r>
              <w:rPr>
                <w:rFonts w:ascii="Arial" w:hAnsi="Arial" w:cs="Arial"/>
                <w:sz w:val="19"/>
                <w:szCs w:val="20"/>
              </w:rPr>
              <w:fldChar w:fldCharType="end"/>
            </w:r>
          </w:p>
        </w:tc>
      </w:tr>
      <w:tr w:rsidR="00376768">
        <w:tc>
          <w:tcPr>
            <w:tcW w:w="4726" w:type="pct"/>
          </w:tcPr>
          <w:p w:rsidR="00376768" w:rsidRDefault="00EC2B72">
            <w:pPr>
              <w:tabs>
                <w:tab w:val="left" w:leader="dot" w:pos="11520"/>
              </w:tabs>
              <w:ind w:left="346" w:hanging="173"/>
              <w:rPr>
                <w:rFonts w:ascii="Arial" w:hAnsi="Arial" w:cs="Arial"/>
                <w:sz w:val="19"/>
                <w:szCs w:val="20"/>
              </w:rPr>
            </w:pPr>
            <w:r>
              <w:rPr>
                <w:rFonts w:ascii="Arial" w:hAnsi="Arial" w:cs="Arial"/>
                <w:sz w:val="19"/>
                <w:szCs w:val="20"/>
              </w:rPr>
              <w:t>Footnote Definitions for Section: Executive Compensation</w:t>
            </w:r>
            <w:r>
              <w:rPr>
                <w:rFonts w:ascii="Arial" w:hAnsi="Arial" w:cs="Arial"/>
                <w:spacing w:val="26"/>
                <w:sz w:val="19"/>
              </w:rPr>
              <w:tab/>
            </w:r>
          </w:p>
        </w:tc>
        <w:tc>
          <w:tcPr>
            <w:tcW w:w="66" w:type="pct"/>
          </w:tcPr>
          <w:p w:rsidR="00376768" w:rsidRDefault="00376768">
            <w:pPr>
              <w:jc w:val="right"/>
              <w:rPr>
                <w:rFonts w:ascii="Arial" w:hAnsi="Arial" w:cs="Arial"/>
                <w:sz w:val="19"/>
                <w:szCs w:val="20"/>
              </w:rPr>
            </w:pPr>
          </w:p>
        </w:tc>
        <w:tc>
          <w:tcPr>
            <w:tcW w:w="208" w:type="pct"/>
            <w:vAlign w:val="bottom"/>
          </w:tcPr>
          <w:p w:rsidR="00376768" w:rsidRDefault="00EC2B72">
            <w:pPr>
              <w:jc w:val="right"/>
              <w:rPr>
                <w:rFonts w:ascii="Arial" w:hAnsi="Arial" w:cs="Arial"/>
                <w:sz w:val="19"/>
                <w:szCs w:val="20"/>
              </w:rPr>
            </w:pPr>
            <w:r>
              <w:rPr>
                <w:rFonts w:ascii="Arial" w:hAnsi="Arial" w:cs="Arial"/>
                <w:sz w:val="19"/>
                <w:szCs w:val="20"/>
              </w:rPr>
              <w:fldChar w:fldCharType="begin"/>
            </w:r>
            <w:r>
              <w:rPr>
                <w:rFonts w:ascii="Arial" w:hAnsi="Arial" w:cs="Arial"/>
                <w:sz w:val="19"/>
                <w:szCs w:val="20"/>
              </w:rPr>
              <w:instrText xml:space="preserve"> PAGEREF a030_v1 \h </w:instrText>
            </w:r>
            <w:r>
              <w:rPr>
                <w:rFonts w:ascii="Arial" w:hAnsi="Arial" w:cs="Arial"/>
                <w:sz w:val="19"/>
                <w:szCs w:val="20"/>
              </w:rPr>
            </w:r>
            <w:r>
              <w:rPr>
                <w:rFonts w:ascii="Arial" w:hAnsi="Arial" w:cs="Arial"/>
                <w:sz w:val="19"/>
                <w:szCs w:val="20"/>
              </w:rPr>
              <w:fldChar w:fldCharType="separate"/>
            </w:r>
            <w:r w:rsidR="00D87BB8">
              <w:rPr>
                <w:rFonts w:ascii="Arial" w:hAnsi="Arial" w:cs="Arial"/>
                <w:noProof/>
                <w:sz w:val="19"/>
                <w:szCs w:val="20"/>
              </w:rPr>
              <w:t>37</w:t>
            </w:r>
            <w:r>
              <w:rPr>
                <w:rFonts w:ascii="Arial" w:hAnsi="Arial" w:cs="Arial"/>
                <w:sz w:val="19"/>
                <w:szCs w:val="20"/>
              </w:rPr>
              <w:fldChar w:fldCharType="end"/>
            </w:r>
          </w:p>
        </w:tc>
      </w:tr>
      <w:tr w:rsidR="00376768">
        <w:tc>
          <w:tcPr>
            <w:tcW w:w="4726" w:type="pct"/>
          </w:tcPr>
          <w:p w:rsidR="00376768" w:rsidRDefault="00EC2B72">
            <w:pPr>
              <w:tabs>
                <w:tab w:val="left" w:leader="dot" w:pos="11520"/>
              </w:tabs>
              <w:ind w:left="173" w:hanging="173"/>
              <w:rPr>
                <w:rFonts w:ascii="Arial" w:hAnsi="Arial" w:cs="Arial"/>
                <w:sz w:val="19"/>
                <w:szCs w:val="20"/>
              </w:rPr>
            </w:pPr>
            <w:r>
              <w:rPr>
                <w:rFonts w:ascii="Arial" w:hAnsi="Arial" w:cs="Arial"/>
                <w:sz w:val="19"/>
                <w:szCs w:val="20"/>
              </w:rPr>
              <w:t>COMPENSATION COMMITTEE REPORT</w:t>
            </w:r>
            <w:r>
              <w:rPr>
                <w:rFonts w:ascii="Arial" w:hAnsi="Arial" w:cs="Arial"/>
                <w:spacing w:val="26"/>
                <w:sz w:val="19"/>
              </w:rPr>
              <w:tab/>
            </w:r>
          </w:p>
        </w:tc>
        <w:tc>
          <w:tcPr>
            <w:tcW w:w="66" w:type="pct"/>
          </w:tcPr>
          <w:p w:rsidR="00376768" w:rsidRDefault="00376768">
            <w:pPr>
              <w:jc w:val="right"/>
              <w:rPr>
                <w:rFonts w:ascii="Arial" w:hAnsi="Arial" w:cs="Arial"/>
                <w:sz w:val="19"/>
                <w:szCs w:val="20"/>
              </w:rPr>
            </w:pPr>
          </w:p>
        </w:tc>
        <w:tc>
          <w:tcPr>
            <w:tcW w:w="208" w:type="pct"/>
            <w:vAlign w:val="bottom"/>
          </w:tcPr>
          <w:p w:rsidR="00376768" w:rsidRDefault="00EC2B72">
            <w:pPr>
              <w:jc w:val="right"/>
              <w:rPr>
                <w:rFonts w:ascii="Arial" w:hAnsi="Arial" w:cs="Arial"/>
                <w:sz w:val="19"/>
                <w:szCs w:val="20"/>
              </w:rPr>
            </w:pPr>
            <w:r>
              <w:rPr>
                <w:rFonts w:ascii="Arial" w:hAnsi="Arial" w:cs="Arial"/>
                <w:sz w:val="19"/>
                <w:szCs w:val="20"/>
              </w:rPr>
              <w:fldChar w:fldCharType="begin"/>
            </w:r>
            <w:r>
              <w:rPr>
                <w:rFonts w:ascii="Arial" w:hAnsi="Arial" w:cs="Arial"/>
                <w:sz w:val="19"/>
                <w:szCs w:val="20"/>
              </w:rPr>
              <w:instrText xml:space="preserve"> PAGEREF a031_v1 \h </w:instrText>
            </w:r>
            <w:r>
              <w:rPr>
                <w:rFonts w:ascii="Arial" w:hAnsi="Arial" w:cs="Arial"/>
                <w:sz w:val="19"/>
                <w:szCs w:val="20"/>
              </w:rPr>
            </w:r>
            <w:r>
              <w:rPr>
                <w:rFonts w:ascii="Arial" w:hAnsi="Arial" w:cs="Arial"/>
                <w:sz w:val="19"/>
                <w:szCs w:val="20"/>
              </w:rPr>
              <w:fldChar w:fldCharType="separate"/>
            </w:r>
            <w:r w:rsidR="00D87BB8">
              <w:rPr>
                <w:rFonts w:ascii="Arial" w:hAnsi="Arial" w:cs="Arial"/>
                <w:noProof/>
                <w:sz w:val="19"/>
                <w:szCs w:val="20"/>
              </w:rPr>
              <w:t>40</w:t>
            </w:r>
            <w:r>
              <w:rPr>
                <w:rFonts w:ascii="Arial" w:hAnsi="Arial" w:cs="Arial"/>
                <w:sz w:val="19"/>
                <w:szCs w:val="20"/>
              </w:rPr>
              <w:fldChar w:fldCharType="end"/>
            </w:r>
          </w:p>
        </w:tc>
      </w:tr>
      <w:tr w:rsidR="00376768">
        <w:tc>
          <w:tcPr>
            <w:tcW w:w="4726" w:type="pct"/>
          </w:tcPr>
          <w:p w:rsidR="00376768" w:rsidRDefault="00EC2B72">
            <w:pPr>
              <w:tabs>
                <w:tab w:val="left" w:leader="dot" w:pos="11520"/>
              </w:tabs>
              <w:ind w:left="173" w:hanging="173"/>
              <w:rPr>
                <w:rFonts w:ascii="Arial" w:hAnsi="Arial" w:cs="Arial"/>
                <w:sz w:val="19"/>
                <w:szCs w:val="20"/>
              </w:rPr>
            </w:pPr>
            <w:r>
              <w:rPr>
                <w:rFonts w:ascii="Arial" w:hAnsi="Arial" w:cs="Arial"/>
                <w:sz w:val="19"/>
                <w:szCs w:val="20"/>
              </w:rPr>
              <w:t>SUMMARY COMPENSATION TABLE - 2015, 2016, and 2017</w:t>
            </w:r>
            <w:r>
              <w:rPr>
                <w:rFonts w:ascii="Arial" w:hAnsi="Arial" w:cs="Arial"/>
                <w:spacing w:val="26"/>
                <w:sz w:val="19"/>
              </w:rPr>
              <w:tab/>
            </w:r>
          </w:p>
        </w:tc>
        <w:tc>
          <w:tcPr>
            <w:tcW w:w="66" w:type="pct"/>
          </w:tcPr>
          <w:p w:rsidR="00376768" w:rsidRDefault="00376768">
            <w:pPr>
              <w:jc w:val="right"/>
              <w:rPr>
                <w:rFonts w:ascii="Arial" w:hAnsi="Arial" w:cs="Arial"/>
                <w:sz w:val="19"/>
                <w:szCs w:val="20"/>
              </w:rPr>
            </w:pPr>
          </w:p>
        </w:tc>
        <w:tc>
          <w:tcPr>
            <w:tcW w:w="208" w:type="pct"/>
            <w:vAlign w:val="bottom"/>
          </w:tcPr>
          <w:p w:rsidR="00376768" w:rsidRDefault="00EC2B72">
            <w:pPr>
              <w:jc w:val="right"/>
              <w:rPr>
                <w:rFonts w:ascii="Arial" w:hAnsi="Arial" w:cs="Arial"/>
                <w:sz w:val="19"/>
                <w:szCs w:val="20"/>
              </w:rPr>
            </w:pPr>
            <w:r>
              <w:rPr>
                <w:rFonts w:ascii="Arial" w:hAnsi="Arial" w:cs="Arial"/>
                <w:sz w:val="19"/>
                <w:szCs w:val="20"/>
              </w:rPr>
              <w:fldChar w:fldCharType="begin"/>
            </w:r>
            <w:r>
              <w:rPr>
                <w:rFonts w:ascii="Arial" w:hAnsi="Arial" w:cs="Arial"/>
                <w:sz w:val="19"/>
                <w:szCs w:val="20"/>
              </w:rPr>
              <w:instrText xml:space="preserve"> PAGEREF a032_v1 \h </w:instrText>
            </w:r>
            <w:r>
              <w:rPr>
                <w:rFonts w:ascii="Arial" w:hAnsi="Arial" w:cs="Arial"/>
                <w:sz w:val="19"/>
                <w:szCs w:val="20"/>
              </w:rPr>
            </w:r>
            <w:r>
              <w:rPr>
                <w:rFonts w:ascii="Arial" w:hAnsi="Arial" w:cs="Arial"/>
                <w:sz w:val="19"/>
                <w:szCs w:val="20"/>
              </w:rPr>
              <w:fldChar w:fldCharType="separate"/>
            </w:r>
            <w:r w:rsidR="00D87BB8">
              <w:rPr>
                <w:rFonts w:ascii="Arial" w:hAnsi="Arial" w:cs="Arial"/>
                <w:noProof/>
                <w:sz w:val="19"/>
                <w:szCs w:val="20"/>
              </w:rPr>
              <w:t>41</w:t>
            </w:r>
            <w:r>
              <w:rPr>
                <w:rFonts w:ascii="Arial" w:hAnsi="Arial" w:cs="Arial"/>
                <w:sz w:val="19"/>
                <w:szCs w:val="20"/>
              </w:rPr>
              <w:fldChar w:fldCharType="end"/>
            </w:r>
          </w:p>
        </w:tc>
      </w:tr>
      <w:tr w:rsidR="00376768">
        <w:tc>
          <w:tcPr>
            <w:tcW w:w="4726" w:type="pct"/>
          </w:tcPr>
          <w:p w:rsidR="00376768" w:rsidRDefault="00EC2B72">
            <w:pPr>
              <w:tabs>
                <w:tab w:val="left" w:leader="dot" w:pos="11520"/>
              </w:tabs>
              <w:ind w:left="173" w:hanging="173"/>
              <w:rPr>
                <w:rFonts w:ascii="Arial" w:hAnsi="Arial" w:cs="Arial"/>
                <w:sz w:val="19"/>
                <w:szCs w:val="20"/>
              </w:rPr>
            </w:pPr>
            <w:r>
              <w:rPr>
                <w:rFonts w:ascii="Arial" w:hAnsi="Arial" w:cs="Arial"/>
                <w:sz w:val="19"/>
                <w:szCs w:val="20"/>
              </w:rPr>
              <w:t>GRANTS OF PLAN-BASED AWARDS IN 2017</w:t>
            </w:r>
            <w:r>
              <w:rPr>
                <w:rFonts w:ascii="Arial" w:hAnsi="Arial" w:cs="Arial"/>
                <w:spacing w:val="26"/>
                <w:sz w:val="19"/>
              </w:rPr>
              <w:tab/>
            </w:r>
          </w:p>
        </w:tc>
        <w:tc>
          <w:tcPr>
            <w:tcW w:w="66" w:type="pct"/>
          </w:tcPr>
          <w:p w:rsidR="00376768" w:rsidRDefault="00376768">
            <w:pPr>
              <w:jc w:val="right"/>
              <w:rPr>
                <w:rFonts w:ascii="Arial" w:hAnsi="Arial" w:cs="Arial"/>
                <w:sz w:val="19"/>
                <w:szCs w:val="20"/>
              </w:rPr>
            </w:pPr>
          </w:p>
        </w:tc>
        <w:tc>
          <w:tcPr>
            <w:tcW w:w="208" w:type="pct"/>
            <w:vAlign w:val="bottom"/>
          </w:tcPr>
          <w:p w:rsidR="00376768" w:rsidRDefault="00EC2B72">
            <w:pPr>
              <w:jc w:val="right"/>
              <w:rPr>
                <w:rFonts w:ascii="Arial" w:hAnsi="Arial" w:cs="Arial"/>
                <w:sz w:val="19"/>
                <w:szCs w:val="20"/>
              </w:rPr>
            </w:pPr>
            <w:r>
              <w:rPr>
                <w:rFonts w:ascii="Arial" w:hAnsi="Arial" w:cs="Arial"/>
                <w:sz w:val="19"/>
                <w:szCs w:val="20"/>
              </w:rPr>
              <w:fldChar w:fldCharType="begin"/>
            </w:r>
            <w:r>
              <w:rPr>
                <w:rFonts w:ascii="Arial" w:hAnsi="Arial" w:cs="Arial"/>
                <w:sz w:val="19"/>
                <w:szCs w:val="20"/>
              </w:rPr>
              <w:instrText xml:space="preserve"> PAGEREF a033_v1 \h </w:instrText>
            </w:r>
            <w:r>
              <w:rPr>
                <w:rFonts w:ascii="Arial" w:hAnsi="Arial" w:cs="Arial"/>
                <w:sz w:val="19"/>
                <w:szCs w:val="20"/>
              </w:rPr>
            </w:r>
            <w:r>
              <w:rPr>
                <w:rFonts w:ascii="Arial" w:hAnsi="Arial" w:cs="Arial"/>
                <w:sz w:val="19"/>
                <w:szCs w:val="20"/>
              </w:rPr>
              <w:fldChar w:fldCharType="separate"/>
            </w:r>
            <w:r w:rsidR="00D87BB8">
              <w:rPr>
                <w:rFonts w:ascii="Arial" w:hAnsi="Arial" w:cs="Arial"/>
                <w:noProof/>
                <w:sz w:val="19"/>
                <w:szCs w:val="20"/>
              </w:rPr>
              <w:t>43</w:t>
            </w:r>
            <w:r>
              <w:rPr>
                <w:rFonts w:ascii="Arial" w:hAnsi="Arial" w:cs="Arial"/>
                <w:sz w:val="19"/>
                <w:szCs w:val="20"/>
              </w:rPr>
              <w:fldChar w:fldCharType="end"/>
            </w:r>
          </w:p>
        </w:tc>
      </w:tr>
      <w:tr w:rsidR="00376768">
        <w:tc>
          <w:tcPr>
            <w:tcW w:w="4726" w:type="pct"/>
          </w:tcPr>
          <w:p w:rsidR="00376768" w:rsidRDefault="00EC2B72">
            <w:pPr>
              <w:tabs>
                <w:tab w:val="left" w:leader="dot" w:pos="11520"/>
              </w:tabs>
              <w:ind w:left="173" w:hanging="173"/>
              <w:rPr>
                <w:rFonts w:ascii="Arial" w:hAnsi="Arial" w:cs="Arial"/>
                <w:sz w:val="19"/>
                <w:szCs w:val="20"/>
              </w:rPr>
            </w:pPr>
            <w:r>
              <w:rPr>
                <w:rFonts w:ascii="Arial" w:hAnsi="Arial" w:cs="Arial"/>
                <w:sz w:val="19"/>
                <w:szCs w:val="20"/>
              </w:rPr>
              <w:t>OUTSTANDING EQUITY AWARDS AT 2017 FISCAL YEAR-END</w:t>
            </w:r>
            <w:r>
              <w:rPr>
                <w:rFonts w:ascii="Arial" w:hAnsi="Arial" w:cs="Arial"/>
                <w:spacing w:val="26"/>
                <w:sz w:val="19"/>
              </w:rPr>
              <w:tab/>
            </w:r>
          </w:p>
        </w:tc>
        <w:tc>
          <w:tcPr>
            <w:tcW w:w="66" w:type="pct"/>
          </w:tcPr>
          <w:p w:rsidR="00376768" w:rsidRDefault="00376768">
            <w:pPr>
              <w:jc w:val="right"/>
              <w:rPr>
                <w:rFonts w:ascii="Arial" w:hAnsi="Arial" w:cs="Arial"/>
                <w:sz w:val="19"/>
                <w:szCs w:val="20"/>
              </w:rPr>
            </w:pPr>
          </w:p>
        </w:tc>
        <w:tc>
          <w:tcPr>
            <w:tcW w:w="208" w:type="pct"/>
            <w:vAlign w:val="bottom"/>
          </w:tcPr>
          <w:p w:rsidR="00376768" w:rsidRDefault="00EC2B72">
            <w:pPr>
              <w:jc w:val="right"/>
              <w:rPr>
                <w:rFonts w:ascii="Arial" w:hAnsi="Arial" w:cs="Arial"/>
                <w:sz w:val="19"/>
                <w:szCs w:val="20"/>
              </w:rPr>
            </w:pPr>
            <w:r>
              <w:rPr>
                <w:rFonts w:ascii="Arial" w:hAnsi="Arial" w:cs="Arial"/>
                <w:sz w:val="19"/>
                <w:szCs w:val="20"/>
              </w:rPr>
              <w:fldChar w:fldCharType="begin"/>
            </w:r>
            <w:r>
              <w:rPr>
                <w:rFonts w:ascii="Arial" w:hAnsi="Arial" w:cs="Arial"/>
                <w:sz w:val="19"/>
                <w:szCs w:val="20"/>
              </w:rPr>
              <w:instrText xml:space="preserve"> PAGEREF a034_v1 \h </w:instrText>
            </w:r>
            <w:r>
              <w:rPr>
                <w:rFonts w:ascii="Arial" w:hAnsi="Arial" w:cs="Arial"/>
                <w:sz w:val="19"/>
                <w:szCs w:val="20"/>
              </w:rPr>
            </w:r>
            <w:r>
              <w:rPr>
                <w:rFonts w:ascii="Arial" w:hAnsi="Arial" w:cs="Arial"/>
                <w:sz w:val="19"/>
                <w:szCs w:val="20"/>
              </w:rPr>
              <w:fldChar w:fldCharType="separate"/>
            </w:r>
            <w:r w:rsidR="00D87BB8">
              <w:rPr>
                <w:rFonts w:ascii="Arial" w:hAnsi="Arial" w:cs="Arial"/>
                <w:noProof/>
                <w:sz w:val="19"/>
                <w:szCs w:val="20"/>
              </w:rPr>
              <w:t>44</w:t>
            </w:r>
            <w:r>
              <w:rPr>
                <w:rFonts w:ascii="Arial" w:hAnsi="Arial" w:cs="Arial"/>
                <w:sz w:val="19"/>
                <w:szCs w:val="20"/>
              </w:rPr>
              <w:fldChar w:fldCharType="end"/>
            </w:r>
          </w:p>
        </w:tc>
      </w:tr>
      <w:tr w:rsidR="00376768">
        <w:tc>
          <w:tcPr>
            <w:tcW w:w="4726" w:type="pct"/>
          </w:tcPr>
          <w:p w:rsidR="00376768" w:rsidRDefault="00EC2B72">
            <w:pPr>
              <w:tabs>
                <w:tab w:val="left" w:leader="dot" w:pos="11520"/>
              </w:tabs>
              <w:ind w:left="173" w:hanging="173"/>
              <w:rPr>
                <w:rFonts w:ascii="Arial" w:hAnsi="Arial" w:cs="Arial"/>
                <w:sz w:val="19"/>
                <w:szCs w:val="20"/>
              </w:rPr>
            </w:pPr>
            <w:r>
              <w:rPr>
                <w:rFonts w:ascii="Arial" w:hAnsi="Arial" w:cs="Arial"/>
                <w:sz w:val="19"/>
                <w:szCs w:val="20"/>
              </w:rPr>
              <w:t>2017 OPTION EXERCISES AND STOCK VESTED</w:t>
            </w:r>
            <w:r>
              <w:rPr>
                <w:rFonts w:ascii="Arial" w:hAnsi="Arial" w:cs="Arial"/>
                <w:spacing w:val="26"/>
                <w:sz w:val="19"/>
              </w:rPr>
              <w:tab/>
            </w:r>
          </w:p>
        </w:tc>
        <w:tc>
          <w:tcPr>
            <w:tcW w:w="66" w:type="pct"/>
          </w:tcPr>
          <w:p w:rsidR="00376768" w:rsidRDefault="00376768">
            <w:pPr>
              <w:jc w:val="right"/>
              <w:rPr>
                <w:rFonts w:ascii="Arial" w:hAnsi="Arial" w:cs="Arial"/>
                <w:sz w:val="19"/>
                <w:szCs w:val="20"/>
              </w:rPr>
            </w:pPr>
          </w:p>
        </w:tc>
        <w:tc>
          <w:tcPr>
            <w:tcW w:w="208" w:type="pct"/>
            <w:vAlign w:val="bottom"/>
          </w:tcPr>
          <w:p w:rsidR="00376768" w:rsidRDefault="00EC2B72">
            <w:pPr>
              <w:jc w:val="right"/>
              <w:rPr>
                <w:rFonts w:ascii="Arial" w:hAnsi="Arial" w:cs="Arial"/>
                <w:sz w:val="19"/>
                <w:szCs w:val="20"/>
              </w:rPr>
            </w:pPr>
            <w:r>
              <w:rPr>
                <w:rFonts w:ascii="Arial" w:hAnsi="Arial" w:cs="Arial"/>
                <w:sz w:val="19"/>
                <w:szCs w:val="20"/>
              </w:rPr>
              <w:fldChar w:fldCharType="begin"/>
            </w:r>
            <w:r>
              <w:rPr>
                <w:rFonts w:ascii="Arial" w:hAnsi="Arial" w:cs="Arial"/>
                <w:sz w:val="19"/>
                <w:szCs w:val="20"/>
              </w:rPr>
              <w:instrText xml:space="preserve"> PAGEREF a035_v1 \h </w:instrText>
            </w:r>
            <w:r>
              <w:rPr>
                <w:rFonts w:ascii="Arial" w:hAnsi="Arial" w:cs="Arial"/>
                <w:sz w:val="19"/>
                <w:szCs w:val="20"/>
              </w:rPr>
            </w:r>
            <w:r>
              <w:rPr>
                <w:rFonts w:ascii="Arial" w:hAnsi="Arial" w:cs="Arial"/>
                <w:sz w:val="19"/>
                <w:szCs w:val="20"/>
              </w:rPr>
              <w:fldChar w:fldCharType="separate"/>
            </w:r>
            <w:r w:rsidR="00D87BB8">
              <w:rPr>
                <w:rFonts w:ascii="Arial" w:hAnsi="Arial" w:cs="Arial"/>
                <w:noProof/>
                <w:sz w:val="19"/>
                <w:szCs w:val="20"/>
              </w:rPr>
              <w:t>45</w:t>
            </w:r>
            <w:r>
              <w:rPr>
                <w:rFonts w:ascii="Arial" w:hAnsi="Arial" w:cs="Arial"/>
                <w:sz w:val="19"/>
                <w:szCs w:val="20"/>
              </w:rPr>
              <w:fldChar w:fldCharType="end"/>
            </w:r>
          </w:p>
        </w:tc>
      </w:tr>
      <w:tr w:rsidR="00376768">
        <w:tc>
          <w:tcPr>
            <w:tcW w:w="4726" w:type="pct"/>
          </w:tcPr>
          <w:p w:rsidR="00376768" w:rsidRDefault="00EC2B72">
            <w:pPr>
              <w:tabs>
                <w:tab w:val="left" w:leader="dot" w:pos="11520"/>
              </w:tabs>
              <w:ind w:left="173" w:hanging="173"/>
              <w:rPr>
                <w:rFonts w:ascii="Arial" w:hAnsi="Arial" w:cs="Arial"/>
                <w:sz w:val="19"/>
                <w:szCs w:val="20"/>
              </w:rPr>
            </w:pPr>
            <w:r>
              <w:rPr>
                <w:rFonts w:ascii="Arial" w:hAnsi="Arial" w:cs="Arial"/>
                <w:sz w:val="19"/>
                <w:szCs w:val="20"/>
              </w:rPr>
              <w:t>2017 NON-QUALIFIED DEFERRED COMPENSATION</w:t>
            </w:r>
            <w:r>
              <w:rPr>
                <w:rFonts w:ascii="Arial" w:hAnsi="Arial" w:cs="Arial"/>
                <w:spacing w:val="26"/>
                <w:sz w:val="19"/>
              </w:rPr>
              <w:tab/>
            </w:r>
          </w:p>
        </w:tc>
        <w:tc>
          <w:tcPr>
            <w:tcW w:w="66" w:type="pct"/>
          </w:tcPr>
          <w:p w:rsidR="00376768" w:rsidRDefault="00376768">
            <w:pPr>
              <w:jc w:val="right"/>
              <w:rPr>
                <w:rFonts w:ascii="Arial" w:hAnsi="Arial" w:cs="Arial"/>
                <w:sz w:val="19"/>
                <w:szCs w:val="20"/>
              </w:rPr>
            </w:pPr>
          </w:p>
        </w:tc>
        <w:tc>
          <w:tcPr>
            <w:tcW w:w="208" w:type="pct"/>
            <w:vAlign w:val="bottom"/>
          </w:tcPr>
          <w:p w:rsidR="00376768" w:rsidRDefault="00EC2B72">
            <w:pPr>
              <w:jc w:val="right"/>
              <w:rPr>
                <w:rFonts w:ascii="Arial" w:hAnsi="Arial" w:cs="Arial"/>
                <w:sz w:val="19"/>
                <w:szCs w:val="20"/>
              </w:rPr>
            </w:pPr>
            <w:r>
              <w:rPr>
                <w:rFonts w:ascii="Arial" w:hAnsi="Arial" w:cs="Arial"/>
                <w:sz w:val="19"/>
                <w:szCs w:val="20"/>
              </w:rPr>
              <w:fldChar w:fldCharType="begin"/>
            </w:r>
            <w:r>
              <w:rPr>
                <w:rFonts w:ascii="Arial" w:hAnsi="Arial" w:cs="Arial"/>
                <w:sz w:val="19"/>
                <w:szCs w:val="20"/>
              </w:rPr>
              <w:instrText xml:space="preserve"> PAGEREF a036_v1 \h </w:instrText>
            </w:r>
            <w:r>
              <w:rPr>
                <w:rFonts w:ascii="Arial" w:hAnsi="Arial" w:cs="Arial"/>
                <w:sz w:val="19"/>
                <w:szCs w:val="20"/>
              </w:rPr>
            </w:r>
            <w:r>
              <w:rPr>
                <w:rFonts w:ascii="Arial" w:hAnsi="Arial" w:cs="Arial"/>
                <w:sz w:val="19"/>
                <w:szCs w:val="20"/>
              </w:rPr>
              <w:fldChar w:fldCharType="separate"/>
            </w:r>
            <w:r w:rsidR="00D87BB8">
              <w:rPr>
                <w:rFonts w:ascii="Arial" w:hAnsi="Arial" w:cs="Arial"/>
                <w:noProof/>
                <w:sz w:val="19"/>
                <w:szCs w:val="20"/>
              </w:rPr>
              <w:t>46</w:t>
            </w:r>
            <w:r>
              <w:rPr>
                <w:rFonts w:ascii="Arial" w:hAnsi="Arial" w:cs="Arial"/>
                <w:sz w:val="19"/>
                <w:szCs w:val="20"/>
              </w:rPr>
              <w:fldChar w:fldCharType="end"/>
            </w:r>
          </w:p>
        </w:tc>
      </w:tr>
      <w:tr w:rsidR="00376768">
        <w:tc>
          <w:tcPr>
            <w:tcW w:w="4726" w:type="pct"/>
          </w:tcPr>
          <w:p w:rsidR="00376768" w:rsidRDefault="00EC2B72">
            <w:pPr>
              <w:tabs>
                <w:tab w:val="left" w:leader="dot" w:pos="11520"/>
              </w:tabs>
              <w:ind w:left="346" w:hanging="173"/>
              <w:rPr>
                <w:rFonts w:ascii="Arial" w:hAnsi="Arial" w:cs="Arial"/>
                <w:sz w:val="19"/>
                <w:szCs w:val="20"/>
              </w:rPr>
            </w:pPr>
            <w:r>
              <w:rPr>
                <w:rFonts w:ascii="Arial" w:hAnsi="Arial" w:cs="Arial"/>
                <w:sz w:val="19"/>
                <w:szCs w:val="20"/>
              </w:rPr>
              <w:t>Description of Supplemental Executive Retirement Plan (“SERP”)</w:t>
            </w:r>
            <w:r>
              <w:rPr>
                <w:rFonts w:ascii="Arial" w:hAnsi="Arial" w:cs="Arial"/>
                <w:spacing w:val="26"/>
                <w:sz w:val="19"/>
              </w:rPr>
              <w:t xml:space="preserve"> </w:t>
            </w:r>
            <w:r>
              <w:rPr>
                <w:rFonts w:ascii="Arial" w:hAnsi="Arial" w:cs="Arial"/>
                <w:spacing w:val="26"/>
                <w:sz w:val="19"/>
              </w:rPr>
              <w:tab/>
            </w:r>
          </w:p>
        </w:tc>
        <w:tc>
          <w:tcPr>
            <w:tcW w:w="66" w:type="pct"/>
          </w:tcPr>
          <w:p w:rsidR="00376768" w:rsidRDefault="00376768">
            <w:pPr>
              <w:jc w:val="right"/>
              <w:rPr>
                <w:rFonts w:ascii="Arial" w:hAnsi="Arial" w:cs="Arial"/>
                <w:sz w:val="19"/>
                <w:szCs w:val="20"/>
              </w:rPr>
            </w:pPr>
          </w:p>
        </w:tc>
        <w:tc>
          <w:tcPr>
            <w:tcW w:w="208" w:type="pct"/>
            <w:vAlign w:val="bottom"/>
          </w:tcPr>
          <w:p w:rsidR="00376768" w:rsidRDefault="00EC2B72">
            <w:pPr>
              <w:jc w:val="right"/>
              <w:rPr>
                <w:rFonts w:ascii="Arial" w:hAnsi="Arial" w:cs="Arial"/>
                <w:sz w:val="19"/>
                <w:szCs w:val="20"/>
              </w:rPr>
            </w:pPr>
            <w:r>
              <w:rPr>
                <w:rFonts w:ascii="Arial" w:hAnsi="Arial" w:cs="Arial"/>
                <w:sz w:val="19"/>
                <w:szCs w:val="20"/>
              </w:rPr>
              <w:fldChar w:fldCharType="begin"/>
            </w:r>
            <w:r>
              <w:rPr>
                <w:rFonts w:ascii="Arial" w:hAnsi="Arial" w:cs="Arial"/>
                <w:sz w:val="19"/>
                <w:szCs w:val="20"/>
              </w:rPr>
              <w:instrText xml:space="preserve"> PAGEREF a037_v1 \h </w:instrText>
            </w:r>
            <w:r>
              <w:rPr>
                <w:rFonts w:ascii="Arial" w:hAnsi="Arial" w:cs="Arial"/>
                <w:sz w:val="19"/>
                <w:szCs w:val="20"/>
              </w:rPr>
            </w:r>
            <w:r>
              <w:rPr>
                <w:rFonts w:ascii="Arial" w:hAnsi="Arial" w:cs="Arial"/>
                <w:sz w:val="19"/>
                <w:szCs w:val="20"/>
              </w:rPr>
              <w:fldChar w:fldCharType="separate"/>
            </w:r>
            <w:r w:rsidR="00D87BB8">
              <w:rPr>
                <w:rFonts w:ascii="Arial" w:hAnsi="Arial" w:cs="Arial"/>
                <w:noProof/>
                <w:sz w:val="19"/>
                <w:szCs w:val="20"/>
              </w:rPr>
              <w:t>46</w:t>
            </w:r>
            <w:r>
              <w:rPr>
                <w:rFonts w:ascii="Arial" w:hAnsi="Arial" w:cs="Arial"/>
                <w:sz w:val="19"/>
                <w:szCs w:val="20"/>
              </w:rPr>
              <w:fldChar w:fldCharType="end"/>
            </w:r>
          </w:p>
        </w:tc>
      </w:tr>
      <w:tr w:rsidR="00376768">
        <w:tc>
          <w:tcPr>
            <w:tcW w:w="4726" w:type="pct"/>
          </w:tcPr>
          <w:p w:rsidR="00376768" w:rsidRDefault="00EC2B72">
            <w:pPr>
              <w:tabs>
                <w:tab w:val="left" w:leader="dot" w:pos="11520"/>
              </w:tabs>
              <w:ind w:left="533" w:hanging="173"/>
              <w:rPr>
                <w:rFonts w:ascii="Arial" w:hAnsi="Arial" w:cs="Arial"/>
                <w:sz w:val="19"/>
                <w:szCs w:val="20"/>
              </w:rPr>
            </w:pPr>
            <w:r>
              <w:rPr>
                <w:rFonts w:ascii="Arial" w:hAnsi="Arial" w:cs="Arial"/>
                <w:sz w:val="19"/>
                <w:szCs w:val="20"/>
              </w:rPr>
              <w:t>Termination of Employment - Outside of a Change-in-Control</w:t>
            </w:r>
            <w:r>
              <w:rPr>
                <w:rFonts w:ascii="Arial" w:hAnsi="Arial" w:cs="Arial"/>
                <w:spacing w:val="26"/>
                <w:sz w:val="19"/>
              </w:rPr>
              <w:tab/>
            </w:r>
          </w:p>
        </w:tc>
        <w:tc>
          <w:tcPr>
            <w:tcW w:w="66" w:type="pct"/>
          </w:tcPr>
          <w:p w:rsidR="00376768" w:rsidRDefault="00376768">
            <w:pPr>
              <w:jc w:val="right"/>
              <w:rPr>
                <w:rFonts w:ascii="Arial" w:hAnsi="Arial" w:cs="Arial"/>
                <w:sz w:val="19"/>
                <w:szCs w:val="20"/>
              </w:rPr>
            </w:pPr>
          </w:p>
        </w:tc>
        <w:tc>
          <w:tcPr>
            <w:tcW w:w="208" w:type="pct"/>
            <w:vAlign w:val="bottom"/>
          </w:tcPr>
          <w:p w:rsidR="00376768" w:rsidRDefault="00EC2B72">
            <w:pPr>
              <w:jc w:val="right"/>
              <w:rPr>
                <w:rFonts w:ascii="Arial" w:hAnsi="Arial" w:cs="Arial"/>
                <w:sz w:val="19"/>
                <w:szCs w:val="20"/>
              </w:rPr>
            </w:pPr>
            <w:r>
              <w:rPr>
                <w:rFonts w:ascii="Arial" w:hAnsi="Arial" w:cs="Arial"/>
                <w:sz w:val="19"/>
                <w:szCs w:val="20"/>
              </w:rPr>
              <w:fldChar w:fldCharType="begin"/>
            </w:r>
            <w:r>
              <w:rPr>
                <w:rFonts w:ascii="Arial" w:hAnsi="Arial" w:cs="Arial"/>
                <w:sz w:val="19"/>
                <w:szCs w:val="20"/>
              </w:rPr>
              <w:instrText xml:space="preserve"> PAGEREF a038_v1 \h </w:instrText>
            </w:r>
            <w:r>
              <w:rPr>
                <w:rFonts w:ascii="Arial" w:hAnsi="Arial" w:cs="Arial"/>
                <w:sz w:val="19"/>
                <w:szCs w:val="20"/>
              </w:rPr>
            </w:r>
            <w:r>
              <w:rPr>
                <w:rFonts w:ascii="Arial" w:hAnsi="Arial" w:cs="Arial"/>
                <w:sz w:val="19"/>
                <w:szCs w:val="20"/>
              </w:rPr>
              <w:fldChar w:fldCharType="separate"/>
            </w:r>
            <w:r w:rsidR="00D87BB8">
              <w:rPr>
                <w:rFonts w:ascii="Arial" w:hAnsi="Arial" w:cs="Arial"/>
                <w:noProof/>
                <w:sz w:val="19"/>
                <w:szCs w:val="20"/>
              </w:rPr>
              <w:t>47</w:t>
            </w:r>
            <w:r>
              <w:rPr>
                <w:rFonts w:ascii="Arial" w:hAnsi="Arial" w:cs="Arial"/>
                <w:sz w:val="19"/>
                <w:szCs w:val="20"/>
              </w:rPr>
              <w:fldChar w:fldCharType="end"/>
            </w:r>
          </w:p>
        </w:tc>
      </w:tr>
      <w:tr w:rsidR="00376768">
        <w:tc>
          <w:tcPr>
            <w:tcW w:w="4726" w:type="pct"/>
          </w:tcPr>
          <w:p w:rsidR="00376768" w:rsidRDefault="00EC2B72">
            <w:pPr>
              <w:tabs>
                <w:tab w:val="left" w:leader="dot" w:pos="11520"/>
              </w:tabs>
              <w:ind w:left="677" w:hanging="173"/>
              <w:rPr>
                <w:rFonts w:ascii="Arial" w:hAnsi="Arial" w:cs="Arial"/>
                <w:sz w:val="19"/>
                <w:szCs w:val="20"/>
              </w:rPr>
            </w:pPr>
            <w:r>
              <w:rPr>
                <w:rFonts w:ascii="Arial" w:hAnsi="Arial" w:cs="Arial"/>
                <w:sz w:val="19"/>
                <w:szCs w:val="20"/>
              </w:rPr>
              <w:t>Termination Provisions Under Our Equity and Annual Compensation Plans and Programs</w:t>
            </w:r>
            <w:r>
              <w:rPr>
                <w:rFonts w:ascii="Arial" w:hAnsi="Arial" w:cs="Arial"/>
                <w:spacing w:val="26"/>
                <w:sz w:val="19"/>
              </w:rPr>
              <w:tab/>
            </w:r>
          </w:p>
        </w:tc>
        <w:tc>
          <w:tcPr>
            <w:tcW w:w="66" w:type="pct"/>
          </w:tcPr>
          <w:p w:rsidR="00376768" w:rsidRDefault="00376768">
            <w:pPr>
              <w:jc w:val="right"/>
              <w:rPr>
                <w:rFonts w:ascii="Arial" w:hAnsi="Arial" w:cs="Arial"/>
                <w:sz w:val="19"/>
                <w:szCs w:val="20"/>
              </w:rPr>
            </w:pPr>
          </w:p>
        </w:tc>
        <w:tc>
          <w:tcPr>
            <w:tcW w:w="208" w:type="pct"/>
            <w:vAlign w:val="bottom"/>
          </w:tcPr>
          <w:p w:rsidR="00376768" w:rsidRDefault="00EC2B72">
            <w:pPr>
              <w:jc w:val="right"/>
              <w:rPr>
                <w:rFonts w:ascii="Arial" w:hAnsi="Arial" w:cs="Arial"/>
                <w:sz w:val="19"/>
                <w:szCs w:val="20"/>
              </w:rPr>
            </w:pPr>
            <w:r>
              <w:rPr>
                <w:rFonts w:ascii="Arial" w:hAnsi="Arial" w:cs="Arial"/>
                <w:sz w:val="19"/>
                <w:szCs w:val="20"/>
              </w:rPr>
              <w:fldChar w:fldCharType="begin"/>
            </w:r>
            <w:r>
              <w:rPr>
                <w:rFonts w:ascii="Arial" w:hAnsi="Arial" w:cs="Arial"/>
                <w:sz w:val="19"/>
                <w:szCs w:val="20"/>
              </w:rPr>
              <w:instrText xml:space="preserve"> PAGEREF a039_v1 \h </w:instrText>
            </w:r>
            <w:r>
              <w:rPr>
                <w:rFonts w:ascii="Arial" w:hAnsi="Arial" w:cs="Arial"/>
                <w:sz w:val="19"/>
                <w:szCs w:val="20"/>
              </w:rPr>
            </w:r>
            <w:r>
              <w:rPr>
                <w:rFonts w:ascii="Arial" w:hAnsi="Arial" w:cs="Arial"/>
                <w:sz w:val="19"/>
                <w:szCs w:val="20"/>
              </w:rPr>
              <w:fldChar w:fldCharType="separate"/>
            </w:r>
            <w:r w:rsidR="00D87BB8">
              <w:rPr>
                <w:rFonts w:ascii="Arial" w:hAnsi="Arial" w:cs="Arial"/>
                <w:noProof/>
                <w:sz w:val="19"/>
                <w:szCs w:val="20"/>
              </w:rPr>
              <w:t>47</w:t>
            </w:r>
            <w:r>
              <w:rPr>
                <w:rFonts w:ascii="Arial" w:hAnsi="Arial" w:cs="Arial"/>
                <w:sz w:val="19"/>
                <w:szCs w:val="20"/>
              </w:rPr>
              <w:fldChar w:fldCharType="end"/>
            </w:r>
          </w:p>
        </w:tc>
      </w:tr>
      <w:tr w:rsidR="00376768">
        <w:tc>
          <w:tcPr>
            <w:tcW w:w="4726" w:type="pct"/>
          </w:tcPr>
          <w:p w:rsidR="00376768" w:rsidRDefault="00EC2B72">
            <w:pPr>
              <w:tabs>
                <w:tab w:val="left" w:leader="dot" w:pos="11520"/>
              </w:tabs>
              <w:ind w:left="677" w:hanging="173"/>
              <w:rPr>
                <w:rFonts w:ascii="Arial" w:hAnsi="Arial" w:cs="Arial"/>
                <w:sz w:val="19"/>
                <w:szCs w:val="20"/>
              </w:rPr>
            </w:pPr>
            <w:r>
              <w:rPr>
                <w:rFonts w:ascii="Arial" w:hAnsi="Arial" w:cs="Arial"/>
                <w:sz w:val="19"/>
                <w:szCs w:val="20"/>
              </w:rPr>
              <w:t>Termination Provisions Under Our Supplemental Executive Retirement Plan (“SERP”)</w:t>
            </w:r>
            <w:r>
              <w:rPr>
                <w:rFonts w:ascii="Arial" w:hAnsi="Arial" w:cs="Arial"/>
                <w:spacing w:val="26"/>
                <w:sz w:val="19"/>
              </w:rPr>
              <w:t xml:space="preserve"> </w:t>
            </w:r>
            <w:r>
              <w:rPr>
                <w:rFonts w:ascii="Arial" w:hAnsi="Arial" w:cs="Arial"/>
                <w:spacing w:val="26"/>
                <w:sz w:val="19"/>
              </w:rPr>
              <w:tab/>
            </w:r>
          </w:p>
        </w:tc>
        <w:tc>
          <w:tcPr>
            <w:tcW w:w="66" w:type="pct"/>
          </w:tcPr>
          <w:p w:rsidR="00376768" w:rsidRDefault="00376768">
            <w:pPr>
              <w:jc w:val="right"/>
              <w:rPr>
                <w:rFonts w:ascii="Arial" w:hAnsi="Arial" w:cs="Arial"/>
                <w:sz w:val="19"/>
                <w:szCs w:val="20"/>
              </w:rPr>
            </w:pPr>
          </w:p>
        </w:tc>
        <w:tc>
          <w:tcPr>
            <w:tcW w:w="208" w:type="pct"/>
            <w:vAlign w:val="bottom"/>
          </w:tcPr>
          <w:p w:rsidR="00376768" w:rsidRDefault="00EC2B72">
            <w:pPr>
              <w:jc w:val="right"/>
              <w:rPr>
                <w:rFonts w:ascii="Arial" w:hAnsi="Arial" w:cs="Arial"/>
                <w:sz w:val="19"/>
                <w:szCs w:val="20"/>
              </w:rPr>
            </w:pPr>
            <w:r>
              <w:rPr>
                <w:rFonts w:ascii="Arial" w:hAnsi="Arial" w:cs="Arial"/>
                <w:sz w:val="19"/>
                <w:szCs w:val="20"/>
              </w:rPr>
              <w:fldChar w:fldCharType="begin"/>
            </w:r>
            <w:r>
              <w:rPr>
                <w:rFonts w:ascii="Arial" w:hAnsi="Arial" w:cs="Arial"/>
                <w:sz w:val="19"/>
                <w:szCs w:val="20"/>
              </w:rPr>
              <w:instrText xml:space="preserve"> PAGEREF a040_v1 \h </w:instrText>
            </w:r>
            <w:r>
              <w:rPr>
                <w:rFonts w:ascii="Arial" w:hAnsi="Arial" w:cs="Arial"/>
                <w:sz w:val="19"/>
                <w:szCs w:val="20"/>
              </w:rPr>
            </w:r>
            <w:r>
              <w:rPr>
                <w:rFonts w:ascii="Arial" w:hAnsi="Arial" w:cs="Arial"/>
                <w:sz w:val="19"/>
                <w:szCs w:val="20"/>
              </w:rPr>
              <w:fldChar w:fldCharType="separate"/>
            </w:r>
            <w:r w:rsidR="00D87BB8">
              <w:rPr>
                <w:rFonts w:ascii="Arial" w:hAnsi="Arial" w:cs="Arial"/>
                <w:noProof/>
                <w:sz w:val="19"/>
                <w:szCs w:val="20"/>
              </w:rPr>
              <w:t>47</w:t>
            </w:r>
            <w:r>
              <w:rPr>
                <w:rFonts w:ascii="Arial" w:hAnsi="Arial" w:cs="Arial"/>
                <w:sz w:val="19"/>
                <w:szCs w:val="20"/>
              </w:rPr>
              <w:fldChar w:fldCharType="end"/>
            </w:r>
          </w:p>
        </w:tc>
      </w:tr>
      <w:tr w:rsidR="00376768">
        <w:tc>
          <w:tcPr>
            <w:tcW w:w="4726" w:type="pct"/>
          </w:tcPr>
          <w:p w:rsidR="00376768" w:rsidRDefault="00EC2B72">
            <w:pPr>
              <w:tabs>
                <w:tab w:val="left" w:leader="dot" w:pos="11520"/>
              </w:tabs>
              <w:ind w:left="533" w:hanging="173"/>
              <w:rPr>
                <w:rFonts w:ascii="Arial" w:hAnsi="Arial" w:cs="Arial"/>
                <w:sz w:val="19"/>
                <w:szCs w:val="20"/>
              </w:rPr>
            </w:pPr>
            <w:r>
              <w:rPr>
                <w:rFonts w:ascii="Arial" w:hAnsi="Arial" w:cs="Arial"/>
                <w:sz w:val="19"/>
                <w:szCs w:val="20"/>
              </w:rPr>
              <w:t>Change-In-Control and/or Related Termination of Employment</w:t>
            </w:r>
            <w:r>
              <w:rPr>
                <w:rFonts w:ascii="Arial" w:hAnsi="Arial" w:cs="Arial"/>
                <w:spacing w:val="26"/>
                <w:sz w:val="19"/>
              </w:rPr>
              <w:tab/>
            </w:r>
          </w:p>
        </w:tc>
        <w:tc>
          <w:tcPr>
            <w:tcW w:w="66" w:type="pct"/>
          </w:tcPr>
          <w:p w:rsidR="00376768" w:rsidRDefault="00376768">
            <w:pPr>
              <w:jc w:val="right"/>
              <w:rPr>
                <w:rFonts w:ascii="Arial" w:hAnsi="Arial" w:cs="Arial"/>
                <w:sz w:val="19"/>
                <w:szCs w:val="20"/>
              </w:rPr>
            </w:pPr>
          </w:p>
        </w:tc>
        <w:tc>
          <w:tcPr>
            <w:tcW w:w="208" w:type="pct"/>
            <w:vAlign w:val="bottom"/>
          </w:tcPr>
          <w:p w:rsidR="00376768" w:rsidRDefault="00EC2B72">
            <w:pPr>
              <w:jc w:val="right"/>
              <w:rPr>
                <w:rFonts w:ascii="Arial" w:hAnsi="Arial" w:cs="Arial"/>
                <w:sz w:val="19"/>
                <w:szCs w:val="20"/>
              </w:rPr>
            </w:pPr>
            <w:r>
              <w:rPr>
                <w:rFonts w:ascii="Arial" w:hAnsi="Arial" w:cs="Arial"/>
                <w:sz w:val="19"/>
                <w:szCs w:val="20"/>
              </w:rPr>
              <w:fldChar w:fldCharType="begin"/>
            </w:r>
            <w:r>
              <w:rPr>
                <w:rFonts w:ascii="Arial" w:hAnsi="Arial" w:cs="Arial"/>
                <w:sz w:val="19"/>
                <w:szCs w:val="20"/>
              </w:rPr>
              <w:instrText xml:space="preserve"> PAGEREF a041_v1 \h </w:instrText>
            </w:r>
            <w:r>
              <w:rPr>
                <w:rFonts w:ascii="Arial" w:hAnsi="Arial" w:cs="Arial"/>
                <w:sz w:val="19"/>
                <w:szCs w:val="20"/>
              </w:rPr>
            </w:r>
            <w:r>
              <w:rPr>
                <w:rFonts w:ascii="Arial" w:hAnsi="Arial" w:cs="Arial"/>
                <w:sz w:val="19"/>
                <w:szCs w:val="20"/>
              </w:rPr>
              <w:fldChar w:fldCharType="separate"/>
            </w:r>
            <w:r w:rsidR="00D87BB8">
              <w:rPr>
                <w:rFonts w:ascii="Arial" w:hAnsi="Arial" w:cs="Arial"/>
                <w:noProof/>
                <w:sz w:val="19"/>
                <w:szCs w:val="20"/>
              </w:rPr>
              <w:t>47</w:t>
            </w:r>
            <w:r>
              <w:rPr>
                <w:rFonts w:ascii="Arial" w:hAnsi="Arial" w:cs="Arial"/>
                <w:sz w:val="19"/>
                <w:szCs w:val="20"/>
              </w:rPr>
              <w:fldChar w:fldCharType="end"/>
            </w:r>
          </w:p>
        </w:tc>
      </w:tr>
      <w:tr w:rsidR="00376768">
        <w:tc>
          <w:tcPr>
            <w:tcW w:w="4726" w:type="pct"/>
          </w:tcPr>
          <w:p w:rsidR="00376768" w:rsidRDefault="00EC2B72">
            <w:pPr>
              <w:tabs>
                <w:tab w:val="left" w:leader="dot" w:pos="11520"/>
              </w:tabs>
              <w:ind w:left="677" w:hanging="173"/>
              <w:rPr>
                <w:rFonts w:ascii="Arial" w:hAnsi="Arial" w:cs="Arial"/>
                <w:sz w:val="19"/>
                <w:szCs w:val="20"/>
              </w:rPr>
            </w:pPr>
            <w:r>
              <w:rPr>
                <w:rFonts w:ascii="Arial" w:hAnsi="Arial" w:cs="Arial"/>
                <w:sz w:val="19"/>
                <w:szCs w:val="20"/>
              </w:rPr>
              <w:t>Change-In-Control Provisions Under the Executive Annual Incentive Compensation Plan</w:t>
            </w:r>
            <w:r>
              <w:rPr>
                <w:rFonts w:ascii="Arial" w:hAnsi="Arial" w:cs="Arial"/>
                <w:spacing w:val="26"/>
                <w:sz w:val="19"/>
              </w:rPr>
              <w:tab/>
            </w:r>
          </w:p>
        </w:tc>
        <w:tc>
          <w:tcPr>
            <w:tcW w:w="66" w:type="pct"/>
          </w:tcPr>
          <w:p w:rsidR="00376768" w:rsidRDefault="00376768">
            <w:pPr>
              <w:jc w:val="right"/>
              <w:rPr>
                <w:rFonts w:ascii="Arial" w:hAnsi="Arial" w:cs="Arial"/>
                <w:sz w:val="19"/>
                <w:szCs w:val="20"/>
              </w:rPr>
            </w:pPr>
          </w:p>
        </w:tc>
        <w:tc>
          <w:tcPr>
            <w:tcW w:w="208" w:type="pct"/>
            <w:vAlign w:val="bottom"/>
          </w:tcPr>
          <w:p w:rsidR="00376768" w:rsidRDefault="00EC2B72">
            <w:pPr>
              <w:jc w:val="right"/>
              <w:rPr>
                <w:rFonts w:ascii="Arial" w:hAnsi="Arial" w:cs="Arial"/>
                <w:sz w:val="19"/>
                <w:szCs w:val="20"/>
              </w:rPr>
            </w:pPr>
            <w:r>
              <w:rPr>
                <w:rFonts w:ascii="Arial" w:hAnsi="Arial" w:cs="Arial"/>
                <w:sz w:val="19"/>
                <w:szCs w:val="20"/>
              </w:rPr>
              <w:fldChar w:fldCharType="begin"/>
            </w:r>
            <w:r>
              <w:rPr>
                <w:rFonts w:ascii="Arial" w:hAnsi="Arial" w:cs="Arial"/>
                <w:sz w:val="19"/>
                <w:szCs w:val="20"/>
              </w:rPr>
              <w:instrText xml:space="preserve"> PAGEREF a042_v1 \h </w:instrText>
            </w:r>
            <w:r>
              <w:rPr>
                <w:rFonts w:ascii="Arial" w:hAnsi="Arial" w:cs="Arial"/>
                <w:sz w:val="19"/>
                <w:szCs w:val="20"/>
              </w:rPr>
            </w:r>
            <w:r>
              <w:rPr>
                <w:rFonts w:ascii="Arial" w:hAnsi="Arial" w:cs="Arial"/>
                <w:sz w:val="19"/>
                <w:szCs w:val="20"/>
              </w:rPr>
              <w:fldChar w:fldCharType="separate"/>
            </w:r>
            <w:r w:rsidR="00D87BB8">
              <w:rPr>
                <w:rFonts w:ascii="Arial" w:hAnsi="Arial" w:cs="Arial"/>
                <w:noProof/>
                <w:sz w:val="19"/>
                <w:szCs w:val="20"/>
              </w:rPr>
              <w:t>47</w:t>
            </w:r>
            <w:r>
              <w:rPr>
                <w:rFonts w:ascii="Arial" w:hAnsi="Arial" w:cs="Arial"/>
                <w:sz w:val="19"/>
                <w:szCs w:val="20"/>
              </w:rPr>
              <w:fldChar w:fldCharType="end"/>
            </w:r>
          </w:p>
        </w:tc>
      </w:tr>
      <w:tr w:rsidR="00376768">
        <w:tc>
          <w:tcPr>
            <w:tcW w:w="4726" w:type="pct"/>
          </w:tcPr>
          <w:p w:rsidR="00376768" w:rsidRDefault="00EC2B72">
            <w:pPr>
              <w:tabs>
                <w:tab w:val="left" w:leader="dot" w:pos="11520"/>
              </w:tabs>
              <w:ind w:left="677" w:hanging="173"/>
              <w:rPr>
                <w:rFonts w:ascii="Arial" w:hAnsi="Arial" w:cs="Arial"/>
                <w:sz w:val="19"/>
                <w:szCs w:val="20"/>
              </w:rPr>
            </w:pPr>
            <w:r>
              <w:rPr>
                <w:rFonts w:ascii="Arial" w:hAnsi="Arial" w:cs="Arial"/>
                <w:sz w:val="19"/>
                <w:szCs w:val="20"/>
              </w:rPr>
              <w:t>Change-In-Control Provisions Under the Key Employee Separation Plan</w:t>
            </w:r>
            <w:r>
              <w:rPr>
                <w:rFonts w:ascii="Arial" w:hAnsi="Arial" w:cs="Arial"/>
                <w:spacing w:val="26"/>
                <w:sz w:val="19"/>
              </w:rPr>
              <w:tab/>
            </w:r>
          </w:p>
        </w:tc>
        <w:tc>
          <w:tcPr>
            <w:tcW w:w="66" w:type="pct"/>
          </w:tcPr>
          <w:p w:rsidR="00376768" w:rsidRDefault="00376768">
            <w:pPr>
              <w:jc w:val="right"/>
              <w:rPr>
                <w:rFonts w:ascii="Arial" w:hAnsi="Arial" w:cs="Arial"/>
                <w:sz w:val="19"/>
                <w:szCs w:val="20"/>
              </w:rPr>
            </w:pPr>
          </w:p>
        </w:tc>
        <w:tc>
          <w:tcPr>
            <w:tcW w:w="208" w:type="pct"/>
            <w:vAlign w:val="bottom"/>
          </w:tcPr>
          <w:p w:rsidR="00376768" w:rsidRDefault="00EC2B72">
            <w:pPr>
              <w:jc w:val="right"/>
              <w:rPr>
                <w:rFonts w:ascii="Arial" w:hAnsi="Arial" w:cs="Arial"/>
                <w:sz w:val="19"/>
                <w:szCs w:val="20"/>
              </w:rPr>
            </w:pPr>
            <w:r>
              <w:rPr>
                <w:rFonts w:ascii="Arial" w:hAnsi="Arial" w:cs="Arial"/>
                <w:sz w:val="19"/>
                <w:szCs w:val="20"/>
              </w:rPr>
              <w:fldChar w:fldCharType="begin"/>
            </w:r>
            <w:r>
              <w:rPr>
                <w:rFonts w:ascii="Arial" w:hAnsi="Arial" w:cs="Arial"/>
                <w:sz w:val="19"/>
                <w:szCs w:val="20"/>
              </w:rPr>
              <w:instrText xml:space="preserve"> PAGEREF a043_v1 \h </w:instrText>
            </w:r>
            <w:r>
              <w:rPr>
                <w:rFonts w:ascii="Arial" w:hAnsi="Arial" w:cs="Arial"/>
                <w:sz w:val="19"/>
                <w:szCs w:val="20"/>
              </w:rPr>
            </w:r>
            <w:r>
              <w:rPr>
                <w:rFonts w:ascii="Arial" w:hAnsi="Arial" w:cs="Arial"/>
                <w:sz w:val="19"/>
                <w:szCs w:val="20"/>
              </w:rPr>
              <w:fldChar w:fldCharType="separate"/>
            </w:r>
            <w:r w:rsidR="00D87BB8">
              <w:rPr>
                <w:rFonts w:ascii="Arial" w:hAnsi="Arial" w:cs="Arial"/>
                <w:noProof/>
                <w:sz w:val="19"/>
                <w:szCs w:val="20"/>
              </w:rPr>
              <w:t>48</w:t>
            </w:r>
            <w:r>
              <w:rPr>
                <w:rFonts w:ascii="Arial" w:hAnsi="Arial" w:cs="Arial"/>
                <w:sz w:val="19"/>
                <w:szCs w:val="20"/>
              </w:rPr>
              <w:fldChar w:fldCharType="end"/>
            </w:r>
          </w:p>
        </w:tc>
      </w:tr>
      <w:tr w:rsidR="00376768">
        <w:tc>
          <w:tcPr>
            <w:tcW w:w="4726" w:type="pct"/>
          </w:tcPr>
          <w:p w:rsidR="00376768" w:rsidRDefault="00EC2B72">
            <w:pPr>
              <w:tabs>
                <w:tab w:val="left" w:leader="dot" w:pos="11520"/>
              </w:tabs>
              <w:ind w:left="677" w:hanging="173"/>
              <w:rPr>
                <w:rFonts w:ascii="Arial" w:hAnsi="Arial" w:cs="Arial"/>
                <w:sz w:val="19"/>
                <w:szCs w:val="20"/>
              </w:rPr>
            </w:pPr>
            <w:r>
              <w:rPr>
                <w:rFonts w:ascii="Arial" w:hAnsi="Arial" w:cs="Arial"/>
                <w:sz w:val="19"/>
                <w:szCs w:val="20"/>
              </w:rPr>
              <w:t>Change-In-Control and Termination Provisions Under Our Equity Compensation Programs</w:t>
            </w:r>
            <w:r>
              <w:rPr>
                <w:rFonts w:ascii="Arial" w:hAnsi="Arial" w:cs="Arial"/>
                <w:spacing w:val="26"/>
                <w:sz w:val="19"/>
              </w:rPr>
              <w:tab/>
            </w:r>
          </w:p>
        </w:tc>
        <w:tc>
          <w:tcPr>
            <w:tcW w:w="66" w:type="pct"/>
          </w:tcPr>
          <w:p w:rsidR="00376768" w:rsidRDefault="00376768">
            <w:pPr>
              <w:jc w:val="right"/>
              <w:rPr>
                <w:rFonts w:ascii="Arial" w:hAnsi="Arial" w:cs="Arial"/>
                <w:sz w:val="19"/>
                <w:szCs w:val="20"/>
              </w:rPr>
            </w:pPr>
          </w:p>
        </w:tc>
        <w:tc>
          <w:tcPr>
            <w:tcW w:w="208" w:type="pct"/>
            <w:vAlign w:val="bottom"/>
          </w:tcPr>
          <w:p w:rsidR="00376768" w:rsidRDefault="00EC2B72">
            <w:pPr>
              <w:jc w:val="right"/>
              <w:rPr>
                <w:rFonts w:ascii="Arial" w:hAnsi="Arial" w:cs="Arial"/>
                <w:sz w:val="19"/>
                <w:szCs w:val="20"/>
              </w:rPr>
            </w:pPr>
            <w:r>
              <w:rPr>
                <w:rFonts w:ascii="Arial" w:hAnsi="Arial" w:cs="Arial"/>
                <w:sz w:val="19"/>
                <w:szCs w:val="20"/>
              </w:rPr>
              <w:fldChar w:fldCharType="begin"/>
            </w:r>
            <w:r>
              <w:rPr>
                <w:rFonts w:ascii="Arial" w:hAnsi="Arial" w:cs="Arial"/>
                <w:sz w:val="19"/>
                <w:szCs w:val="20"/>
              </w:rPr>
              <w:instrText xml:space="preserve"> PAGEREF a044_v1 \h </w:instrText>
            </w:r>
            <w:r>
              <w:rPr>
                <w:rFonts w:ascii="Arial" w:hAnsi="Arial" w:cs="Arial"/>
                <w:sz w:val="19"/>
                <w:szCs w:val="20"/>
              </w:rPr>
            </w:r>
            <w:r>
              <w:rPr>
                <w:rFonts w:ascii="Arial" w:hAnsi="Arial" w:cs="Arial"/>
                <w:sz w:val="19"/>
                <w:szCs w:val="20"/>
              </w:rPr>
              <w:fldChar w:fldCharType="separate"/>
            </w:r>
            <w:r w:rsidR="00D87BB8">
              <w:rPr>
                <w:rFonts w:ascii="Arial" w:hAnsi="Arial" w:cs="Arial"/>
                <w:noProof/>
                <w:sz w:val="19"/>
                <w:szCs w:val="20"/>
              </w:rPr>
              <w:t>49</w:t>
            </w:r>
            <w:r>
              <w:rPr>
                <w:rFonts w:ascii="Arial" w:hAnsi="Arial" w:cs="Arial"/>
                <w:sz w:val="19"/>
                <w:szCs w:val="20"/>
              </w:rPr>
              <w:fldChar w:fldCharType="end"/>
            </w:r>
          </w:p>
        </w:tc>
      </w:tr>
      <w:tr w:rsidR="00376768">
        <w:tc>
          <w:tcPr>
            <w:tcW w:w="4726" w:type="pct"/>
          </w:tcPr>
          <w:p w:rsidR="00376768" w:rsidRDefault="00EC2B72">
            <w:pPr>
              <w:tabs>
                <w:tab w:val="left" w:leader="dot" w:pos="11520"/>
              </w:tabs>
              <w:ind w:left="173" w:hanging="173"/>
              <w:rPr>
                <w:rFonts w:ascii="Arial" w:hAnsi="Arial" w:cs="Arial"/>
                <w:sz w:val="19"/>
                <w:szCs w:val="20"/>
              </w:rPr>
            </w:pPr>
            <w:r>
              <w:rPr>
                <w:rFonts w:ascii="Arial" w:hAnsi="Arial" w:cs="Arial"/>
                <w:sz w:val="19"/>
                <w:szCs w:val="20"/>
              </w:rPr>
              <w:t>RATIO OF ANNUAL COMPENSATION FOR THE CEO TO OUR MEDIAN EMPLOYEE</w:t>
            </w:r>
            <w:r>
              <w:rPr>
                <w:rFonts w:ascii="Arial" w:hAnsi="Arial" w:cs="Arial"/>
                <w:spacing w:val="26"/>
                <w:sz w:val="19"/>
              </w:rPr>
              <w:tab/>
            </w:r>
          </w:p>
        </w:tc>
        <w:tc>
          <w:tcPr>
            <w:tcW w:w="66" w:type="pct"/>
          </w:tcPr>
          <w:p w:rsidR="00376768" w:rsidRDefault="00376768">
            <w:pPr>
              <w:jc w:val="right"/>
              <w:rPr>
                <w:rFonts w:ascii="Arial" w:hAnsi="Arial" w:cs="Arial"/>
                <w:sz w:val="19"/>
                <w:szCs w:val="20"/>
              </w:rPr>
            </w:pPr>
          </w:p>
        </w:tc>
        <w:tc>
          <w:tcPr>
            <w:tcW w:w="208" w:type="pct"/>
            <w:vAlign w:val="bottom"/>
          </w:tcPr>
          <w:p w:rsidR="00376768" w:rsidRDefault="00EC2B72">
            <w:pPr>
              <w:jc w:val="right"/>
              <w:rPr>
                <w:rFonts w:ascii="Arial" w:hAnsi="Arial" w:cs="Arial"/>
                <w:sz w:val="19"/>
                <w:szCs w:val="20"/>
              </w:rPr>
            </w:pPr>
            <w:r>
              <w:rPr>
                <w:rFonts w:ascii="Arial" w:hAnsi="Arial" w:cs="Arial"/>
                <w:sz w:val="19"/>
                <w:szCs w:val="20"/>
              </w:rPr>
              <w:fldChar w:fldCharType="begin"/>
            </w:r>
            <w:r>
              <w:rPr>
                <w:rFonts w:ascii="Arial" w:hAnsi="Arial" w:cs="Arial"/>
                <w:sz w:val="19"/>
                <w:szCs w:val="20"/>
              </w:rPr>
              <w:instrText xml:space="preserve"> PAGEREF a045_v1 \h </w:instrText>
            </w:r>
            <w:r>
              <w:rPr>
                <w:rFonts w:ascii="Arial" w:hAnsi="Arial" w:cs="Arial"/>
                <w:sz w:val="19"/>
                <w:szCs w:val="20"/>
              </w:rPr>
            </w:r>
            <w:r>
              <w:rPr>
                <w:rFonts w:ascii="Arial" w:hAnsi="Arial" w:cs="Arial"/>
                <w:sz w:val="19"/>
                <w:szCs w:val="20"/>
              </w:rPr>
              <w:fldChar w:fldCharType="separate"/>
            </w:r>
            <w:r w:rsidR="00D87BB8">
              <w:rPr>
                <w:rFonts w:ascii="Arial" w:hAnsi="Arial" w:cs="Arial"/>
                <w:noProof/>
                <w:sz w:val="19"/>
                <w:szCs w:val="20"/>
              </w:rPr>
              <w:t>51</w:t>
            </w:r>
            <w:r>
              <w:rPr>
                <w:rFonts w:ascii="Arial" w:hAnsi="Arial" w:cs="Arial"/>
                <w:sz w:val="19"/>
                <w:szCs w:val="20"/>
              </w:rPr>
              <w:fldChar w:fldCharType="end"/>
            </w:r>
          </w:p>
        </w:tc>
      </w:tr>
      <w:tr w:rsidR="00376768">
        <w:tc>
          <w:tcPr>
            <w:tcW w:w="4726" w:type="pct"/>
          </w:tcPr>
          <w:p w:rsidR="00376768" w:rsidRDefault="00EC2B72">
            <w:pPr>
              <w:tabs>
                <w:tab w:val="left" w:leader="dot" w:pos="11520"/>
              </w:tabs>
              <w:ind w:left="173" w:hanging="173"/>
              <w:rPr>
                <w:rFonts w:ascii="Arial" w:hAnsi="Arial" w:cs="Arial"/>
                <w:sz w:val="19"/>
                <w:szCs w:val="20"/>
              </w:rPr>
            </w:pPr>
            <w:r>
              <w:rPr>
                <w:rFonts w:ascii="Arial" w:hAnsi="Arial" w:cs="Arial"/>
                <w:sz w:val="19"/>
                <w:szCs w:val="20"/>
              </w:rPr>
              <w:t>AUDIT COMMITTEE REPORT</w:t>
            </w:r>
            <w:r>
              <w:rPr>
                <w:rFonts w:ascii="Arial" w:hAnsi="Arial" w:cs="Arial"/>
                <w:spacing w:val="26"/>
                <w:sz w:val="19"/>
              </w:rPr>
              <w:tab/>
            </w:r>
          </w:p>
        </w:tc>
        <w:tc>
          <w:tcPr>
            <w:tcW w:w="66" w:type="pct"/>
          </w:tcPr>
          <w:p w:rsidR="00376768" w:rsidRDefault="00376768">
            <w:pPr>
              <w:jc w:val="right"/>
              <w:rPr>
                <w:rFonts w:ascii="Arial" w:hAnsi="Arial" w:cs="Arial"/>
                <w:sz w:val="19"/>
                <w:szCs w:val="20"/>
              </w:rPr>
            </w:pPr>
          </w:p>
        </w:tc>
        <w:tc>
          <w:tcPr>
            <w:tcW w:w="208" w:type="pct"/>
            <w:vAlign w:val="bottom"/>
          </w:tcPr>
          <w:p w:rsidR="00376768" w:rsidRDefault="00EC2B72">
            <w:pPr>
              <w:jc w:val="right"/>
              <w:rPr>
                <w:rFonts w:ascii="Arial" w:hAnsi="Arial" w:cs="Arial"/>
                <w:sz w:val="19"/>
                <w:szCs w:val="20"/>
              </w:rPr>
            </w:pPr>
            <w:r>
              <w:rPr>
                <w:rFonts w:ascii="Arial" w:hAnsi="Arial" w:cs="Arial"/>
                <w:sz w:val="19"/>
                <w:szCs w:val="20"/>
              </w:rPr>
              <w:fldChar w:fldCharType="begin"/>
            </w:r>
            <w:r>
              <w:rPr>
                <w:rFonts w:ascii="Arial" w:hAnsi="Arial" w:cs="Arial"/>
                <w:sz w:val="19"/>
                <w:szCs w:val="20"/>
              </w:rPr>
              <w:instrText xml:space="preserve"> PAGEREF a046_v1 \h </w:instrText>
            </w:r>
            <w:r>
              <w:rPr>
                <w:rFonts w:ascii="Arial" w:hAnsi="Arial" w:cs="Arial"/>
                <w:sz w:val="19"/>
                <w:szCs w:val="20"/>
              </w:rPr>
            </w:r>
            <w:r>
              <w:rPr>
                <w:rFonts w:ascii="Arial" w:hAnsi="Arial" w:cs="Arial"/>
                <w:sz w:val="19"/>
                <w:szCs w:val="20"/>
              </w:rPr>
              <w:fldChar w:fldCharType="separate"/>
            </w:r>
            <w:r w:rsidR="00D87BB8">
              <w:rPr>
                <w:rFonts w:ascii="Arial" w:hAnsi="Arial" w:cs="Arial"/>
                <w:noProof/>
                <w:sz w:val="19"/>
                <w:szCs w:val="20"/>
              </w:rPr>
              <w:t>52</w:t>
            </w:r>
            <w:r>
              <w:rPr>
                <w:rFonts w:ascii="Arial" w:hAnsi="Arial" w:cs="Arial"/>
                <w:sz w:val="19"/>
                <w:szCs w:val="20"/>
              </w:rPr>
              <w:fldChar w:fldCharType="end"/>
            </w:r>
          </w:p>
        </w:tc>
      </w:tr>
      <w:tr w:rsidR="00376768">
        <w:tc>
          <w:tcPr>
            <w:tcW w:w="4726" w:type="pct"/>
          </w:tcPr>
          <w:p w:rsidR="00376768" w:rsidRDefault="00EC2B72">
            <w:pPr>
              <w:tabs>
                <w:tab w:val="left" w:leader="dot" w:pos="11520"/>
              </w:tabs>
              <w:ind w:left="173" w:hanging="173"/>
              <w:rPr>
                <w:rFonts w:ascii="Arial" w:hAnsi="Arial" w:cs="Arial"/>
                <w:sz w:val="19"/>
                <w:szCs w:val="20"/>
              </w:rPr>
            </w:pPr>
            <w:r>
              <w:rPr>
                <w:rFonts w:ascii="Arial" w:hAnsi="Arial" w:cs="Arial"/>
                <w:sz w:val="19"/>
                <w:szCs w:val="20"/>
              </w:rPr>
              <w:t>ADDITIONAL INFORMATION</w:t>
            </w:r>
            <w:r>
              <w:rPr>
                <w:rFonts w:ascii="Arial" w:hAnsi="Arial" w:cs="Arial"/>
                <w:spacing w:val="26"/>
                <w:sz w:val="19"/>
              </w:rPr>
              <w:tab/>
            </w:r>
          </w:p>
        </w:tc>
        <w:tc>
          <w:tcPr>
            <w:tcW w:w="66" w:type="pct"/>
          </w:tcPr>
          <w:p w:rsidR="00376768" w:rsidRDefault="00376768">
            <w:pPr>
              <w:jc w:val="right"/>
              <w:rPr>
                <w:rFonts w:ascii="Arial" w:hAnsi="Arial" w:cs="Arial"/>
                <w:sz w:val="19"/>
                <w:szCs w:val="20"/>
              </w:rPr>
            </w:pPr>
          </w:p>
        </w:tc>
        <w:tc>
          <w:tcPr>
            <w:tcW w:w="208" w:type="pct"/>
            <w:vAlign w:val="bottom"/>
          </w:tcPr>
          <w:p w:rsidR="00376768" w:rsidRDefault="00EC2B72">
            <w:pPr>
              <w:jc w:val="right"/>
              <w:rPr>
                <w:rFonts w:ascii="Arial" w:hAnsi="Arial" w:cs="Arial"/>
                <w:sz w:val="19"/>
                <w:szCs w:val="20"/>
              </w:rPr>
            </w:pPr>
            <w:r>
              <w:rPr>
                <w:rFonts w:ascii="Arial" w:hAnsi="Arial" w:cs="Arial"/>
                <w:sz w:val="19"/>
                <w:szCs w:val="20"/>
              </w:rPr>
              <w:fldChar w:fldCharType="begin"/>
            </w:r>
            <w:r>
              <w:rPr>
                <w:rFonts w:ascii="Arial" w:hAnsi="Arial" w:cs="Arial"/>
                <w:sz w:val="19"/>
                <w:szCs w:val="20"/>
              </w:rPr>
              <w:instrText xml:space="preserve"> PAGEREF a047_v1 \h </w:instrText>
            </w:r>
            <w:r>
              <w:rPr>
                <w:rFonts w:ascii="Arial" w:hAnsi="Arial" w:cs="Arial"/>
                <w:sz w:val="19"/>
                <w:szCs w:val="20"/>
              </w:rPr>
            </w:r>
            <w:r>
              <w:rPr>
                <w:rFonts w:ascii="Arial" w:hAnsi="Arial" w:cs="Arial"/>
                <w:sz w:val="19"/>
                <w:szCs w:val="20"/>
              </w:rPr>
              <w:fldChar w:fldCharType="separate"/>
            </w:r>
            <w:r w:rsidR="00D87BB8">
              <w:rPr>
                <w:rFonts w:ascii="Arial" w:hAnsi="Arial" w:cs="Arial"/>
                <w:noProof/>
                <w:sz w:val="19"/>
                <w:szCs w:val="20"/>
              </w:rPr>
              <w:t>53</w:t>
            </w:r>
            <w:r>
              <w:rPr>
                <w:rFonts w:ascii="Arial" w:hAnsi="Arial" w:cs="Arial"/>
                <w:sz w:val="19"/>
                <w:szCs w:val="20"/>
              </w:rPr>
              <w:fldChar w:fldCharType="end"/>
            </w:r>
          </w:p>
        </w:tc>
      </w:tr>
      <w:tr w:rsidR="00376768">
        <w:tc>
          <w:tcPr>
            <w:tcW w:w="4726" w:type="pct"/>
          </w:tcPr>
          <w:p w:rsidR="00376768" w:rsidRDefault="00EC2B72">
            <w:pPr>
              <w:tabs>
                <w:tab w:val="left" w:leader="dot" w:pos="11520"/>
              </w:tabs>
              <w:ind w:left="173" w:hanging="173"/>
              <w:rPr>
                <w:rFonts w:ascii="Arial" w:hAnsi="Arial" w:cs="Arial"/>
                <w:sz w:val="19"/>
                <w:szCs w:val="20"/>
              </w:rPr>
            </w:pPr>
            <w:r>
              <w:rPr>
                <w:rFonts w:ascii="Arial" w:hAnsi="Arial" w:cs="Arial"/>
                <w:sz w:val="19"/>
                <w:szCs w:val="20"/>
              </w:rPr>
              <w:t>APPENDIX A 2006 Omnibus Incentive Plan (as Amended and Restated)</w:t>
            </w:r>
            <w:r>
              <w:rPr>
                <w:rFonts w:ascii="Arial" w:hAnsi="Arial" w:cs="Arial"/>
                <w:spacing w:val="26"/>
                <w:sz w:val="19"/>
              </w:rPr>
              <w:t xml:space="preserve"> </w:t>
            </w:r>
            <w:r>
              <w:rPr>
                <w:rFonts w:ascii="Arial" w:hAnsi="Arial" w:cs="Arial"/>
                <w:spacing w:val="26"/>
                <w:sz w:val="19"/>
              </w:rPr>
              <w:tab/>
            </w:r>
          </w:p>
        </w:tc>
        <w:tc>
          <w:tcPr>
            <w:tcW w:w="66" w:type="pct"/>
          </w:tcPr>
          <w:p w:rsidR="00376768" w:rsidRDefault="00376768">
            <w:pPr>
              <w:jc w:val="right"/>
              <w:rPr>
                <w:rFonts w:ascii="Arial" w:hAnsi="Arial" w:cs="Arial"/>
                <w:sz w:val="19"/>
                <w:szCs w:val="20"/>
              </w:rPr>
            </w:pPr>
          </w:p>
        </w:tc>
        <w:tc>
          <w:tcPr>
            <w:tcW w:w="208" w:type="pct"/>
            <w:vAlign w:val="bottom"/>
          </w:tcPr>
          <w:p w:rsidR="00376768" w:rsidRDefault="00EC2B72">
            <w:pPr>
              <w:jc w:val="right"/>
              <w:rPr>
                <w:rFonts w:ascii="Arial" w:hAnsi="Arial" w:cs="Arial"/>
                <w:sz w:val="19"/>
                <w:szCs w:val="20"/>
              </w:rPr>
            </w:pPr>
            <w:r>
              <w:rPr>
                <w:rFonts w:ascii="Arial" w:hAnsi="Arial" w:cs="Arial"/>
                <w:sz w:val="19"/>
                <w:szCs w:val="20"/>
              </w:rPr>
              <w:fldChar w:fldCharType="begin"/>
            </w:r>
            <w:r>
              <w:rPr>
                <w:rFonts w:ascii="Arial" w:hAnsi="Arial" w:cs="Arial"/>
                <w:sz w:val="19"/>
                <w:szCs w:val="20"/>
              </w:rPr>
              <w:instrText xml:space="preserve"> PAGEREF a048_v1 \h </w:instrText>
            </w:r>
            <w:r>
              <w:rPr>
                <w:rFonts w:ascii="Arial" w:hAnsi="Arial" w:cs="Arial"/>
                <w:sz w:val="19"/>
                <w:szCs w:val="20"/>
              </w:rPr>
            </w:r>
            <w:r>
              <w:rPr>
                <w:rFonts w:ascii="Arial" w:hAnsi="Arial" w:cs="Arial"/>
                <w:sz w:val="19"/>
                <w:szCs w:val="20"/>
              </w:rPr>
              <w:fldChar w:fldCharType="separate"/>
            </w:r>
            <w:r w:rsidR="00D87BB8">
              <w:rPr>
                <w:rFonts w:ascii="Arial" w:hAnsi="Arial" w:cs="Arial"/>
                <w:noProof/>
                <w:sz w:val="19"/>
                <w:szCs w:val="20"/>
              </w:rPr>
              <w:t>54</w:t>
            </w:r>
            <w:r>
              <w:rPr>
                <w:rFonts w:ascii="Arial" w:hAnsi="Arial" w:cs="Arial"/>
                <w:sz w:val="19"/>
                <w:szCs w:val="20"/>
              </w:rPr>
              <w:fldChar w:fldCharType="end"/>
            </w:r>
          </w:p>
        </w:tc>
      </w:tr>
    </w:tbl>
    <w:p w:rsidR="00376768" w:rsidRDefault="00EC2B72">
      <w:pPr>
        <w:spacing w:before="120"/>
        <w:jc w:val="center"/>
        <w:rPr>
          <w:rFonts w:ascii="Arial" w:hAnsi="Arial" w:cs="Arial"/>
          <w:sz w:val="19"/>
          <w:szCs w:val="20"/>
        </w:rPr>
      </w:pPr>
      <w:r>
        <w:rPr>
          <w:rFonts w:ascii="Arial" w:hAnsi="Arial" w:cs="Arial"/>
          <w:b/>
          <w:bCs/>
          <w:sz w:val="19"/>
          <w:szCs w:val="20"/>
        </w:rPr>
        <w:t>CAUTIONARY STATEMENT REGARDING FORWARD-LOOKING STATEMENTS</w:t>
      </w:r>
    </w:p>
    <w:p w:rsidR="00376768" w:rsidRDefault="00EC2B72">
      <w:pPr>
        <w:spacing w:before="120"/>
        <w:jc w:val="both"/>
        <w:rPr>
          <w:rFonts w:ascii="Arial" w:hAnsi="Arial" w:cs="Arial"/>
          <w:szCs w:val="20"/>
        </w:rPr>
      </w:pPr>
      <w:r>
        <w:rPr>
          <w:rFonts w:ascii="Arial" w:hAnsi="Arial" w:cs="Arial"/>
          <w:sz w:val="19"/>
          <w:szCs w:val="20"/>
        </w:rPr>
        <w:t>This Proxy Statement contains statements related to future events and expectations and as such constitute forward-looking statements within the meaning of the Securities Exchange Act of 1934, as amended (the “Exchange Act”), and is subject to the safe harbors created therein. The forward-looking statements contained herein are generally identified by the words “believe,” “project,” “expect,” “anticipate,” “estimate,” “intend,” “strategy,” “future,” “opportunity,” “plan,” “may,” “should,” “will,” “would,” “will be,” “will continue,” “will likely result,” and similar expressions. Forward-looking statements are based on the beliefs and assumptions of our management and on currently available information. A detailed discussion of risks and uncertainties that could cause actual results and events to differ materially from such forward-looking statements is included in our Annual Report on Form 10-K for the fiscal year ended December 31, 2017. We undertake no responsibility to publicly update or revise any forward-looking statement except as required by applicable law.</w:t>
      </w:r>
    </w:p>
    <w:p w:rsidR="00376768" w:rsidRDefault="00376768">
      <w:pPr>
        <w:spacing w:after="160"/>
        <w:jc w:val="center"/>
        <w:rPr>
          <w:rFonts w:ascii="Arial" w:hAnsi="Arial" w:cs="Arial"/>
          <w:szCs w:val="20"/>
        </w:rPr>
        <w:sectPr w:rsidR="00376768">
          <w:footerReference w:type="default" r:id="rId9"/>
          <w:pgSz w:w="12240" w:h="15840" w:code="1"/>
          <w:pgMar w:top="720" w:right="720" w:bottom="720" w:left="720" w:header="720" w:footer="720" w:gutter="0"/>
          <w:pgNumType w:fmt="lowerRoman" w:start="1"/>
          <w:cols w:space="720"/>
          <w:docGrid w:linePitch="360"/>
        </w:sectPr>
      </w:pPr>
    </w:p>
    <w:p w:rsidR="00376768" w:rsidRDefault="00EC2B72">
      <w:pPr>
        <w:spacing w:after="160"/>
        <w:jc w:val="center"/>
        <w:rPr>
          <w:rFonts w:ascii="Arial" w:hAnsi="Arial" w:cs="Arial"/>
          <w:szCs w:val="20"/>
        </w:rPr>
      </w:pPr>
      <w:r>
        <w:rPr>
          <w:rFonts w:ascii="Arial" w:hAnsi="Arial" w:cs="Arial"/>
          <w:b/>
          <w:bCs/>
          <w:szCs w:val="20"/>
        </w:rPr>
        <w:lastRenderedPageBreak/>
        <w:t>L. B. FOSTER COMPANY</w:t>
      </w:r>
    </w:p>
    <w:tbl>
      <w:tblPr>
        <w:tblW w:w="5000" w:type="pct"/>
        <w:tblLayout w:type="fixed"/>
        <w:tblCellMar>
          <w:left w:w="0" w:type="dxa"/>
          <w:right w:w="0" w:type="dxa"/>
        </w:tblCellMar>
        <w:tblLook w:val="0000" w:firstRow="0" w:lastRow="0" w:firstColumn="0" w:lastColumn="0" w:noHBand="0" w:noVBand="0"/>
      </w:tblPr>
      <w:tblGrid>
        <w:gridCol w:w="3600"/>
        <w:gridCol w:w="3601"/>
        <w:gridCol w:w="3599"/>
      </w:tblGrid>
      <w:tr w:rsidR="00376768">
        <w:tc>
          <w:tcPr>
            <w:tcW w:w="1667" w:type="pct"/>
          </w:tcPr>
          <w:p w:rsidR="00376768" w:rsidRDefault="00376768">
            <w:pPr>
              <w:rPr>
                <w:rFonts w:ascii="Arial" w:hAnsi="Arial" w:cs="Arial"/>
                <w:b/>
                <w:bCs/>
                <w:szCs w:val="20"/>
              </w:rPr>
            </w:pPr>
          </w:p>
        </w:tc>
        <w:tc>
          <w:tcPr>
            <w:tcW w:w="1667" w:type="pct"/>
            <w:tcBorders>
              <w:top w:val="single" w:sz="2" w:space="0" w:color="000000"/>
              <w:bottom w:val="single" w:sz="2" w:space="0" w:color="000000"/>
            </w:tcBorders>
          </w:tcPr>
          <w:p w:rsidR="00376768" w:rsidRDefault="00EC2B72">
            <w:pPr>
              <w:spacing w:before="160" w:after="160"/>
              <w:jc w:val="center"/>
              <w:rPr>
                <w:rFonts w:ascii="Arial" w:hAnsi="Arial" w:cs="Arial"/>
                <w:szCs w:val="20"/>
              </w:rPr>
            </w:pPr>
            <w:r>
              <w:rPr>
                <w:rFonts w:ascii="Arial" w:hAnsi="Arial" w:cs="Arial"/>
                <w:b/>
                <w:bCs/>
                <w:szCs w:val="20"/>
              </w:rPr>
              <w:t>PROXY STATEMENT</w:t>
            </w:r>
          </w:p>
        </w:tc>
        <w:tc>
          <w:tcPr>
            <w:tcW w:w="1667" w:type="pct"/>
          </w:tcPr>
          <w:p w:rsidR="00376768" w:rsidRDefault="00376768">
            <w:pPr>
              <w:rPr>
                <w:rFonts w:ascii="Arial" w:hAnsi="Arial" w:cs="Arial"/>
                <w:b/>
                <w:bCs/>
                <w:szCs w:val="20"/>
              </w:rPr>
            </w:pPr>
          </w:p>
        </w:tc>
      </w:tr>
    </w:tbl>
    <w:p w:rsidR="00376768" w:rsidRDefault="00EC2B72">
      <w:pPr>
        <w:spacing w:before="160"/>
        <w:jc w:val="center"/>
        <w:rPr>
          <w:rFonts w:ascii="Arial" w:hAnsi="Arial" w:cs="Arial"/>
          <w:szCs w:val="20"/>
        </w:rPr>
      </w:pPr>
      <w:r>
        <w:rPr>
          <w:rFonts w:ascii="Arial" w:hAnsi="Arial" w:cs="Arial"/>
          <w:b/>
          <w:bCs/>
          <w:szCs w:val="20"/>
        </w:rPr>
        <w:t>G</w:t>
      </w:r>
      <w:bookmarkStart w:id="1" w:name="a001_v1"/>
      <w:bookmarkEnd w:id="1"/>
      <w:r>
        <w:rPr>
          <w:rFonts w:ascii="Arial" w:hAnsi="Arial" w:cs="Arial"/>
          <w:b/>
          <w:bCs/>
          <w:szCs w:val="20"/>
        </w:rPr>
        <w:t>ENERAL INFORMATION</w:t>
      </w:r>
    </w:p>
    <w:p w:rsidR="00376768" w:rsidRDefault="00EC2B72">
      <w:pPr>
        <w:spacing w:before="160"/>
        <w:ind w:firstLine="360"/>
        <w:jc w:val="both"/>
        <w:rPr>
          <w:rFonts w:ascii="Arial" w:hAnsi="Arial" w:cs="Arial"/>
          <w:szCs w:val="20"/>
        </w:rPr>
      </w:pPr>
      <w:r>
        <w:rPr>
          <w:rFonts w:ascii="Arial" w:hAnsi="Arial" w:cs="Arial"/>
          <w:szCs w:val="20"/>
        </w:rPr>
        <w:t xml:space="preserve">This Proxy Statement is furnished in connection with the solicitation of proxies by the Board of Directors (the “Board”) of L. B. Foster Company (the “Company”) to be voted at the May 24, 2018 Annual Meeting of Shareholders and at any adjournment or postponement thereof (the “Annual Meeting” or the “Meeting”). This Proxy Statement, the Notice of Internet Availability, the proxy card, and our 2017 Annual Report to Shareholders were each made available to shareholders on the Internet, free of charge, at </w:t>
      </w:r>
      <w:r>
        <w:rPr>
          <w:rFonts w:ascii="Arial" w:hAnsi="Arial" w:cs="Arial"/>
          <w:b/>
          <w:bCs/>
          <w:szCs w:val="20"/>
          <w:u w:val="single"/>
        </w:rPr>
        <w:t>www.proxyvote.com</w:t>
      </w:r>
      <w:r>
        <w:rPr>
          <w:rFonts w:ascii="Arial" w:hAnsi="Arial" w:cs="Arial"/>
          <w:szCs w:val="20"/>
        </w:rPr>
        <w:t xml:space="preserve"> or mailed on or about April 12, 2018.</w:t>
      </w:r>
    </w:p>
    <w:p w:rsidR="00376768" w:rsidRDefault="00EC2B72">
      <w:pPr>
        <w:spacing w:before="160"/>
        <w:ind w:firstLine="360"/>
        <w:jc w:val="both"/>
        <w:rPr>
          <w:rFonts w:ascii="Arial" w:hAnsi="Arial" w:cs="Arial"/>
          <w:szCs w:val="20"/>
        </w:rPr>
      </w:pPr>
      <w:r>
        <w:rPr>
          <w:rFonts w:ascii="Arial" w:hAnsi="Arial" w:cs="Arial"/>
          <w:szCs w:val="20"/>
        </w:rPr>
        <w:t>At the close of business on March 22, 2018, the record date for entitlement to vote at the Meeting (the “Record Date”), there were 10,564,110 shares of common stock outstanding. Only holders of record of our common stock at the close of business on the Record Date are entitled to notice of, and to vote at, the Meeting or at any adjournment or postponement thereof. Such shareholders will have one vote for each share held on that date.</w:t>
      </w:r>
    </w:p>
    <w:p w:rsidR="00376768" w:rsidRDefault="00EC2B72">
      <w:pPr>
        <w:spacing w:before="160"/>
        <w:ind w:firstLine="360"/>
        <w:jc w:val="both"/>
        <w:rPr>
          <w:rFonts w:ascii="Arial" w:hAnsi="Arial" w:cs="Arial"/>
          <w:szCs w:val="20"/>
        </w:rPr>
      </w:pPr>
      <w:r>
        <w:rPr>
          <w:rFonts w:ascii="Arial" w:hAnsi="Arial" w:cs="Arial"/>
          <w:szCs w:val="20"/>
        </w:rPr>
        <w:t>The presence, in person or by proxy, of the shareholders entitled to cast at least a majority of the votes that all shareholders are entitled to cast on a matter to be acted on at the Annual Meeting will constitute a quorum. Where a shareholder’s proxy or ballot is properly executed and returned but does not provide voting instructions, the shares of such shareholder will nevertheless be counted as being present at the Meeting for the purpose of determining a quorum. Abstentions and “broker non-votes” (as described below) will be counted for purposes of determining a quorum.</w:t>
      </w:r>
    </w:p>
    <w:p w:rsidR="00376768" w:rsidRDefault="00EC2B72">
      <w:pPr>
        <w:spacing w:before="160"/>
        <w:ind w:firstLine="360"/>
        <w:jc w:val="both"/>
        <w:rPr>
          <w:rFonts w:ascii="Arial" w:hAnsi="Arial" w:cs="Arial"/>
          <w:szCs w:val="20"/>
        </w:rPr>
      </w:pPr>
      <w:proofErr w:type="gramStart"/>
      <w:r>
        <w:rPr>
          <w:rFonts w:ascii="Arial" w:hAnsi="Arial" w:cs="Arial"/>
          <w:szCs w:val="20"/>
        </w:rPr>
        <w:t>If your shares are held in “street name” (i.e. held for your account by a broker or other nominee), you should receive instructions from the holder of record on voting your shares.</w:t>
      </w:r>
      <w:proofErr w:type="gramEnd"/>
      <w:r>
        <w:rPr>
          <w:rFonts w:ascii="Arial" w:hAnsi="Arial" w:cs="Arial"/>
          <w:szCs w:val="20"/>
        </w:rPr>
        <w:t xml:space="preserve"> If a shareholder holds shares beneficially in street name and does not provide the shareholder’s broker with voting instructions, such shares may be treated as “broker non-votes.” Generally, broker non-votes occur when a broker is not permitted to vote on a particular matter without instructions from the beneficial owner and instructions have not been given. Brokers that have not received voting instructions from their clients cannot vote on their clients’ behalf on “non-routine” proposals, such as the election of directors and executive compensation matters (for purposes of this Proxy Statement, Proposals 1, 3, and 4), although they may vote their clients’ shares on “routine” proposals, such as the ratification of the independent registered public accounting firm (for purposes of this Proxy Statement, Proposal 2). In tabulating the voting result for any particular proposal, shares that constitute broker non-votes are not considered entitled to vote on that proposal.</w:t>
      </w:r>
    </w:p>
    <w:p w:rsidR="00376768" w:rsidRDefault="00EC2B72">
      <w:pPr>
        <w:spacing w:before="160"/>
        <w:ind w:firstLine="360"/>
        <w:jc w:val="both"/>
        <w:rPr>
          <w:rFonts w:ascii="Arial" w:hAnsi="Arial" w:cs="Arial"/>
          <w:szCs w:val="20"/>
        </w:rPr>
      </w:pPr>
      <w:r>
        <w:rPr>
          <w:rFonts w:ascii="Arial" w:hAnsi="Arial" w:cs="Arial"/>
          <w:szCs w:val="20"/>
        </w:rPr>
        <w:t xml:space="preserve">Directors will be elected by a plurality of the votes cast by the holders of the shares voting in person or represented by proxy at the Meeting. </w:t>
      </w:r>
      <w:proofErr w:type="gramStart"/>
      <w:r>
        <w:rPr>
          <w:rFonts w:ascii="Arial" w:hAnsi="Arial" w:cs="Arial"/>
          <w:szCs w:val="20"/>
        </w:rPr>
        <w:t>Only votes FOR or AGAINST this proposal count as votes cast.</w:t>
      </w:r>
      <w:proofErr w:type="gramEnd"/>
      <w:r>
        <w:rPr>
          <w:rFonts w:ascii="Arial" w:hAnsi="Arial" w:cs="Arial"/>
          <w:szCs w:val="20"/>
        </w:rPr>
        <w:t xml:space="preserve"> Abstentions and broker non-votes are not considered to be votes cast on this proposal. Our common stock does not have cumulative voting rights in the election of directors.</w:t>
      </w:r>
    </w:p>
    <w:p w:rsidR="00376768" w:rsidRDefault="00EC2B72">
      <w:pPr>
        <w:spacing w:before="160"/>
        <w:ind w:firstLine="360"/>
        <w:jc w:val="both"/>
        <w:rPr>
          <w:rFonts w:ascii="Arial" w:hAnsi="Arial" w:cs="Arial"/>
          <w:szCs w:val="20"/>
        </w:rPr>
      </w:pPr>
      <w:r>
        <w:rPr>
          <w:rFonts w:ascii="Arial" w:hAnsi="Arial" w:cs="Arial"/>
          <w:szCs w:val="20"/>
        </w:rPr>
        <w:t xml:space="preserve">The Audit Committee of the Board has appointed Ernst &amp; Young LLP (“Ernst &amp; Young”) as the Company’s independent registered public accounting firm for 2018. The affirmative vote of a majority of the votes cast by the Company’s shareholders entitled to vote shall ratify this appointment. </w:t>
      </w:r>
      <w:proofErr w:type="gramStart"/>
      <w:r>
        <w:rPr>
          <w:rFonts w:ascii="Arial" w:hAnsi="Arial" w:cs="Arial"/>
          <w:szCs w:val="20"/>
        </w:rPr>
        <w:t>Only votes FOR or AGAINST this proposal count as votes cast.</w:t>
      </w:r>
      <w:proofErr w:type="gramEnd"/>
      <w:r>
        <w:rPr>
          <w:rFonts w:ascii="Arial" w:hAnsi="Arial" w:cs="Arial"/>
          <w:szCs w:val="20"/>
        </w:rPr>
        <w:t xml:space="preserve"> Abstentions and broker non-votes are not considered to be votes cast on this proposal.</w:t>
      </w:r>
    </w:p>
    <w:p w:rsidR="00376768" w:rsidRDefault="00EC2B72">
      <w:pPr>
        <w:spacing w:before="160"/>
        <w:ind w:firstLine="360"/>
        <w:jc w:val="both"/>
        <w:rPr>
          <w:rFonts w:ascii="Arial" w:hAnsi="Arial" w:cs="Arial"/>
          <w:szCs w:val="20"/>
        </w:rPr>
      </w:pPr>
      <w:r>
        <w:rPr>
          <w:rFonts w:ascii="Arial" w:hAnsi="Arial" w:cs="Arial"/>
          <w:szCs w:val="20"/>
        </w:rPr>
        <w:t xml:space="preserve">The advisory vote to approve the compensation paid to the Company’s named executive officers in 2017 as reported in this Proxy Statement will be determined by the affirmative vote of a majority of the votes cast by the Company’s shareholders entitled to vote. </w:t>
      </w:r>
      <w:proofErr w:type="gramStart"/>
      <w:r>
        <w:rPr>
          <w:rFonts w:ascii="Arial" w:hAnsi="Arial" w:cs="Arial"/>
          <w:szCs w:val="20"/>
        </w:rPr>
        <w:t>Only votes FOR or AGAINST this proposal count as votes cast.</w:t>
      </w:r>
      <w:proofErr w:type="gramEnd"/>
      <w:r>
        <w:rPr>
          <w:rFonts w:ascii="Arial" w:hAnsi="Arial" w:cs="Arial"/>
          <w:szCs w:val="20"/>
        </w:rPr>
        <w:t xml:space="preserve"> Abstentions and broker non-votes are not considered to be votes cast on this proposal.</w:t>
      </w:r>
    </w:p>
    <w:p w:rsidR="00376768" w:rsidRDefault="00EC2B72">
      <w:pPr>
        <w:spacing w:before="160"/>
        <w:ind w:firstLine="360"/>
        <w:jc w:val="both"/>
        <w:rPr>
          <w:rFonts w:ascii="Arial" w:hAnsi="Arial" w:cs="Arial"/>
          <w:szCs w:val="20"/>
        </w:rPr>
      </w:pPr>
      <w:r>
        <w:rPr>
          <w:rFonts w:ascii="Arial" w:hAnsi="Arial" w:cs="Arial"/>
          <w:szCs w:val="20"/>
        </w:rPr>
        <w:t xml:space="preserve">The affirmative vote of a majority of the votes cast by the Company’s shareholders entitled to vote shall approve the amendment of the Company’s 2006 Omnibus Incentive Plan (as Amended and Restated) to authorize additional shares for issuance. </w:t>
      </w:r>
      <w:proofErr w:type="gramStart"/>
      <w:r>
        <w:rPr>
          <w:rFonts w:ascii="Arial" w:hAnsi="Arial" w:cs="Arial"/>
          <w:szCs w:val="20"/>
        </w:rPr>
        <w:t>Only votes FOR or AGAINST this proposal count as votes cast.</w:t>
      </w:r>
      <w:proofErr w:type="gramEnd"/>
      <w:r>
        <w:rPr>
          <w:rFonts w:ascii="Arial" w:hAnsi="Arial" w:cs="Arial"/>
          <w:szCs w:val="20"/>
        </w:rPr>
        <w:t xml:space="preserve"> Abstentions and broker non-votes are not considered to be votes cast on this proposal.</w:t>
      </w:r>
    </w:p>
    <w:p w:rsidR="00376768" w:rsidRDefault="00EC2B72">
      <w:pPr>
        <w:spacing w:before="160"/>
        <w:ind w:firstLine="360"/>
        <w:jc w:val="both"/>
        <w:rPr>
          <w:rFonts w:ascii="Arial" w:hAnsi="Arial" w:cs="Arial"/>
          <w:szCs w:val="20"/>
        </w:rPr>
      </w:pPr>
      <w:r>
        <w:rPr>
          <w:rFonts w:ascii="Arial" w:hAnsi="Arial" w:cs="Arial"/>
          <w:szCs w:val="20"/>
        </w:rPr>
        <w:t>If the form of proxy is properly executed and returned, it will be voted as directed. If no directions are given, the proxy will be voted FOR the election of the eight nominees named herein as directors; FOR the ratification of the appointment of Ernst &amp; Young as the Company’s independent registered public accounting firm for 2018; FOR the approval of the compensation paid to the Company’s named executive officers in 2017 as reported in this Proxy Statement; and FOR the Company’s 2006 Omnibus Incentive Plan (as Amended and Restated) to authorize additional shares for issuance. The proxy grants discretionary authority to vote on other matters that properly come before the Annual Meeting to Lee B. Foster II, Chairman of the Board, and Robert P. Bauer, President and Chief Executive Officer.</w:t>
      </w:r>
    </w:p>
    <w:p w:rsidR="00376768" w:rsidRDefault="00EC2B72">
      <w:pPr>
        <w:spacing w:before="160"/>
        <w:ind w:firstLine="360"/>
        <w:jc w:val="both"/>
        <w:rPr>
          <w:rFonts w:ascii="Arial" w:hAnsi="Arial" w:cs="Arial"/>
          <w:szCs w:val="20"/>
        </w:rPr>
      </w:pPr>
      <w:r>
        <w:rPr>
          <w:rFonts w:ascii="Arial" w:hAnsi="Arial" w:cs="Arial"/>
          <w:szCs w:val="20"/>
        </w:rPr>
        <w:lastRenderedPageBreak/>
        <w:t>The voting instruction form also serves as the voting instructions for the trustees who hold shares of record for participants in the Company’s 401(k) plans. If voting instructions representing shares in the Company’s 401(k) plans are received, but no indication is provided as to how those shares are to be voted, the shares will be counted as being present at the Meeting and will count toward achievement of a quorum. If voting instructions as to the shares in the Company’s 401(k) plans are not received, those shares will be voted in the same proportion as shares in the 401(k) plans for which voting instructions were received.</w:t>
      </w:r>
    </w:p>
    <w:p w:rsidR="00376768" w:rsidRDefault="00EC2B72">
      <w:pPr>
        <w:spacing w:before="140"/>
        <w:ind w:firstLine="360"/>
        <w:jc w:val="both"/>
        <w:rPr>
          <w:rFonts w:ascii="Arial" w:hAnsi="Arial" w:cs="Arial"/>
          <w:szCs w:val="20"/>
        </w:rPr>
      </w:pPr>
      <w:r>
        <w:rPr>
          <w:rFonts w:ascii="Arial" w:hAnsi="Arial" w:cs="Arial"/>
          <w:szCs w:val="20"/>
        </w:rPr>
        <w:t>The cost of soliciting proxies will be borne by the Company. Officers or employees of the Company may solicit proxies by mail, telephone, email, or facsimile. The Company has retained Laurel Hill Advisory Group, LLC for the solicitation of proxies and will pay its fee of $5,500 plus reasonable out-of-pocket expenses.</w:t>
      </w:r>
    </w:p>
    <w:p w:rsidR="00376768" w:rsidRDefault="00EC2B72">
      <w:pPr>
        <w:spacing w:before="140"/>
        <w:ind w:firstLine="360"/>
        <w:jc w:val="both"/>
        <w:rPr>
          <w:rFonts w:ascii="Arial" w:hAnsi="Arial" w:cs="Arial"/>
          <w:szCs w:val="20"/>
        </w:rPr>
      </w:pPr>
      <w:r>
        <w:rPr>
          <w:rFonts w:ascii="Arial" w:hAnsi="Arial" w:cs="Arial"/>
          <w:szCs w:val="20"/>
        </w:rPr>
        <w:t>If you are a shareholder of record, you may vote your shares of Company common stock by telephone or through the Internet. You may also vote your shares by mail or in person. Please see the Notice of Internet Availability for instructions on how to access the proxy materials and how to cast your vote.</w:t>
      </w:r>
    </w:p>
    <w:p w:rsidR="00376768" w:rsidRDefault="00EC2B72">
      <w:pPr>
        <w:spacing w:before="140"/>
        <w:ind w:firstLine="360"/>
        <w:jc w:val="both"/>
        <w:rPr>
          <w:rFonts w:ascii="Arial" w:hAnsi="Arial" w:cs="Arial"/>
          <w:szCs w:val="20"/>
        </w:rPr>
      </w:pPr>
      <w:r>
        <w:rPr>
          <w:rFonts w:ascii="Arial" w:hAnsi="Arial" w:cs="Arial"/>
          <w:i/>
          <w:iCs/>
          <w:szCs w:val="20"/>
        </w:rPr>
        <w:t xml:space="preserve">Votes submitted via the Internet or by telephone must be received by 11:59 PM EDT, on May 23, 2018. Submitting your vote via the Internet or by telephone will not affect your right to vote in person should you decide to attend the Annual </w:t>
      </w:r>
      <w:proofErr w:type="gramStart"/>
      <w:r>
        <w:rPr>
          <w:rFonts w:ascii="Arial" w:hAnsi="Arial" w:cs="Arial"/>
          <w:i/>
          <w:iCs/>
          <w:szCs w:val="20"/>
        </w:rPr>
        <w:t>Meeting.</w:t>
      </w:r>
      <w:proofErr w:type="gramEnd"/>
      <w:r>
        <w:rPr>
          <w:rFonts w:ascii="Arial" w:hAnsi="Arial" w:cs="Arial"/>
          <w:i/>
          <w:iCs/>
          <w:szCs w:val="20"/>
        </w:rPr>
        <w:t xml:space="preserve"> You may change your vote or revoke your proxy at any time by submitting a valid, subsequent vote by telephone or through the Internet, by submitting another properly signed proxy which bears a later date, or attending the Annual Meeting and voting in person. Attendance at the Annual Meeting will not by itself revoke a previously granted proxy; you must also vote your shares.</w:t>
      </w:r>
    </w:p>
    <w:p w:rsidR="00376768" w:rsidRDefault="00EC2B72">
      <w:pPr>
        <w:spacing w:before="140"/>
        <w:ind w:firstLine="360"/>
        <w:jc w:val="both"/>
        <w:rPr>
          <w:rFonts w:ascii="Arial" w:hAnsi="Arial" w:cs="Arial"/>
          <w:szCs w:val="20"/>
        </w:rPr>
      </w:pPr>
      <w:r>
        <w:rPr>
          <w:rFonts w:ascii="Arial" w:hAnsi="Arial" w:cs="Arial"/>
          <w:szCs w:val="20"/>
        </w:rPr>
        <w:t>If you plan on attending the Annual Meeting in person, please detach the Admission Ticket from your proxy card and bring it to the Meeting. If you are a beneficial owner of shares held in “street name” through a broker, bank, or other intermediary, please contact your broker, bank, or other intermediary to obtain evidence of ownership and a legal proxy, which you must bring with you to the Meeting.</w:t>
      </w:r>
    </w:p>
    <w:p w:rsidR="00376768" w:rsidRDefault="00EC2B72">
      <w:pPr>
        <w:spacing w:before="140"/>
        <w:jc w:val="center"/>
        <w:rPr>
          <w:rFonts w:ascii="Arial" w:hAnsi="Arial" w:cs="Arial"/>
          <w:szCs w:val="20"/>
        </w:rPr>
      </w:pPr>
      <w:proofErr w:type="gramStart"/>
      <w:r>
        <w:rPr>
          <w:rFonts w:ascii="Arial" w:hAnsi="Arial" w:cs="Arial"/>
          <w:b/>
          <w:bCs/>
          <w:szCs w:val="20"/>
        </w:rPr>
        <w:t>PR</w:t>
      </w:r>
      <w:bookmarkStart w:id="2" w:name="a002_v1"/>
      <w:bookmarkEnd w:id="2"/>
      <w:r>
        <w:rPr>
          <w:rFonts w:ascii="Arial" w:hAnsi="Arial" w:cs="Arial"/>
          <w:b/>
          <w:bCs/>
          <w:szCs w:val="20"/>
        </w:rPr>
        <w:t>OPOSAL NO.</w:t>
      </w:r>
      <w:proofErr w:type="gramEnd"/>
      <w:r>
        <w:rPr>
          <w:rFonts w:ascii="Arial" w:hAnsi="Arial" w:cs="Arial"/>
          <w:b/>
          <w:bCs/>
          <w:szCs w:val="20"/>
        </w:rPr>
        <w:t xml:space="preserve"> 1 - ELECTION OF DIRECTORS</w:t>
      </w:r>
    </w:p>
    <w:p w:rsidR="00376768" w:rsidRDefault="00EC2B72">
      <w:pPr>
        <w:spacing w:before="140"/>
        <w:ind w:firstLine="360"/>
        <w:jc w:val="both"/>
        <w:rPr>
          <w:rFonts w:ascii="Arial" w:hAnsi="Arial" w:cs="Arial"/>
          <w:szCs w:val="20"/>
        </w:rPr>
      </w:pPr>
      <w:r>
        <w:rPr>
          <w:rFonts w:ascii="Arial" w:hAnsi="Arial" w:cs="Arial"/>
          <w:szCs w:val="20"/>
        </w:rPr>
        <w:t>The first proposal item to be voted on is the election of eight directors. The Board of Directors has nominated the following eight people to serve as directors, all of whom are currently serving as directors of the Company. Each director who is elected will hold office until the next annual meeting and generally until the director’s successor is elected and qualified. Information concerning the nominees is set forth below with brief descriptions of each nominee’s qualifications to serve on the Company’s Board of Directors:</w:t>
      </w:r>
    </w:p>
    <w:p w:rsidR="00376768" w:rsidRDefault="00376768">
      <w:pPr>
        <w:jc w:val="both"/>
        <w:rPr>
          <w:rFonts w:ascii="Arial" w:hAnsi="Arial" w:cs="Arial"/>
          <w:b/>
          <w:bCs/>
          <w:sz w:val="14"/>
          <w:szCs w:val="20"/>
        </w:rPr>
      </w:pPr>
    </w:p>
    <w:tbl>
      <w:tblPr>
        <w:tblW w:w="5000" w:type="pct"/>
        <w:tblLayout w:type="fixed"/>
        <w:tblCellMar>
          <w:left w:w="0" w:type="dxa"/>
          <w:right w:w="0" w:type="dxa"/>
        </w:tblCellMar>
        <w:tblLook w:val="0000" w:firstRow="0" w:lastRow="0" w:firstColumn="0" w:lastColumn="0" w:noHBand="0" w:noVBand="0"/>
      </w:tblPr>
      <w:tblGrid>
        <w:gridCol w:w="2160"/>
        <w:gridCol w:w="216"/>
        <w:gridCol w:w="8424"/>
      </w:tblGrid>
      <w:tr w:rsidR="00376768">
        <w:tc>
          <w:tcPr>
            <w:tcW w:w="1000" w:type="pct"/>
          </w:tcPr>
          <w:p w:rsidR="00376768" w:rsidRDefault="00EC2B72">
            <w:pPr>
              <w:jc w:val="center"/>
              <w:rPr>
                <w:rFonts w:ascii="Arial" w:hAnsi="Arial" w:cs="Arial"/>
                <w:b/>
                <w:bCs/>
                <w:szCs w:val="20"/>
              </w:rPr>
            </w:pPr>
            <w:r>
              <w:rPr>
                <w:rFonts w:ascii="Arial" w:hAnsi="Arial" w:cs="Arial"/>
                <w:b/>
                <w:bCs/>
                <w:szCs w:val="20"/>
                <w:u w:val="single"/>
              </w:rPr>
              <w:t>Nominee</w:t>
            </w:r>
          </w:p>
        </w:tc>
        <w:tc>
          <w:tcPr>
            <w:tcW w:w="100" w:type="pct"/>
          </w:tcPr>
          <w:p w:rsidR="00376768" w:rsidRDefault="00376768">
            <w:pPr>
              <w:rPr>
                <w:rFonts w:ascii="Arial" w:hAnsi="Arial" w:cs="Arial"/>
                <w:b/>
                <w:bCs/>
                <w:szCs w:val="20"/>
              </w:rPr>
            </w:pPr>
          </w:p>
        </w:tc>
        <w:tc>
          <w:tcPr>
            <w:tcW w:w="3900" w:type="pct"/>
          </w:tcPr>
          <w:p w:rsidR="00376768" w:rsidRDefault="00376768">
            <w:pPr>
              <w:jc w:val="both"/>
              <w:rPr>
                <w:rFonts w:ascii="Arial" w:hAnsi="Arial" w:cs="Arial"/>
                <w:b/>
                <w:bCs/>
                <w:szCs w:val="20"/>
              </w:rPr>
            </w:pPr>
          </w:p>
        </w:tc>
      </w:tr>
      <w:tr w:rsidR="00376768">
        <w:tc>
          <w:tcPr>
            <w:tcW w:w="1000" w:type="pct"/>
          </w:tcPr>
          <w:p w:rsidR="00376768" w:rsidRDefault="00376768">
            <w:pPr>
              <w:rPr>
                <w:rFonts w:ascii="Arial" w:hAnsi="Arial" w:cs="Arial"/>
                <w:b/>
                <w:bCs/>
                <w:szCs w:val="20"/>
              </w:rPr>
            </w:pPr>
          </w:p>
        </w:tc>
        <w:tc>
          <w:tcPr>
            <w:tcW w:w="100" w:type="pct"/>
          </w:tcPr>
          <w:p w:rsidR="00376768" w:rsidRDefault="00376768">
            <w:pPr>
              <w:rPr>
                <w:rFonts w:ascii="Arial" w:hAnsi="Arial" w:cs="Arial"/>
                <w:b/>
                <w:bCs/>
                <w:szCs w:val="20"/>
              </w:rPr>
            </w:pPr>
          </w:p>
        </w:tc>
        <w:tc>
          <w:tcPr>
            <w:tcW w:w="3900" w:type="pct"/>
          </w:tcPr>
          <w:p w:rsidR="00376768" w:rsidRDefault="00376768">
            <w:pPr>
              <w:jc w:val="both"/>
              <w:rPr>
                <w:rFonts w:ascii="Arial" w:hAnsi="Arial" w:cs="Arial"/>
                <w:b/>
                <w:bCs/>
                <w:szCs w:val="20"/>
              </w:rPr>
            </w:pPr>
          </w:p>
        </w:tc>
      </w:tr>
      <w:tr w:rsidR="00376768">
        <w:tc>
          <w:tcPr>
            <w:tcW w:w="1000" w:type="pct"/>
          </w:tcPr>
          <w:p w:rsidR="00376768" w:rsidRDefault="00EC2B72">
            <w:pPr>
              <w:rPr>
                <w:rFonts w:ascii="Arial" w:hAnsi="Arial" w:cs="Arial"/>
                <w:b/>
                <w:bCs/>
                <w:szCs w:val="20"/>
              </w:rPr>
            </w:pPr>
            <w:r>
              <w:rPr>
                <w:rFonts w:ascii="Arial" w:hAnsi="Arial" w:cs="Arial"/>
                <w:b/>
                <w:bCs/>
                <w:szCs w:val="20"/>
              </w:rPr>
              <w:t>Robert P. Bauer</w:t>
            </w:r>
          </w:p>
        </w:tc>
        <w:tc>
          <w:tcPr>
            <w:tcW w:w="100" w:type="pct"/>
          </w:tcPr>
          <w:p w:rsidR="00376768" w:rsidRDefault="00376768">
            <w:pPr>
              <w:rPr>
                <w:rFonts w:ascii="Arial" w:hAnsi="Arial" w:cs="Arial"/>
                <w:b/>
                <w:bCs/>
                <w:szCs w:val="20"/>
              </w:rPr>
            </w:pPr>
          </w:p>
        </w:tc>
        <w:tc>
          <w:tcPr>
            <w:tcW w:w="3900" w:type="pct"/>
          </w:tcPr>
          <w:p w:rsidR="00376768" w:rsidRDefault="00EC2B72">
            <w:pPr>
              <w:jc w:val="both"/>
              <w:rPr>
                <w:rFonts w:ascii="Arial" w:hAnsi="Arial" w:cs="Arial"/>
                <w:b/>
                <w:bCs/>
                <w:szCs w:val="20"/>
              </w:rPr>
            </w:pPr>
            <w:r>
              <w:rPr>
                <w:rFonts w:ascii="Arial" w:hAnsi="Arial" w:cs="Arial"/>
                <w:szCs w:val="20"/>
              </w:rPr>
              <w:t xml:space="preserve">Mr. Bauer, age 59, has been a director of the Company since February 2012, when he was appointed President and Chief Executive Officer. Since August 2015, Mr. Bauer has served as a director of Alamo Group, Inc., which designs, manufactures, distributes, and services equipment for infrastructure maintenance, agriculture, and other applications, including truck and tractor mounted mowing and other vegetation maintenance equipment, street sweepers, snow removal equipment, excavators, vacuum trucks, and other industrial equipment. Mr. Bauer served as President of Emerson Climate Technologies, Refrigeration Division, a business segment of Emerson Electric Co., a diversified global manufacturing and technology company, (“Emerson”) from June 2011 to February 2012. He also served as President of Emerson Network Power, </w:t>
            </w:r>
            <w:proofErr w:type="spellStart"/>
            <w:r>
              <w:rPr>
                <w:rFonts w:ascii="Arial" w:hAnsi="Arial" w:cs="Arial"/>
                <w:szCs w:val="20"/>
              </w:rPr>
              <w:t>Liebert</w:t>
            </w:r>
            <w:proofErr w:type="spellEnd"/>
            <w:r>
              <w:rPr>
                <w:rFonts w:ascii="Arial" w:hAnsi="Arial" w:cs="Arial"/>
                <w:szCs w:val="20"/>
              </w:rPr>
              <w:t xml:space="preserve"> Division, from January 2002 through May 2011. Mr. Bauer spent a total of 17 years with Emerson in various senior management positions and became a Group Vice President, Emerson in 2004. Prior to Emerson, he held management positions with Rockwell Automation and Westinghouse Electric. We believe that Mr. Bauer is qualified to serve as a director because of his vast experience in global manufacturing, worldwide marketing, and new product development. He also has extensive experience with mergers and acquisitions and strategic planning including investments in new technologies.</w:t>
            </w:r>
          </w:p>
        </w:tc>
      </w:tr>
      <w:tr w:rsidR="00376768">
        <w:tc>
          <w:tcPr>
            <w:tcW w:w="1000" w:type="pct"/>
          </w:tcPr>
          <w:p w:rsidR="00376768" w:rsidRDefault="00376768">
            <w:pPr>
              <w:rPr>
                <w:rFonts w:ascii="Arial" w:hAnsi="Arial" w:cs="Arial"/>
                <w:b/>
                <w:bCs/>
                <w:szCs w:val="20"/>
              </w:rPr>
            </w:pPr>
          </w:p>
        </w:tc>
        <w:tc>
          <w:tcPr>
            <w:tcW w:w="100" w:type="pct"/>
          </w:tcPr>
          <w:p w:rsidR="00376768" w:rsidRDefault="00376768">
            <w:pPr>
              <w:rPr>
                <w:rFonts w:ascii="Arial" w:hAnsi="Arial" w:cs="Arial"/>
                <w:b/>
                <w:bCs/>
                <w:szCs w:val="20"/>
              </w:rPr>
            </w:pPr>
          </w:p>
        </w:tc>
        <w:tc>
          <w:tcPr>
            <w:tcW w:w="3900" w:type="pct"/>
          </w:tcPr>
          <w:p w:rsidR="00376768" w:rsidRDefault="00376768">
            <w:pPr>
              <w:jc w:val="both"/>
              <w:rPr>
                <w:rFonts w:ascii="Arial" w:hAnsi="Arial" w:cs="Arial"/>
                <w:b/>
                <w:bCs/>
                <w:szCs w:val="20"/>
              </w:rPr>
            </w:pPr>
          </w:p>
        </w:tc>
      </w:tr>
      <w:tr w:rsidR="00376768">
        <w:tc>
          <w:tcPr>
            <w:tcW w:w="1000" w:type="pct"/>
          </w:tcPr>
          <w:p w:rsidR="00376768" w:rsidRDefault="00EC2B72">
            <w:pPr>
              <w:rPr>
                <w:rFonts w:ascii="Arial" w:hAnsi="Arial" w:cs="Arial"/>
                <w:b/>
                <w:bCs/>
                <w:szCs w:val="20"/>
              </w:rPr>
            </w:pPr>
            <w:r>
              <w:rPr>
                <w:rFonts w:ascii="Arial" w:hAnsi="Arial" w:cs="Arial"/>
                <w:b/>
                <w:bCs/>
                <w:szCs w:val="20"/>
              </w:rPr>
              <w:t>Lee B. Foster II</w:t>
            </w:r>
          </w:p>
        </w:tc>
        <w:tc>
          <w:tcPr>
            <w:tcW w:w="100" w:type="pct"/>
          </w:tcPr>
          <w:p w:rsidR="00376768" w:rsidRDefault="00376768">
            <w:pPr>
              <w:rPr>
                <w:rFonts w:ascii="Arial" w:hAnsi="Arial" w:cs="Arial"/>
                <w:b/>
                <w:bCs/>
                <w:szCs w:val="20"/>
              </w:rPr>
            </w:pPr>
          </w:p>
        </w:tc>
        <w:tc>
          <w:tcPr>
            <w:tcW w:w="3900" w:type="pct"/>
          </w:tcPr>
          <w:p w:rsidR="00376768" w:rsidRDefault="00EC2B72">
            <w:pPr>
              <w:jc w:val="both"/>
              <w:rPr>
                <w:rFonts w:ascii="Arial" w:hAnsi="Arial" w:cs="Arial"/>
                <w:b/>
                <w:bCs/>
                <w:szCs w:val="20"/>
              </w:rPr>
            </w:pPr>
            <w:r>
              <w:rPr>
                <w:rFonts w:ascii="Arial" w:hAnsi="Arial" w:cs="Arial"/>
                <w:szCs w:val="20"/>
              </w:rPr>
              <w:t>Mr. Foster, age 71, has been a director of the Company since 1990 and Chairman since 1998. He was the Chief Executive Officer of the Company from May 1990 until he resigned from such office in January 2002 and remained a Company employee until May 2008. Mr. Foster has been a director of Wabtec Corporation since 1999, which manufactures components for locomotives, freight cars, and passenger transit vehicles, and provides aftermarket services. We believe that Mr. Foster is qualified to serve as a director because of his history with the Company and his knowledge of the Company’s current businesses, and his corporate governance experience as a member of another public company’s board of directors. In addition, Mr. Foster’s experience brings additional insight to a variety of our business issues.</w:t>
            </w:r>
          </w:p>
        </w:tc>
      </w:tr>
      <w:tr w:rsidR="00376768">
        <w:tc>
          <w:tcPr>
            <w:tcW w:w="1000" w:type="pct"/>
          </w:tcPr>
          <w:p w:rsidR="00376768" w:rsidRDefault="00376768">
            <w:pPr>
              <w:rPr>
                <w:rFonts w:ascii="Arial" w:hAnsi="Arial" w:cs="Arial"/>
                <w:b/>
                <w:bCs/>
                <w:szCs w:val="20"/>
              </w:rPr>
            </w:pPr>
          </w:p>
        </w:tc>
        <w:tc>
          <w:tcPr>
            <w:tcW w:w="100" w:type="pct"/>
          </w:tcPr>
          <w:p w:rsidR="00376768" w:rsidRDefault="00376768">
            <w:pPr>
              <w:rPr>
                <w:rFonts w:ascii="Arial" w:hAnsi="Arial" w:cs="Arial"/>
                <w:b/>
                <w:bCs/>
                <w:szCs w:val="20"/>
              </w:rPr>
            </w:pPr>
          </w:p>
        </w:tc>
        <w:tc>
          <w:tcPr>
            <w:tcW w:w="3900" w:type="pct"/>
          </w:tcPr>
          <w:p w:rsidR="00376768" w:rsidRDefault="00376768">
            <w:pPr>
              <w:jc w:val="both"/>
              <w:rPr>
                <w:rFonts w:ascii="Arial" w:hAnsi="Arial" w:cs="Arial"/>
                <w:b/>
                <w:bCs/>
                <w:szCs w:val="20"/>
              </w:rPr>
            </w:pPr>
          </w:p>
        </w:tc>
      </w:tr>
      <w:tr w:rsidR="00376768">
        <w:tc>
          <w:tcPr>
            <w:tcW w:w="1000" w:type="pct"/>
          </w:tcPr>
          <w:p w:rsidR="00376768" w:rsidRDefault="00EC2B72">
            <w:pPr>
              <w:jc w:val="center"/>
              <w:rPr>
                <w:rFonts w:ascii="Arial" w:hAnsi="Arial" w:cs="Arial"/>
                <w:b/>
                <w:bCs/>
                <w:szCs w:val="20"/>
              </w:rPr>
            </w:pPr>
            <w:r>
              <w:rPr>
                <w:rFonts w:ascii="Arial" w:hAnsi="Arial" w:cs="Arial"/>
                <w:b/>
                <w:bCs/>
                <w:szCs w:val="20"/>
                <w:u w:val="single"/>
              </w:rPr>
              <w:t>Nominee</w:t>
            </w:r>
          </w:p>
        </w:tc>
        <w:tc>
          <w:tcPr>
            <w:tcW w:w="100" w:type="pct"/>
          </w:tcPr>
          <w:p w:rsidR="00376768" w:rsidRDefault="00376768">
            <w:pPr>
              <w:rPr>
                <w:rFonts w:ascii="Arial" w:hAnsi="Arial" w:cs="Arial"/>
                <w:b/>
                <w:bCs/>
                <w:szCs w:val="20"/>
              </w:rPr>
            </w:pPr>
          </w:p>
        </w:tc>
        <w:tc>
          <w:tcPr>
            <w:tcW w:w="3900" w:type="pct"/>
          </w:tcPr>
          <w:p w:rsidR="00376768" w:rsidRDefault="00376768">
            <w:pPr>
              <w:jc w:val="both"/>
              <w:rPr>
                <w:rFonts w:ascii="Arial" w:hAnsi="Arial" w:cs="Arial"/>
                <w:b/>
                <w:bCs/>
                <w:szCs w:val="20"/>
              </w:rPr>
            </w:pPr>
          </w:p>
        </w:tc>
      </w:tr>
      <w:tr w:rsidR="00376768">
        <w:tc>
          <w:tcPr>
            <w:tcW w:w="1000" w:type="pct"/>
          </w:tcPr>
          <w:p w:rsidR="00376768" w:rsidRDefault="00376768">
            <w:pPr>
              <w:rPr>
                <w:rFonts w:ascii="Arial" w:hAnsi="Arial" w:cs="Arial"/>
                <w:b/>
                <w:bCs/>
                <w:szCs w:val="20"/>
              </w:rPr>
            </w:pPr>
          </w:p>
        </w:tc>
        <w:tc>
          <w:tcPr>
            <w:tcW w:w="100" w:type="pct"/>
          </w:tcPr>
          <w:p w:rsidR="00376768" w:rsidRDefault="00376768">
            <w:pPr>
              <w:rPr>
                <w:rFonts w:ascii="Arial" w:hAnsi="Arial" w:cs="Arial"/>
                <w:b/>
                <w:bCs/>
                <w:szCs w:val="20"/>
              </w:rPr>
            </w:pPr>
          </w:p>
        </w:tc>
        <w:tc>
          <w:tcPr>
            <w:tcW w:w="3900" w:type="pct"/>
          </w:tcPr>
          <w:p w:rsidR="00376768" w:rsidRDefault="00376768">
            <w:pPr>
              <w:jc w:val="both"/>
              <w:rPr>
                <w:rFonts w:ascii="Arial" w:hAnsi="Arial" w:cs="Arial"/>
                <w:b/>
                <w:bCs/>
                <w:szCs w:val="20"/>
              </w:rPr>
            </w:pPr>
          </w:p>
        </w:tc>
      </w:tr>
      <w:tr w:rsidR="00376768">
        <w:tc>
          <w:tcPr>
            <w:tcW w:w="1000" w:type="pct"/>
          </w:tcPr>
          <w:p w:rsidR="00376768" w:rsidRDefault="00EC2B72">
            <w:pPr>
              <w:rPr>
                <w:rFonts w:ascii="Arial" w:hAnsi="Arial" w:cs="Arial"/>
                <w:b/>
                <w:bCs/>
                <w:szCs w:val="20"/>
              </w:rPr>
            </w:pPr>
            <w:r>
              <w:rPr>
                <w:rFonts w:ascii="Arial" w:hAnsi="Arial" w:cs="Arial"/>
                <w:b/>
                <w:bCs/>
                <w:szCs w:val="20"/>
              </w:rPr>
              <w:t xml:space="preserve">Dirk </w:t>
            </w:r>
            <w:proofErr w:type="spellStart"/>
            <w:r>
              <w:rPr>
                <w:rFonts w:ascii="Arial" w:hAnsi="Arial" w:cs="Arial"/>
                <w:b/>
                <w:bCs/>
                <w:szCs w:val="20"/>
              </w:rPr>
              <w:t>Jungé</w:t>
            </w:r>
            <w:proofErr w:type="spellEnd"/>
          </w:p>
        </w:tc>
        <w:tc>
          <w:tcPr>
            <w:tcW w:w="100" w:type="pct"/>
          </w:tcPr>
          <w:p w:rsidR="00376768" w:rsidRDefault="00376768">
            <w:pPr>
              <w:rPr>
                <w:rFonts w:ascii="Arial" w:hAnsi="Arial" w:cs="Arial"/>
                <w:b/>
                <w:bCs/>
                <w:szCs w:val="20"/>
              </w:rPr>
            </w:pPr>
          </w:p>
        </w:tc>
        <w:tc>
          <w:tcPr>
            <w:tcW w:w="3900" w:type="pct"/>
          </w:tcPr>
          <w:p w:rsidR="00376768" w:rsidRDefault="00EC2B72">
            <w:pPr>
              <w:jc w:val="both"/>
              <w:rPr>
                <w:rFonts w:ascii="Arial" w:hAnsi="Arial" w:cs="Arial"/>
                <w:b/>
                <w:bCs/>
                <w:szCs w:val="20"/>
              </w:rPr>
            </w:pPr>
            <w:r>
              <w:rPr>
                <w:rFonts w:ascii="Arial" w:hAnsi="Arial" w:cs="Arial"/>
                <w:szCs w:val="20"/>
              </w:rPr>
              <w:t xml:space="preserve">Mr. </w:t>
            </w:r>
            <w:proofErr w:type="spellStart"/>
            <w:r>
              <w:rPr>
                <w:rFonts w:ascii="Arial" w:hAnsi="Arial" w:cs="Arial"/>
                <w:szCs w:val="20"/>
              </w:rPr>
              <w:t>Jungé</w:t>
            </w:r>
            <w:proofErr w:type="spellEnd"/>
            <w:r>
              <w:rPr>
                <w:rFonts w:ascii="Arial" w:hAnsi="Arial" w:cs="Arial"/>
                <w:szCs w:val="20"/>
              </w:rPr>
              <w:t xml:space="preserve">, age 69, has been a director since 2015. He is the Chairman of Pitcairn Company, a private Pitcairn family holding company, and Pitcairn Trust Company, a Pennsylvania state-chartered trust company, since 1991. Until 2012, he served as Chief Executive Officer of Pitcairn, a recognized global leader in the specialized family office marketplace and has overseen investments in oil and gas and drilling partnerships. Since 2000, he has served as a director of Paramount Resources, Ltd., a public Canadian energy company, with assignments on the corporate governance committee since 2003 and the environmental, health &amp; safety committee since 2011. In 2013, he joined the Board of Directors of Freeman Company, a privately-held company and a leader in face-to-face marketing and currently serves as the Chairman of its compensation committee. Mr. </w:t>
            </w:r>
            <w:proofErr w:type="spellStart"/>
            <w:r>
              <w:rPr>
                <w:rFonts w:ascii="Arial" w:hAnsi="Arial" w:cs="Arial"/>
                <w:szCs w:val="20"/>
              </w:rPr>
              <w:t>Jungé</w:t>
            </w:r>
            <w:proofErr w:type="spellEnd"/>
            <w:r>
              <w:rPr>
                <w:rFonts w:ascii="Arial" w:hAnsi="Arial" w:cs="Arial"/>
                <w:szCs w:val="20"/>
              </w:rPr>
              <w:t xml:space="preserve"> is also a credentialed Chartered Financial Analyst. We believe that Mr. </w:t>
            </w:r>
            <w:proofErr w:type="spellStart"/>
            <w:r>
              <w:rPr>
                <w:rFonts w:ascii="Arial" w:hAnsi="Arial" w:cs="Arial"/>
                <w:szCs w:val="20"/>
              </w:rPr>
              <w:t>Jungé</w:t>
            </w:r>
            <w:proofErr w:type="spellEnd"/>
            <w:r>
              <w:rPr>
                <w:rFonts w:ascii="Arial" w:hAnsi="Arial" w:cs="Arial"/>
                <w:szCs w:val="20"/>
              </w:rPr>
              <w:t xml:space="preserve"> is qualified to serve as a director because of his years of business experience, including in the energy sector and in public and private enterprises, as well as his familiarity with strategic planning, risk management, compensation, finance, and governance matters, which enable him to make a valuable contribution to the Board’s business and compliance oversight functions.</w:t>
            </w:r>
          </w:p>
        </w:tc>
      </w:tr>
      <w:tr w:rsidR="00376768">
        <w:tc>
          <w:tcPr>
            <w:tcW w:w="1000" w:type="pct"/>
          </w:tcPr>
          <w:p w:rsidR="00376768" w:rsidRDefault="00376768">
            <w:pPr>
              <w:rPr>
                <w:rFonts w:ascii="Arial" w:hAnsi="Arial" w:cs="Arial"/>
                <w:b/>
                <w:bCs/>
                <w:szCs w:val="20"/>
              </w:rPr>
            </w:pPr>
          </w:p>
        </w:tc>
        <w:tc>
          <w:tcPr>
            <w:tcW w:w="100" w:type="pct"/>
          </w:tcPr>
          <w:p w:rsidR="00376768" w:rsidRDefault="00376768">
            <w:pPr>
              <w:rPr>
                <w:rFonts w:ascii="Arial" w:hAnsi="Arial" w:cs="Arial"/>
                <w:b/>
                <w:bCs/>
                <w:szCs w:val="20"/>
              </w:rPr>
            </w:pPr>
          </w:p>
        </w:tc>
        <w:tc>
          <w:tcPr>
            <w:tcW w:w="3900" w:type="pct"/>
          </w:tcPr>
          <w:p w:rsidR="00376768" w:rsidRDefault="00376768">
            <w:pPr>
              <w:jc w:val="both"/>
              <w:rPr>
                <w:rFonts w:ascii="Arial" w:hAnsi="Arial" w:cs="Arial"/>
                <w:szCs w:val="20"/>
              </w:rPr>
            </w:pPr>
          </w:p>
        </w:tc>
      </w:tr>
      <w:tr w:rsidR="00376768">
        <w:tc>
          <w:tcPr>
            <w:tcW w:w="1000" w:type="pct"/>
          </w:tcPr>
          <w:p w:rsidR="00376768" w:rsidRDefault="00EC2B72">
            <w:pPr>
              <w:rPr>
                <w:rFonts w:ascii="Arial" w:hAnsi="Arial" w:cs="Arial"/>
                <w:b/>
                <w:bCs/>
                <w:szCs w:val="20"/>
              </w:rPr>
            </w:pPr>
            <w:r>
              <w:rPr>
                <w:rFonts w:ascii="Arial" w:hAnsi="Arial" w:cs="Arial"/>
                <w:b/>
                <w:bCs/>
                <w:szCs w:val="20"/>
              </w:rPr>
              <w:t>Diane B. Owen</w:t>
            </w:r>
          </w:p>
        </w:tc>
        <w:tc>
          <w:tcPr>
            <w:tcW w:w="100" w:type="pct"/>
          </w:tcPr>
          <w:p w:rsidR="00376768" w:rsidRDefault="00376768">
            <w:pPr>
              <w:rPr>
                <w:rFonts w:ascii="Arial" w:hAnsi="Arial" w:cs="Arial"/>
                <w:b/>
                <w:bCs/>
                <w:szCs w:val="20"/>
              </w:rPr>
            </w:pPr>
          </w:p>
        </w:tc>
        <w:tc>
          <w:tcPr>
            <w:tcW w:w="3900" w:type="pct"/>
          </w:tcPr>
          <w:p w:rsidR="00376768" w:rsidRDefault="00EC2B72">
            <w:pPr>
              <w:jc w:val="both"/>
              <w:rPr>
                <w:rFonts w:ascii="Arial" w:hAnsi="Arial" w:cs="Arial"/>
                <w:szCs w:val="20"/>
              </w:rPr>
            </w:pPr>
            <w:r>
              <w:rPr>
                <w:rFonts w:ascii="Arial" w:hAnsi="Arial" w:cs="Arial"/>
                <w:szCs w:val="20"/>
              </w:rPr>
              <w:t>Ms. Owen, age 62, was elected as a director in May 2002. Since June 2014, she has served as an independent Board Member and Internal Control Committee Chair of Elliott Group Holdings, a subsidiary of Ebara Corporation, an international company that manufactures and services industrial equipment. She was Senior Vice President – Corporate Audit of H.J. Heinz Company, an international food company, from May 2010 to June 2013 and was Vice President - Corporate Audit of H.J. Heinz Company from April 2000 to May 2010. We believe that Ms. Owen is qualified to serve as a director of the Company due to her over 30 years of business experience, particularly in accounting and finance. Ms. Owen plays a critical role as Chairman of the Audit Committee and as the Board’s audit committee financial expert. In addition, Ms. Owen’s extensive international business experience enables her to provide valuable insights to the Company in its international business interests.</w:t>
            </w:r>
          </w:p>
        </w:tc>
      </w:tr>
      <w:tr w:rsidR="00376768">
        <w:tc>
          <w:tcPr>
            <w:tcW w:w="1000" w:type="pct"/>
          </w:tcPr>
          <w:p w:rsidR="00376768" w:rsidRDefault="00376768">
            <w:pPr>
              <w:rPr>
                <w:rFonts w:ascii="Arial" w:hAnsi="Arial" w:cs="Arial"/>
                <w:b/>
                <w:bCs/>
                <w:szCs w:val="20"/>
              </w:rPr>
            </w:pPr>
          </w:p>
        </w:tc>
        <w:tc>
          <w:tcPr>
            <w:tcW w:w="100" w:type="pct"/>
          </w:tcPr>
          <w:p w:rsidR="00376768" w:rsidRDefault="00376768">
            <w:pPr>
              <w:rPr>
                <w:rFonts w:ascii="Arial" w:hAnsi="Arial" w:cs="Arial"/>
                <w:b/>
                <w:bCs/>
                <w:szCs w:val="20"/>
              </w:rPr>
            </w:pPr>
          </w:p>
        </w:tc>
        <w:tc>
          <w:tcPr>
            <w:tcW w:w="3900" w:type="pct"/>
          </w:tcPr>
          <w:p w:rsidR="00376768" w:rsidRDefault="00376768">
            <w:pPr>
              <w:jc w:val="both"/>
              <w:rPr>
                <w:rFonts w:ascii="Arial" w:hAnsi="Arial" w:cs="Arial"/>
                <w:szCs w:val="20"/>
              </w:rPr>
            </w:pPr>
          </w:p>
        </w:tc>
      </w:tr>
      <w:tr w:rsidR="00376768">
        <w:tc>
          <w:tcPr>
            <w:tcW w:w="1000" w:type="pct"/>
          </w:tcPr>
          <w:p w:rsidR="00376768" w:rsidRDefault="00EC2B72">
            <w:pPr>
              <w:rPr>
                <w:rFonts w:ascii="Arial" w:hAnsi="Arial" w:cs="Arial"/>
                <w:b/>
                <w:bCs/>
                <w:szCs w:val="20"/>
              </w:rPr>
            </w:pPr>
            <w:r>
              <w:rPr>
                <w:rFonts w:ascii="Arial" w:hAnsi="Arial" w:cs="Arial"/>
                <w:b/>
                <w:bCs/>
                <w:szCs w:val="20"/>
              </w:rPr>
              <w:t xml:space="preserve">Robert S. </w:t>
            </w:r>
            <w:proofErr w:type="spellStart"/>
            <w:r>
              <w:rPr>
                <w:rFonts w:ascii="Arial" w:hAnsi="Arial" w:cs="Arial"/>
                <w:b/>
                <w:bCs/>
                <w:szCs w:val="20"/>
              </w:rPr>
              <w:t>Purgason</w:t>
            </w:r>
            <w:proofErr w:type="spellEnd"/>
          </w:p>
        </w:tc>
        <w:tc>
          <w:tcPr>
            <w:tcW w:w="100" w:type="pct"/>
          </w:tcPr>
          <w:p w:rsidR="00376768" w:rsidRDefault="00376768">
            <w:pPr>
              <w:rPr>
                <w:rFonts w:ascii="Arial" w:hAnsi="Arial" w:cs="Arial"/>
                <w:b/>
                <w:bCs/>
                <w:szCs w:val="20"/>
              </w:rPr>
            </w:pPr>
          </w:p>
        </w:tc>
        <w:tc>
          <w:tcPr>
            <w:tcW w:w="3900" w:type="pct"/>
          </w:tcPr>
          <w:p w:rsidR="00376768" w:rsidRDefault="00EC2B72">
            <w:pPr>
              <w:jc w:val="both"/>
              <w:rPr>
                <w:rFonts w:ascii="Arial" w:hAnsi="Arial" w:cs="Arial"/>
                <w:szCs w:val="20"/>
              </w:rPr>
            </w:pPr>
            <w:r>
              <w:rPr>
                <w:rFonts w:ascii="Arial" w:hAnsi="Arial" w:cs="Arial"/>
                <w:szCs w:val="20"/>
              </w:rPr>
              <w:t xml:space="preserve">Mr. </w:t>
            </w:r>
            <w:proofErr w:type="spellStart"/>
            <w:r>
              <w:rPr>
                <w:rFonts w:ascii="Arial" w:hAnsi="Arial" w:cs="Arial"/>
                <w:szCs w:val="20"/>
              </w:rPr>
              <w:t>Purgason</w:t>
            </w:r>
            <w:proofErr w:type="spellEnd"/>
            <w:r>
              <w:rPr>
                <w:rFonts w:ascii="Arial" w:hAnsi="Arial" w:cs="Arial"/>
                <w:szCs w:val="20"/>
              </w:rPr>
              <w:t xml:space="preserve">, age 62, has been a director of the Company since December 2014. Since March 2017, he has served as Senior Managing Director of </w:t>
            </w:r>
            <w:proofErr w:type="spellStart"/>
            <w:r>
              <w:rPr>
                <w:rFonts w:ascii="Arial" w:hAnsi="Arial" w:cs="Arial"/>
                <w:szCs w:val="20"/>
              </w:rPr>
              <w:t>Kayne</w:t>
            </w:r>
            <w:proofErr w:type="spellEnd"/>
            <w:r>
              <w:rPr>
                <w:rFonts w:ascii="Arial" w:hAnsi="Arial" w:cs="Arial"/>
                <w:szCs w:val="20"/>
              </w:rPr>
              <w:t xml:space="preserve"> Anderson Capital Advisors, LLC, </w:t>
            </w:r>
            <w:proofErr w:type="gramStart"/>
            <w:r>
              <w:rPr>
                <w:rFonts w:ascii="Arial" w:hAnsi="Arial" w:cs="Arial"/>
                <w:szCs w:val="20"/>
              </w:rPr>
              <w:t>a</w:t>
            </w:r>
            <w:proofErr w:type="gramEnd"/>
            <w:r>
              <w:rPr>
                <w:rFonts w:ascii="Arial" w:hAnsi="Arial" w:cs="Arial"/>
                <w:szCs w:val="20"/>
              </w:rPr>
              <w:t xml:space="preserve"> registered investment advisory company. He was Senior Vice President of The Williams Companies (“Williams”) from January 2015 through February 2017, leading the Williams operating area that encompasses the assets and operations of Access Midstream, including natural gas gathering and processing. During that period, Mr. </w:t>
            </w:r>
            <w:proofErr w:type="spellStart"/>
            <w:r>
              <w:rPr>
                <w:rFonts w:ascii="Arial" w:hAnsi="Arial" w:cs="Arial"/>
                <w:szCs w:val="20"/>
              </w:rPr>
              <w:t>Purgason</w:t>
            </w:r>
            <w:proofErr w:type="spellEnd"/>
            <w:r>
              <w:rPr>
                <w:rFonts w:ascii="Arial" w:hAnsi="Arial" w:cs="Arial"/>
                <w:szCs w:val="20"/>
              </w:rPr>
              <w:t xml:space="preserve"> was a director of Williams Partners, and also served as Chief Operating Officer of the general partner of Access Midstream from 2012 to 2015. Prior to joining Access Midstream, Mr. </w:t>
            </w:r>
            <w:proofErr w:type="spellStart"/>
            <w:r>
              <w:rPr>
                <w:rFonts w:ascii="Arial" w:hAnsi="Arial" w:cs="Arial"/>
                <w:szCs w:val="20"/>
              </w:rPr>
              <w:t>Purgason</w:t>
            </w:r>
            <w:proofErr w:type="spellEnd"/>
            <w:r>
              <w:rPr>
                <w:rFonts w:ascii="Arial" w:hAnsi="Arial" w:cs="Arial"/>
                <w:szCs w:val="20"/>
              </w:rPr>
              <w:t xml:space="preserve"> spent five years at </w:t>
            </w:r>
            <w:proofErr w:type="spellStart"/>
            <w:r>
              <w:rPr>
                <w:rFonts w:ascii="Arial" w:hAnsi="Arial" w:cs="Arial"/>
                <w:szCs w:val="20"/>
              </w:rPr>
              <w:t>Crosstex</w:t>
            </w:r>
            <w:proofErr w:type="spellEnd"/>
            <w:r>
              <w:rPr>
                <w:rFonts w:ascii="Arial" w:hAnsi="Arial" w:cs="Arial"/>
                <w:szCs w:val="20"/>
              </w:rPr>
              <w:t xml:space="preserve"> Energy Services, L.P. and was promoted to Senior Vice President-Chief Operating Officer in November 2006. Prior to </w:t>
            </w:r>
            <w:proofErr w:type="spellStart"/>
            <w:r>
              <w:rPr>
                <w:rFonts w:ascii="Arial" w:hAnsi="Arial" w:cs="Arial"/>
                <w:szCs w:val="20"/>
              </w:rPr>
              <w:t>Crosstex</w:t>
            </w:r>
            <w:proofErr w:type="spellEnd"/>
            <w:r>
              <w:rPr>
                <w:rFonts w:ascii="Arial" w:hAnsi="Arial" w:cs="Arial"/>
                <w:szCs w:val="20"/>
              </w:rPr>
              <w:t xml:space="preserve">, Mr. </w:t>
            </w:r>
            <w:proofErr w:type="spellStart"/>
            <w:r>
              <w:rPr>
                <w:rFonts w:ascii="Arial" w:hAnsi="Arial" w:cs="Arial"/>
                <w:szCs w:val="20"/>
              </w:rPr>
              <w:t>Purgason</w:t>
            </w:r>
            <w:proofErr w:type="spellEnd"/>
            <w:r>
              <w:rPr>
                <w:rFonts w:ascii="Arial" w:hAnsi="Arial" w:cs="Arial"/>
                <w:szCs w:val="20"/>
              </w:rPr>
              <w:t xml:space="preserve"> spent 19 years with The Williams Companies in various senior business development and operational roles of increasing responsibility. Mr. </w:t>
            </w:r>
            <w:proofErr w:type="spellStart"/>
            <w:r>
              <w:rPr>
                <w:rFonts w:ascii="Arial" w:hAnsi="Arial" w:cs="Arial"/>
                <w:szCs w:val="20"/>
              </w:rPr>
              <w:t>Purgason</w:t>
            </w:r>
            <w:proofErr w:type="spellEnd"/>
            <w:r>
              <w:rPr>
                <w:rFonts w:ascii="Arial" w:hAnsi="Arial" w:cs="Arial"/>
                <w:szCs w:val="20"/>
              </w:rPr>
              <w:t xml:space="preserve"> began his career at Perry Gas Companies in Odessa, Texas working in all facets of the natural gas treating business. Mr. </w:t>
            </w:r>
            <w:proofErr w:type="spellStart"/>
            <w:r>
              <w:rPr>
                <w:rFonts w:ascii="Arial" w:hAnsi="Arial" w:cs="Arial"/>
                <w:szCs w:val="20"/>
              </w:rPr>
              <w:t>Purgason’s</w:t>
            </w:r>
            <w:proofErr w:type="spellEnd"/>
            <w:r>
              <w:rPr>
                <w:rFonts w:ascii="Arial" w:hAnsi="Arial" w:cs="Arial"/>
                <w:szCs w:val="20"/>
              </w:rPr>
              <w:t xml:space="preserve"> extensive experience in, and keen understanding of, the energy industry brings valuable insight to the Board, particularly with regard to the Company’s operations which include pipe threading and coating as well as blending, injection, and custody transfer metering skids for the oil and gas industry. He also brings board experience which contributes to the corporate governance experience of the Board.</w:t>
            </w:r>
          </w:p>
        </w:tc>
      </w:tr>
    </w:tbl>
    <w:p w:rsidR="00376768" w:rsidRDefault="00376768"/>
    <w:p w:rsidR="00376768" w:rsidRDefault="00EC2B72">
      <w:pPr>
        <w:rPr>
          <w:sz w:val="2"/>
        </w:rPr>
      </w:pPr>
      <w:r>
        <w:br w:type="page"/>
      </w:r>
    </w:p>
    <w:tbl>
      <w:tblPr>
        <w:tblW w:w="5000" w:type="pct"/>
        <w:tblLayout w:type="fixed"/>
        <w:tblCellMar>
          <w:left w:w="0" w:type="dxa"/>
          <w:right w:w="0" w:type="dxa"/>
        </w:tblCellMar>
        <w:tblLook w:val="0000" w:firstRow="0" w:lastRow="0" w:firstColumn="0" w:lastColumn="0" w:noHBand="0" w:noVBand="0"/>
      </w:tblPr>
      <w:tblGrid>
        <w:gridCol w:w="2160"/>
        <w:gridCol w:w="216"/>
        <w:gridCol w:w="8424"/>
      </w:tblGrid>
      <w:tr w:rsidR="00376768">
        <w:tc>
          <w:tcPr>
            <w:tcW w:w="1000" w:type="pct"/>
          </w:tcPr>
          <w:p w:rsidR="00376768" w:rsidRDefault="00EC2B72">
            <w:pPr>
              <w:jc w:val="center"/>
              <w:rPr>
                <w:rFonts w:ascii="Arial" w:hAnsi="Arial" w:cs="Arial"/>
                <w:b/>
                <w:bCs/>
                <w:szCs w:val="20"/>
              </w:rPr>
            </w:pPr>
            <w:r>
              <w:rPr>
                <w:rFonts w:ascii="Arial" w:hAnsi="Arial" w:cs="Arial"/>
                <w:b/>
                <w:bCs/>
                <w:szCs w:val="20"/>
                <w:u w:val="single"/>
              </w:rPr>
              <w:lastRenderedPageBreak/>
              <w:t>Nominee</w:t>
            </w:r>
          </w:p>
        </w:tc>
        <w:tc>
          <w:tcPr>
            <w:tcW w:w="100" w:type="pct"/>
          </w:tcPr>
          <w:p w:rsidR="00376768" w:rsidRDefault="00376768">
            <w:pPr>
              <w:rPr>
                <w:rFonts w:ascii="Arial" w:hAnsi="Arial" w:cs="Arial"/>
                <w:b/>
                <w:bCs/>
                <w:szCs w:val="20"/>
              </w:rPr>
            </w:pPr>
          </w:p>
        </w:tc>
        <w:tc>
          <w:tcPr>
            <w:tcW w:w="3900" w:type="pct"/>
          </w:tcPr>
          <w:p w:rsidR="00376768" w:rsidRDefault="00376768">
            <w:pPr>
              <w:jc w:val="both"/>
              <w:rPr>
                <w:rFonts w:ascii="Arial" w:hAnsi="Arial" w:cs="Arial"/>
                <w:szCs w:val="20"/>
              </w:rPr>
            </w:pPr>
          </w:p>
        </w:tc>
      </w:tr>
      <w:tr w:rsidR="00376768">
        <w:tc>
          <w:tcPr>
            <w:tcW w:w="1000" w:type="pct"/>
          </w:tcPr>
          <w:p w:rsidR="00376768" w:rsidRDefault="00376768">
            <w:pPr>
              <w:rPr>
                <w:rFonts w:ascii="Arial" w:hAnsi="Arial" w:cs="Arial"/>
                <w:b/>
                <w:bCs/>
                <w:szCs w:val="20"/>
              </w:rPr>
            </w:pPr>
          </w:p>
        </w:tc>
        <w:tc>
          <w:tcPr>
            <w:tcW w:w="100" w:type="pct"/>
          </w:tcPr>
          <w:p w:rsidR="00376768" w:rsidRDefault="00376768">
            <w:pPr>
              <w:rPr>
                <w:rFonts w:ascii="Arial" w:hAnsi="Arial" w:cs="Arial"/>
                <w:b/>
                <w:bCs/>
                <w:szCs w:val="20"/>
              </w:rPr>
            </w:pPr>
          </w:p>
        </w:tc>
        <w:tc>
          <w:tcPr>
            <w:tcW w:w="3900" w:type="pct"/>
          </w:tcPr>
          <w:p w:rsidR="00376768" w:rsidRDefault="00376768">
            <w:pPr>
              <w:jc w:val="both"/>
              <w:rPr>
                <w:rFonts w:ascii="Arial" w:hAnsi="Arial" w:cs="Arial"/>
                <w:szCs w:val="20"/>
              </w:rPr>
            </w:pPr>
          </w:p>
        </w:tc>
      </w:tr>
      <w:tr w:rsidR="00376768">
        <w:tc>
          <w:tcPr>
            <w:tcW w:w="1000" w:type="pct"/>
          </w:tcPr>
          <w:p w:rsidR="00376768" w:rsidRDefault="00EC2B72">
            <w:pPr>
              <w:rPr>
                <w:rFonts w:ascii="Arial" w:hAnsi="Arial" w:cs="Arial"/>
                <w:b/>
                <w:bCs/>
                <w:szCs w:val="20"/>
              </w:rPr>
            </w:pPr>
            <w:r>
              <w:rPr>
                <w:rFonts w:ascii="Arial" w:hAnsi="Arial" w:cs="Arial"/>
                <w:b/>
                <w:bCs/>
                <w:szCs w:val="20"/>
              </w:rPr>
              <w:t xml:space="preserve">William H. </w:t>
            </w:r>
            <w:proofErr w:type="spellStart"/>
            <w:r>
              <w:rPr>
                <w:rFonts w:ascii="Arial" w:hAnsi="Arial" w:cs="Arial"/>
                <w:b/>
                <w:bCs/>
                <w:szCs w:val="20"/>
              </w:rPr>
              <w:t>Rackoff</w:t>
            </w:r>
            <w:proofErr w:type="spellEnd"/>
          </w:p>
        </w:tc>
        <w:tc>
          <w:tcPr>
            <w:tcW w:w="100" w:type="pct"/>
          </w:tcPr>
          <w:p w:rsidR="00376768" w:rsidRDefault="00376768">
            <w:pPr>
              <w:rPr>
                <w:rFonts w:ascii="Arial" w:hAnsi="Arial" w:cs="Arial"/>
                <w:b/>
                <w:bCs/>
                <w:szCs w:val="20"/>
              </w:rPr>
            </w:pPr>
          </w:p>
        </w:tc>
        <w:tc>
          <w:tcPr>
            <w:tcW w:w="3900" w:type="pct"/>
          </w:tcPr>
          <w:p w:rsidR="00376768" w:rsidRDefault="00EC2B72">
            <w:pPr>
              <w:jc w:val="both"/>
              <w:rPr>
                <w:rFonts w:ascii="Arial" w:hAnsi="Arial" w:cs="Arial"/>
                <w:szCs w:val="20"/>
              </w:rPr>
            </w:pPr>
            <w:r>
              <w:rPr>
                <w:rFonts w:ascii="Arial" w:hAnsi="Arial" w:cs="Arial"/>
                <w:szCs w:val="20"/>
              </w:rPr>
              <w:t xml:space="preserve">Mr. </w:t>
            </w:r>
            <w:proofErr w:type="spellStart"/>
            <w:r>
              <w:rPr>
                <w:rFonts w:ascii="Arial" w:hAnsi="Arial" w:cs="Arial"/>
                <w:szCs w:val="20"/>
              </w:rPr>
              <w:t>Rackoff</w:t>
            </w:r>
            <w:proofErr w:type="spellEnd"/>
            <w:r>
              <w:rPr>
                <w:rFonts w:ascii="Arial" w:hAnsi="Arial" w:cs="Arial"/>
                <w:szCs w:val="20"/>
              </w:rPr>
              <w:t>, age 69, has been a director of the Company since 1996. Since 1994, Mr. </w:t>
            </w:r>
            <w:proofErr w:type="spellStart"/>
            <w:r>
              <w:rPr>
                <w:rFonts w:ascii="Arial" w:hAnsi="Arial" w:cs="Arial"/>
                <w:szCs w:val="20"/>
              </w:rPr>
              <w:t>Rackoff</w:t>
            </w:r>
            <w:proofErr w:type="spellEnd"/>
            <w:r>
              <w:rPr>
                <w:rFonts w:ascii="Arial" w:hAnsi="Arial" w:cs="Arial"/>
                <w:szCs w:val="20"/>
              </w:rPr>
              <w:t xml:space="preserve"> has been President and Chief Executive Officer of ASKO, Inc., a private international company which manufactures custom engineered tooling for the metalworking industry. We believe that Mr. </w:t>
            </w:r>
            <w:proofErr w:type="spellStart"/>
            <w:r>
              <w:rPr>
                <w:rFonts w:ascii="Arial" w:hAnsi="Arial" w:cs="Arial"/>
                <w:szCs w:val="20"/>
              </w:rPr>
              <w:t>Rackoff</w:t>
            </w:r>
            <w:proofErr w:type="spellEnd"/>
            <w:r>
              <w:rPr>
                <w:rFonts w:ascii="Arial" w:hAnsi="Arial" w:cs="Arial"/>
                <w:szCs w:val="20"/>
              </w:rPr>
              <w:t xml:space="preserve"> is qualified to serve as a director because his years of experience in the steel industry and his engineering background enable him to understand and develop the factors that drive the Company’s performance, including strategy, operations, and finance. Mr. </w:t>
            </w:r>
            <w:proofErr w:type="spellStart"/>
            <w:r>
              <w:rPr>
                <w:rFonts w:ascii="Arial" w:hAnsi="Arial" w:cs="Arial"/>
                <w:szCs w:val="20"/>
              </w:rPr>
              <w:t>Rackoff</w:t>
            </w:r>
            <w:proofErr w:type="spellEnd"/>
            <w:r>
              <w:rPr>
                <w:rFonts w:ascii="Arial" w:hAnsi="Arial" w:cs="Arial"/>
                <w:szCs w:val="20"/>
              </w:rPr>
              <w:t>, as Chairman of the Compensation Committee, has led the creation of the Company’s executive incentive programs.</w:t>
            </w:r>
          </w:p>
        </w:tc>
      </w:tr>
      <w:tr w:rsidR="00376768">
        <w:tc>
          <w:tcPr>
            <w:tcW w:w="1000" w:type="pct"/>
          </w:tcPr>
          <w:p w:rsidR="00376768" w:rsidRDefault="00376768">
            <w:pPr>
              <w:rPr>
                <w:rFonts w:ascii="Arial" w:hAnsi="Arial" w:cs="Arial"/>
                <w:b/>
                <w:bCs/>
                <w:szCs w:val="20"/>
              </w:rPr>
            </w:pPr>
          </w:p>
        </w:tc>
        <w:tc>
          <w:tcPr>
            <w:tcW w:w="100" w:type="pct"/>
          </w:tcPr>
          <w:p w:rsidR="00376768" w:rsidRDefault="00376768">
            <w:pPr>
              <w:rPr>
                <w:rFonts w:ascii="Arial" w:hAnsi="Arial" w:cs="Arial"/>
                <w:b/>
                <w:bCs/>
                <w:szCs w:val="20"/>
              </w:rPr>
            </w:pPr>
          </w:p>
        </w:tc>
        <w:tc>
          <w:tcPr>
            <w:tcW w:w="3900" w:type="pct"/>
          </w:tcPr>
          <w:p w:rsidR="00376768" w:rsidRDefault="00376768">
            <w:pPr>
              <w:jc w:val="both"/>
              <w:rPr>
                <w:rFonts w:ascii="Arial" w:hAnsi="Arial" w:cs="Arial"/>
                <w:szCs w:val="20"/>
              </w:rPr>
            </w:pPr>
          </w:p>
        </w:tc>
      </w:tr>
      <w:tr w:rsidR="00376768">
        <w:tc>
          <w:tcPr>
            <w:tcW w:w="1000" w:type="pct"/>
          </w:tcPr>
          <w:p w:rsidR="00376768" w:rsidRDefault="00EC2B72">
            <w:pPr>
              <w:rPr>
                <w:rFonts w:ascii="Arial" w:hAnsi="Arial" w:cs="Arial"/>
                <w:b/>
                <w:bCs/>
                <w:szCs w:val="20"/>
              </w:rPr>
            </w:pPr>
            <w:r>
              <w:rPr>
                <w:rFonts w:ascii="Arial" w:hAnsi="Arial" w:cs="Arial"/>
                <w:b/>
                <w:bCs/>
                <w:szCs w:val="20"/>
              </w:rPr>
              <w:t>Suzanne B. Rowland</w:t>
            </w:r>
          </w:p>
        </w:tc>
        <w:tc>
          <w:tcPr>
            <w:tcW w:w="100" w:type="pct"/>
          </w:tcPr>
          <w:p w:rsidR="00376768" w:rsidRDefault="00376768">
            <w:pPr>
              <w:rPr>
                <w:rFonts w:ascii="Arial" w:hAnsi="Arial" w:cs="Arial"/>
                <w:b/>
                <w:bCs/>
                <w:szCs w:val="20"/>
              </w:rPr>
            </w:pPr>
          </w:p>
        </w:tc>
        <w:tc>
          <w:tcPr>
            <w:tcW w:w="3900" w:type="pct"/>
          </w:tcPr>
          <w:p w:rsidR="00376768" w:rsidRDefault="00EC2B72">
            <w:pPr>
              <w:jc w:val="both"/>
              <w:rPr>
                <w:rFonts w:ascii="Arial" w:hAnsi="Arial" w:cs="Arial"/>
                <w:szCs w:val="20"/>
              </w:rPr>
            </w:pPr>
            <w:r>
              <w:rPr>
                <w:rFonts w:ascii="Arial" w:hAnsi="Arial" w:cs="Arial"/>
                <w:szCs w:val="20"/>
              </w:rPr>
              <w:t xml:space="preserve">Ms. Rowland, age 56, was elected as a director in May 2008. Since June 2016, Ms. Rowland has served as Group Vice President, Industrial Specialties at Ashland LLC, </w:t>
            </w:r>
            <w:proofErr w:type="gramStart"/>
            <w:r>
              <w:rPr>
                <w:rFonts w:ascii="Arial" w:hAnsi="Arial" w:cs="Arial"/>
                <w:szCs w:val="20"/>
              </w:rPr>
              <w:t>a</w:t>
            </w:r>
            <w:proofErr w:type="gramEnd"/>
            <w:r>
              <w:rPr>
                <w:rFonts w:ascii="Arial" w:hAnsi="Arial" w:cs="Arial"/>
                <w:szCs w:val="20"/>
              </w:rPr>
              <w:t xml:space="preserve"> specialty chemical company. Ms. Rowland was Vice President and General Manager in the Industrial Fire Products Division of Tyco International from 2011 to 2015 and was Vice President Business Excellence for the Tyco Flow Control Division from 2009 to 2010. Prior to Tyco, Ms. Rowland spent over 20 years with Rohm and Haas Company in senior executive positions including Vice President Global Adhesives, Vice President Coatings North America, and Vice President of Procurement &amp; Logistics. We believe that Ms. Rowland is qualified to serve as a director because of her broad leadership experience in Fortune 500 global companies. Having served as an operating executive for the last 19 years in chemical, materials, and mechanical and electrical products. Ms. Rowland brings valuable insight into strategic and operational issues important to the Company’s success.</w:t>
            </w:r>
          </w:p>
        </w:tc>
      </w:tr>
      <w:tr w:rsidR="00376768">
        <w:tc>
          <w:tcPr>
            <w:tcW w:w="1000" w:type="pct"/>
          </w:tcPr>
          <w:p w:rsidR="00376768" w:rsidRDefault="00376768">
            <w:pPr>
              <w:rPr>
                <w:rFonts w:ascii="Arial" w:hAnsi="Arial" w:cs="Arial"/>
                <w:b/>
                <w:bCs/>
                <w:szCs w:val="20"/>
              </w:rPr>
            </w:pPr>
          </w:p>
        </w:tc>
        <w:tc>
          <w:tcPr>
            <w:tcW w:w="100" w:type="pct"/>
          </w:tcPr>
          <w:p w:rsidR="00376768" w:rsidRDefault="00376768">
            <w:pPr>
              <w:rPr>
                <w:rFonts w:ascii="Arial" w:hAnsi="Arial" w:cs="Arial"/>
                <w:b/>
                <w:bCs/>
                <w:szCs w:val="20"/>
              </w:rPr>
            </w:pPr>
          </w:p>
        </w:tc>
        <w:tc>
          <w:tcPr>
            <w:tcW w:w="3900" w:type="pct"/>
          </w:tcPr>
          <w:p w:rsidR="00376768" w:rsidRDefault="00376768">
            <w:pPr>
              <w:jc w:val="both"/>
              <w:rPr>
                <w:rFonts w:ascii="Arial" w:hAnsi="Arial" w:cs="Arial"/>
                <w:szCs w:val="20"/>
              </w:rPr>
            </w:pPr>
          </w:p>
        </w:tc>
      </w:tr>
      <w:tr w:rsidR="00376768">
        <w:tc>
          <w:tcPr>
            <w:tcW w:w="1000" w:type="pct"/>
          </w:tcPr>
          <w:p w:rsidR="00376768" w:rsidRDefault="00EC2B72">
            <w:pPr>
              <w:rPr>
                <w:rFonts w:ascii="Arial" w:hAnsi="Arial" w:cs="Arial"/>
                <w:b/>
                <w:bCs/>
                <w:szCs w:val="20"/>
              </w:rPr>
            </w:pPr>
            <w:r>
              <w:rPr>
                <w:rFonts w:ascii="Arial" w:hAnsi="Arial" w:cs="Arial"/>
                <w:b/>
                <w:bCs/>
                <w:szCs w:val="20"/>
              </w:rPr>
              <w:t xml:space="preserve">Bradley S. </w:t>
            </w:r>
            <w:proofErr w:type="spellStart"/>
            <w:r>
              <w:rPr>
                <w:rFonts w:ascii="Arial" w:hAnsi="Arial" w:cs="Arial"/>
                <w:b/>
                <w:bCs/>
                <w:szCs w:val="20"/>
              </w:rPr>
              <w:t>Vizi</w:t>
            </w:r>
            <w:proofErr w:type="spellEnd"/>
          </w:p>
        </w:tc>
        <w:tc>
          <w:tcPr>
            <w:tcW w:w="100" w:type="pct"/>
          </w:tcPr>
          <w:p w:rsidR="00376768" w:rsidRDefault="00376768">
            <w:pPr>
              <w:rPr>
                <w:rFonts w:ascii="Arial" w:hAnsi="Arial" w:cs="Arial"/>
                <w:b/>
                <w:bCs/>
                <w:szCs w:val="20"/>
              </w:rPr>
            </w:pPr>
          </w:p>
        </w:tc>
        <w:tc>
          <w:tcPr>
            <w:tcW w:w="3900" w:type="pct"/>
          </w:tcPr>
          <w:p w:rsidR="00376768" w:rsidRDefault="00EC2B72">
            <w:pPr>
              <w:jc w:val="both"/>
              <w:rPr>
                <w:rFonts w:ascii="Arial" w:hAnsi="Arial" w:cs="Arial"/>
                <w:szCs w:val="20"/>
              </w:rPr>
            </w:pPr>
            <w:r>
              <w:rPr>
                <w:rFonts w:ascii="Arial" w:hAnsi="Arial" w:cs="Arial"/>
                <w:szCs w:val="20"/>
              </w:rPr>
              <w:t xml:space="preserve">Mr. </w:t>
            </w:r>
            <w:proofErr w:type="spellStart"/>
            <w:r>
              <w:rPr>
                <w:rFonts w:ascii="Arial" w:hAnsi="Arial" w:cs="Arial"/>
                <w:szCs w:val="20"/>
              </w:rPr>
              <w:t>Vizi</w:t>
            </w:r>
            <w:proofErr w:type="spellEnd"/>
            <w:r>
              <w:rPr>
                <w:rFonts w:ascii="Arial" w:hAnsi="Arial" w:cs="Arial"/>
                <w:szCs w:val="20"/>
              </w:rPr>
              <w:t xml:space="preserve">, age 34, has been a director since February 2016. He is the Chief Investment Officer of Convoy Capital Management, LLC, </w:t>
            </w:r>
            <w:proofErr w:type="gramStart"/>
            <w:r>
              <w:rPr>
                <w:rFonts w:ascii="Arial" w:hAnsi="Arial" w:cs="Arial"/>
                <w:szCs w:val="20"/>
              </w:rPr>
              <w:t>a</w:t>
            </w:r>
            <w:proofErr w:type="gramEnd"/>
            <w:r>
              <w:rPr>
                <w:rFonts w:ascii="Arial" w:hAnsi="Arial" w:cs="Arial"/>
                <w:szCs w:val="20"/>
              </w:rPr>
              <w:t xml:space="preserve"> Los Angeles-based investment advisor specializing in small-cap activism. Prior to October 2017, Mr. </w:t>
            </w:r>
            <w:proofErr w:type="spellStart"/>
            <w:r>
              <w:rPr>
                <w:rFonts w:ascii="Arial" w:hAnsi="Arial" w:cs="Arial"/>
                <w:szCs w:val="20"/>
              </w:rPr>
              <w:t>Vizi</w:t>
            </w:r>
            <w:proofErr w:type="spellEnd"/>
            <w:r>
              <w:rPr>
                <w:rFonts w:ascii="Arial" w:hAnsi="Arial" w:cs="Arial"/>
                <w:szCs w:val="20"/>
              </w:rPr>
              <w:t xml:space="preserve"> was Managing Director of Legion Partners Asset Management, where he served in that capacity since 2012. Prior to founding Legion Partners, Mr. </w:t>
            </w:r>
            <w:proofErr w:type="spellStart"/>
            <w:r>
              <w:rPr>
                <w:rFonts w:ascii="Arial" w:hAnsi="Arial" w:cs="Arial"/>
                <w:szCs w:val="20"/>
              </w:rPr>
              <w:t>Vizi</w:t>
            </w:r>
            <w:proofErr w:type="spellEnd"/>
            <w:r>
              <w:rPr>
                <w:rFonts w:ascii="Arial" w:hAnsi="Arial" w:cs="Arial"/>
                <w:szCs w:val="20"/>
              </w:rPr>
              <w:t xml:space="preserve"> was an investment professional for Shamrock Capital Advisors, the alternative investment vehicle of the Disney Family from 2007 to 2010. Prior to Shamrock, Mr. </w:t>
            </w:r>
            <w:proofErr w:type="spellStart"/>
            <w:r>
              <w:rPr>
                <w:rFonts w:ascii="Arial" w:hAnsi="Arial" w:cs="Arial"/>
                <w:szCs w:val="20"/>
              </w:rPr>
              <w:t>Vizi</w:t>
            </w:r>
            <w:proofErr w:type="spellEnd"/>
            <w:r>
              <w:rPr>
                <w:rFonts w:ascii="Arial" w:hAnsi="Arial" w:cs="Arial"/>
                <w:szCs w:val="20"/>
              </w:rPr>
              <w:t xml:space="preserve"> was a member of the private equity group at </w:t>
            </w:r>
            <w:proofErr w:type="spellStart"/>
            <w:r>
              <w:rPr>
                <w:rFonts w:ascii="Arial" w:hAnsi="Arial" w:cs="Arial"/>
                <w:szCs w:val="20"/>
              </w:rPr>
              <w:t>Kayne</w:t>
            </w:r>
            <w:proofErr w:type="spellEnd"/>
            <w:r>
              <w:rPr>
                <w:rFonts w:ascii="Arial" w:hAnsi="Arial" w:cs="Arial"/>
                <w:szCs w:val="20"/>
              </w:rPr>
              <w:t xml:space="preserve"> Anderson Capital Advisors. Since 2015, Mr. </w:t>
            </w:r>
            <w:proofErr w:type="spellStart"/>
            <w:r>
              <w:rPr>
                <w:rFonts w:ascii="Arial" w:hAnsi="Arial" w:cs="Arial"/>
                <w:szCs w:val="20"/>
              </w:rPr>
              <w:t>Vizi</w:t>
            </w:r>
            <w:proofErr w:type="spellEnd"/>
            <w:r>
              <w:rPr>
                <w:rFonts w:ascii="Arial" w:hAnsi="Arial" w:cs="Arial"/>
                <w:szCs w:val="20"/>
              </w:rPr>
              <w:t xml:space="preserve"> has served as Chairman of the Board of Directors for RCM Technologies, Inc., a public staffing and solutions company, and has been a member of its Board of Directors since 2013, serving on the compensation and governance committees. Mr. </w:t>
            </w:r>
            <w:proofErr w:type="spellStart"/>
            <w:r>
              <w:rPr>
                <w:rFonts w:ascii="Arial" w:hAnsi="Arial" w:cs="Arial"/>
                <w:szCs w:val="20"/>
              </w:rPr>
              <w:t>Vizi</w:t>
            </w:r>
            <w:proofErr w:type="spellEnd"/>
            <w:r>
              <w:rPr>
                <w:rFonts w:ascii="Arial" w:hAnsi="Arial" w:cs="Arial"/>
                <w:szCs w:val="20"/>
              </w:rPr>
              <w:t xml:space="preserve"> brings to the Board a valuable understanding of capital allocation and public markets, experience in compensation and corporate governance matters, and a shareholder perspective regarding enhancing stakeholder value. Mr. </w:t>
            </w:r>
            <w:proofErr w:type="spellStart"/>
            <w:r>
              <w:rPr>
                <w:rFonts w:ascii="Arial" w:hAnsi="Arial" w:cs="Arial"/>
                <w:szCs w:val="20"/>
              </w:rPr>
              <w:t>Vizi</w:t>
            </w:r>
            <w:proofErr w:type="spellEnd"/>
            <w:r>
              <w:rPr>
                <w:rFonts w:ascii="Arial" w:hAnsi="Arial" w:cs="Arial"/>
                <w:szCs w:val="20"/>
              </w:rPr>
              <w:t xml:space="preserve"> was initially elected to the Board pursuant to an agreement dated February 12, 2016 (the “Investors Agreement”) by the Company with Legion Partners, L.P. I, Legion Partners, L.P. II, Legion Partners Special Opportunities, L.P. II, Legion Partners Holdings, LLC, Legion Partners Asset Management, LLC, Legion Partners Holdings, LLC, Bradley S. </w:t>
            </w:r>
            <w:proofErr w:type="spellStart"/>
            <w:r>
              <w:rPr>
                <w:rFonts w:ascii="Arial" w:hAnsi="Arial" w:cs="Arial"/>
                <w:szCs w:val="20"/>
              </w:rPr>
              <w:t>Vizi</w:t>
            </w:r>
            <w:proofErr w:type="spellEnd"/>
            <w:r>
              <w:rPr>
                <w:rFonts w:ascii="Arial" w:hAnsi="Arial" w:cs="Arial"/>
                <w:szCs w:val="20"/>
              </w:rPr>
              <w:t xml:space="preserve">, Christopher S. </w:t>
            </w:r>
            <w:proofErr w:type="spellStart"/>
            <w:r>
              <w:rPr>
                <w:rFonts w:ascii="Arial" w:hAnsi="Arial" w:cs="Arial"/>
                <w:szCs w:val="20"/>
              </w:rPr>
              <w:t>Kiper</w:t>
            </w:r>
            <w:proofErr w:type="spellEnd"/>
            <w:r>
              <w:rPr>
                <w:rFonts w:ascii="Arial" w:hAnsi="Arial" w:cs="Arial"/>
                <w:szCs w:val="20"/>
              </w:rPr>
              <w:t>, and Raymond White (collectively, the “Investor Group”), which Investors Agreement expired on February 13, 2018, and as more fully described below.</w:t>
            </w:r>
          </w:p>
        </w:tc>
      </w:tr>
    </w:tbl>
    <w:p w:rsidR="00376768" w:rsidRDefault="00EC2B72">
      <w:pPr>
        <w:spacing w:before="160" w:after="100"/>
        <w:ind w:firstLine="360"/>
        <w:jc w:val="both"/>
        <w:rPr>
          <w:rFonts w:ascii="Arial" w:hAnsi="Arial" w:cs="Arial"/>
          <w:szCs w:val="20"/>
        </w:rPr>
      </w:pPr>
      <w:r>
        <w:rPr>
          <w:rFonts w:ascii="Arial" w:hAnsi="Arial" w:cs="Arial"/>
          <w:szCs w:val="20"/>
        </w:rPr>
        <w:t>Pursuant to the Investors Agreement, effective February 12, 2016, the Board agreed to appoint Mr. </w:t>
      </w:r>
      <w:proofErr w:type="spellStart"/>
      <w:r>
        <w:rPr>
          <w:rFonts w:ascii="Arial" w:hAnsi="Arial" w:cs="Arial"/>
          <w:szCs w:val="20"/>
        </w:rPr>
        <w:t>Vizi</w:t>
      </w:r>
      <w:proofErr w:type="spellEnd"/>
      <w:r>
        <w:rPr>
          <w:rFonts w:ascii="Arial" w:hAnsi="Arial" w:cs="Arial"/>
          <w:szCs w:val="20"/>
        </w:rPr>
        <w:t xml:space="preserve"> to the Board for a term expiring at the 2016 Annual Meeting. Additionally, under the terms of the Investors Agreement, the Board agreed, among other matters, to (i) appoint Mr. </w:t>
      </w:r>
      <w:proofErr w:type="spellStart"/>
      <w:r>
        <w:rPr>
          <w:rFonts w:ascii="Arial" w:hAnsi="Arial" w:cs="Arial"/>
          <w:szCs w:val="20"/>
        </w:rPr>
        <w:t>Vizi</w:t>
      </w:r>
      <w:proofErr w:type="spellEnd"/>
      <w:r>
        <w:rPr>
          <w:rFonts w:ascii="Arial" w:hAnsi="Arial" w:cs="Arial"/>
          <w:szCs w:val="20"/>
        </w:rPr>
        <w:t xml:space="preserve"> to the Compensation and Nomination and Governance Committees of the Board, (ii) nominate Mr. </w:t>
      </w:r>
      <w:proofErr w:type="spellStart"/>
      <w:r>
        <w:rPr>
          <w:rFonts w:ascii="Arial" w:hAnsi="Arial" w:cs="Arial"/>
          <w:szCs w:val="20"/>
        </w:rPr>
        <w:t>Vizi</w:t>
      </w:r>
      <w:proofErr w:type="spellEnd"/>
      <w:r>
        <w:rPr>
          <w:rFonts w:ascii="Arial" w:hAnsi="Arial" w:cs="Arial"/>
          <w:szCs w:val="20"/>
        </w:rPr>
        <w:t xml:space="preserve"> for election to the Board at the 2016 Annual Meeting and (iii) not increase the size of the Board beyond nine members without the consent of Mr. </w:t>
      </w:r>
      <w:proofErr w:type="spellStart"/>
      <w:r>
        <w:rPr>
          <w:rFonts w:ascii="Arial" w:hAnsi="Arial" w:cs="Arial"/>
          <w:szCs w:val="20"/>
        </w:rPr>
        <w:t>Vizi</w:t>
      </w:r>
      <w:proofErr w:type="spellEnd"/>
      <w:r>
        <w:rPr>
          <w:rFonts w:ascii="Arial" w:hAnsi="Arial" w:cs="Arial"/>
          <w:szCs w:val="20"/>
        </w:rPr>
        <w:t xml:space="preserve"> for the period commencing on the date of the Investors Agreement and ending ten (10) days prior to the expiration of the advance notice period for the submission by shareholders of director nominations for consideration at the Company’s 2017 Annual Meeting of Shareholders, unless extended by the parties (the “Standstill Period”). Under the terms of the Investors Agreement, the Standstill Period could be extended if the Company timely notified Mr. </w:t>
      </w:r>
      <w:proofErr w:type="spellStart"/>
      <w:r>
        <w:rPr>
          <w:rFonts w:ascii="Arial" w:hAnsi="Arial" w:cs="Arial"/>
          <w:szCs w:val="20"/>
        </w:rPr>
        <w:t>Vizi</w:t>
      </w:r>
      <w:proofErr w:type="spellEnd"/>
      <w:r>
        <w:rPr>
          <w:rFonts w:ascii="Arial" w:hAnsi="Arial" w:cs="Arial"/>
          <w:szCs w:val="20"/>
        </w:rPr>
        <w:t xml:space="preserve"> of its intention to nominate him for election at the 2017 Annual Meeting, Mr. </w:t>
      </w:r>
      <w:proofErr w:type="spellStart"/>
      <w:r>
        <w:rPr>
          <w:rFonts w:ascii="Arial" w:hAnsi="Arial" w:cs="Arial"/>
          <w:szCs w:val="20"/>
        </w:rPr>
        <w:t>Vizi</w:t>
      </w:r>
      <w:proofErr w:type="spellEnd"/>
      <w:r>
        <w:rPr>
          <w:rFonts w:ascii="Arial" w:hAnsi="Arial" w:cs="Arial"/>
          <w:szCs w:val="20"/>
        </w:rPr>
        <w:t xml:space="preserve"> consented to the </w:t>
      </w:r>
      <w:proofErr w:type="gramStart"/>
      <w:r>
        <w:rPr>
          <w:rFonts w:ascii="Arial" w:hAnsi="Arial" w:cs="Arial"/>
          <w:szCs w:val="20"/>
        </w:rPr>
        <w:t>nomination,</w:t>
      </w:r>
      <w:proofErr w:type="gramEnd"/>
      <w:r>
        <w:rPr>
          <w:rFonts w:ascii="Arial" w:hAnsi="Arial" w:cs="Arial"/>
          <w:szCs w:val="20"/>
        </w:rPr>
        <w:t xml:space="preserve"> and the Company did nominate him. In February 2017, the Board determined to nominate Mr. </w:t>
      </w:r>
      <w:proofErr w:type="spellStart"/>
      <w:r>
        <w:rPr>
          <w:rFonts w:ascii="Arial" w:hAnsi="Arial" w:cs="Arial"/>
          <w:szCs w:val="20"/>
        </w:rPr>
        <w:t>Vizi</w:t>
      </w:r>
      <w:proofErr w:type="spellEnd"/>
      <w:r>
        <w:rPr>
          <w:rFonts w:ascii="Arial" w:hAnsi="Arial" w:cs="Arial"/>
          <w:szCs w:val="20"/>
        </w:rPr>
        <w:t xml:space="preserve"> for reelection to the Board, Mr. </w:t>
      </w:r>
      <w:proofErr w:type="spellStart"/>
      <w:r>
        <w:rPr>
          <w:rFonts w:ascii="Arial" w:hAnsi="Arial" w:cs="Arial"/>
          <w:szCs w:val="20"/>
        </w:rPr>
        <w:t>Vizi</w:t>
      </w:r>
      <w:proofErr w:type="spellEnd"/>
      <w:r>
        <w:rPr>
          <w:rFonts w:ascii="Arial" w:hAnsi="Arial" w:cs="Arial"/>
          <w:szCs w:val="20"/>
        </w:rPr>
        <w:t xml:space="preserve"> consented to such nomination, and Mr. </w:t>
      </w:r>
      <w:proofErr w:type="spellStart"/>
      <w:r>
        <w:rPr>
          <w:rFonts w:ascii="Arial" w:hAnsi="Arial" w:cs="Arial"/>
          <w:szCs w:val="20"/>
        </w:rPr>
        <w:t>Vizi</w:t>
      </w:r>
      <w:proofErr w:type="spellEnd"/>
      <w:r>
        <w:rPr>
          <w:rFonts w:ascii="Arial" w:hAnsi="Arial" w:cs="Arial"/>
          <w:szCs w:val="20"/>
        </w:rPr>
        <w:t xml:space="preserve"> was elected by the shareholders. As a result, the Standstill Period was extended and terminated ten (10) calendar days prior to the expiration of the advance notice period for the submission by shareholders of director nominations for consideration at the Company’s 2018 Annual Meeting of Shareholders, or February 13, 2018.</w:t>
      </w:r>
    </w:p>
    <w:p w:rsidR="00376768" w:rsidRDefault="00EC2B72">
      <w:pPr>
        <w:spacing w:before="160" w:after="100"/>
        <w:ind w:firstLine="360"/>
        <w:jc w:val="both"/>
        <w:rPr>
          <w:rFonts w:ascii="Arial" w:hAnsi="Arial" w:cs="Arial"/>
          <w:szCs w:val="20"/>
        </w:rPr>
      </w:pPr>
      <w:r>
        <w:rPr>
          <w:rFonts w:ascii="Arial" w:hAnsi="Arial" w:cs="Arial"/>
          <w:szCs w:val="20"/>
        </w:rPr>
        <w:t xml:space="preserve">The Board nominated the foregoing nominees based upon the recommendation of the Nomination and Governance Committee. The nominees have expressed their willingness to serve as directors, if elected. However, should any of the nominees be unavailable for election, the proxies (except for proxies that withhold authority to vote for directors) will be </w:t>
      </w:r>
      <w:r>
        <w:rPr>
          <w:rFonts w:ascii="Arial" w:hAnsi="Arial" w:cs="Arial"/>
          <w:szCs w:val="20"/>
        </w:rPr>
        <w:lastRenderedPageBreak/>
        <w:t>voted for such substitute nominee or nominees as may be chosen by the Board, or the number of directors may be reduced by appropriate action of the Board.</w:t>
      </w:r>
    </w:p>
    <w:p w:rsidR="00376768" w:rsidRDefault="00EC2B72">
      <w:pPr>
        <w:spacing w:before="160"/>
        <w:jc w:val="center"/>
        <w:rPr>
          <w:rFonts w:ascii="Arial" w:hAnsi="Arial" w:cs="Arial"/>
          <w:szCs w:val="20"/>
        </w:rPr>
      </w:pPr>
      <w:r>
        <w:rPr>
          <w:rFonts w:ascii="Arial" w:hAnsi="Arial" w:cs="Arial"/>
          <w:b/>
          <w:bCs/>
          <w:szCs w:val="20"/>
        </w:rPr>
        <w:t>The Board of Directors recommends that you vote “FOR” each of the foregoing nominees.</w:t>
      </w:r>
    </w:p>
    <w:p w:rsidR="00376768" w:rsidRDefault="00EC2B72">
      <w:pPr>
        <w:spacing w:before="160"/>
        <w:jc w:val="center"/>
        <w:rPr>
          <w:rFonts w:ascii="Arial" w:hAnsi="Arial" w:cs="Arial"/>
          <w:szCs w:val="20"/>
        </w:rPr>
      </w:pPr>
      <w:proofErr w:type="gramStart"/>
      <w:r>
        <w:rPr>
          <w:rFonts w:ascii="Arial" w:hAnsi="Arial" w:cs="Arial"/>
          <w:b/>
          <w:bCs/>
          <w:szCs w:val="20"/>
        </w:rPr>
        <w:t>PROPO</w:t>
      </w:r>
      <w:bookmarkStart w:id="3" w:name="a003_v1"/>
      <w:bookmarkEnd w:id="3"/>
      <w:r>
        <w:rPr>
          <w:rFonts w:ascii="Arial" w:hAnsi="Arial" w:cs="Arial"/>
          <w:b/>
          <w:bCs/>
          <w:szCs w:val="20"/>
        </w:rPr>
        <w:t>SAL NO.</w:t>
      </w:r>
      <w:proofErr w:type="gramEnd"/>
      <w:r>
        <w:rPr>
          <w:rFonts w:ascii="Arial" w:hAnsi="Arial" w:cs="Arial"/>
          <w:b/>
          <w:bCs/>
          <w:szCs w:val="20"/>
        </w:rPr>
        <w:t xml:space="preserve"> 2 - RATIFICATION OF APPOINTMENT OF INDEPENDENT REGISTERED PUBLIC ACCOUNTING FIRM</w:t>
      </w:r>
    </w:p>
    <w:p w:rsidR="00376768" w:rsidRDefault="00EC2B72">
      <w:pPr>
        <w:spacing w:before="160"/>
        <w:ind w:firstLine="360"/>
        <w:jc w:val="both"/>
        <w:rPr>
          <w:rFonts w:ascii="Arial" w:hAnsi="Arial" w:cs="Arial"/>
          <w:szCs w:val="20"/>
        </w:rPr>
      </w:pPr>
      <w:r>
        <w:rPr>
          <w:rFonts w:ascii="Arial" w:hAnsi="Arial" w:cs="Arial"/>
          <w:szCs w:val="20"/>
        </w:rPr>
        <w:t>Ernst &amp; Young LLP has served as the Company’s independent registered public accounting firm since 1990 and has been appointed by the Audit Committee of the Board as the Company’s independent registered public accountants for the fiscal year ending December 31, 2018. Although action by the shareholders in this matter is not required, the Board is seeking shareholder ratification of this appointment in light of the important role played by the independent registered public accounting firm. If the shareholders fail to ratify the selection, the Audit Committee will consider whether to retain Ernst &amp; Young LLP going forward. Even if the appointment is ratified, the Audit Committee, in its discretion, may direct the appointment of a different firm at any time during the year if the committee determines that such a change would be in the best interests of the Company and its shareholders.</w:t>
      </w:r>
    </w:p>
    <w:p w:rsidR="00376768" w:rsidRDefault="00EC2B72">
      <w:pPr>
        <w:spacing w:before="160"/>
        <w:jc w:val="center"/>
        <w:rPr>
          <w:rFonts w:ascii="Arial" w:hAnsi="Arial" w:cs="Arial"/>
          <w:b/>
          <w:szCs w:val="20"/>
        </w:rPr>
      </w:pPr>
      <w:r>
        <w:rPr>
          <w:rFonts w:ascii="Arial" w:hAnsi="Arial" w:cs="Arial"/>
          <w:b/>
          <w:bCs/>
          <w:szCs w:val="20"/>
        </w:rPr>
        <w:t>The Board of Directors recommends that you vote “FOR” ratification of Ernst &amp; Young LLP’s appointment as the Company’s independent registered public accounting firm for fiscal year 2018.</w:t>
      </w:r>
    </w:p>
    <w:p w:rsidR="00376768" w:rsidRDefault="00EC2B72">
      <w:pPr>
        <w:spacing w:before="160"/>
        <w:jc w:val="center"/>
        <w:rPr>
          <w:rFonts w:ascii="Arial" w:hAnsi="Arial" w:cs="Arial"/>
          <w:szCs w:val="20"/>
        </w:rPr>
      </w:pPr>
      <w:proofErr w:type="gramStart"/>
      <w:r>
        <w:rPr>
          <w:rFonts w:ascii="Arial" w:hAnsi="Arial" w:cs="Arial"/>
          <w:b/>
          <w:bCs/>
          <w:szCs w:val="20"/>
        </w:rPr>
        <w:t>PRO</w:t>
      </w:r>
      <w:bookmarkStart w:id="4" w:name="a004_v1"/>
      <w:bookmarkEnd w:id="4"/>
      <w:r>
        <w:rPr>
          <w:rFonts w:ascii="Arial" w:hAnsi="Arial" w:cs="Arial"/>
          <w:b/>
          <w:bCs/>
          <w:szCs w:val="20"/>
        </w:rPr>
        <w:t>POSAL NO.</w:t>
      </w:r>
      <w:proofErr w:type="gramEnd"/>
      <w:r>
        <w:rPr>
          <w:rFonts w:ascii="Arial" w:hAnsi="Arial" w:cs="Arial"/>
          <w:b/>
          <w:bCs/>
          <w:szCs w:val="20"/>
        </w:rPr>
        <w:t xml:space="preserve"> 3 - ADVISORY VOTE ON NAMED EXECUTIVE OFFICERS’ 2017 COMPENSATION</w:t>
      </w:r>
    </w:p>
    <w:p w:rsidR="00376768" w:rsidRDefault="00EC2B72">
      <w:pPr>
        <w:spacing w:before="160"/>
        <w:ind w:firstLine="360"/>
        <w:jc w:val="both"/>
        <w:rPr>
          <w:rFonts w:ascii="Arial" w:hAnsi="Arial" w:cs="Arial"/>
          <w:szCs w:val="20"/>
        </w:rPr>
      </w:pPr>
      <w:r>
        <w:rPr>
          <w:rFonts w:ascii="Arial" w:hAnsi="Arial" w:cs="Arial"/>
          <w:szCs w:val="20"/>
        </w:rPr>
        <w:t>At the 2011 and 2017 Annual Meetings, upon recommendation by the Board of Directors, shareholders voted to hold an advisory vote on executive compensation every year.</w:t>
      </w:r>
    </w:p>
    <w:p w:rsidR="00376768" w:rsidRDefault="00EC2B72">
      <w:pPr>
        <w:spacing w:before="160" w:after="100"/>
        <w:ind w:firstLine="360"/>
        <w:jc w:val="both"/>
        <w:rPr>
          <w:rFonts w:ascii="Arial" w:hAnsi="Arial" w:cs="Arial"/>
          <w:szCs w:val="20"/>
        </w:rPr>
      </w:pPr>
      <w:r>
        <w:rPr>
          <w:rFonts w:ascii="Arial" w:hAnsi="Arial" w:cs="Arial"/>
          <w:szCs w:val="20"/>
        </w:rPr>
        <w:t>The following proposal gives our shareholders the opportunity to vote to approve or not approve, on an advisory basis, the compensation paid to our named executive officers in 2017, as described in this Proxy Statement, and is non-binding upon the Company, our Board, or the Compensation Committee of the Board. This vote is not intended to address any specific item of compensation, but rather the overall compensation of our executive officers and our compensation philosophy, policies, and practices, as disclosed under the “Executive Compensation” section of this Proxy Statement. We are providing this vote as required by Section 14A of the Securities Exchange Act of 1934, as amended (the “Exchange Act”). Accordingly, we are asking our shareholders to vote “FOR” the adoption of the following resolution:</w:t>
      </w:r>
    </w:p>
    <w:p w:rsidR="00376768" w:rsidRDefault="00EC2B72">
      <w:pPr>
        <w:spacing w:before="160"/>
        <w:ind w:firstLine="360"/>
        <w:jc w:val="both"/>
        <w:rPr>
          <w:rFonts w:ascii="Arial" w:hAnsi="Arial" w:cs="Arial"/>
          <w:szCs w:val="20"/>
        </w:rPr>
      </w:pPr>
      <w:r>
        <w:rPr>
          <w:rFonts w:ascii="Arial" w:hAnsi="Arial" w:cs="Arial"/>
          <w:szCs w:val="20"/>
        </w:rPr>
        <w:t>“</w:t>
      </w:r>
      <w:r>
        <w:rPr>
          <w:rFonts w:ascii="Arial" w:hAnsi="Arial" w:cs="Arial"/>
          <w:b/>
          <w:bCs/>
          <w:szCs w:val="20"/>
        </w:rPr>
        <w:t>RESOLVED</w:t>
      </w:r>
      <w:r>
        <w:rPr>
          <w:rFonts w:ascii="Arial" w:hAnsi="Arial" w:cs="Arial"/>
          <w:szCs w:val="20"/>
        </w:rPr>
        <w:t>, that the compensation paid to the named executive officers of L.B. Foster Company (the “Company”), as disclosed pursuant to Item 402 of Regulation S-K, including the Compensation Discussion and Analysis, compensation tables, and narrative discussion in the Company’s Proxy Statement for the 2018 Annual Meeting of Shareholders under the heading entitled ‘Executive Compensation,’ is hereby approved.”</w:t>
      </w:r>
    </w:p>
    <w:p w:rsidR="00376768" w:rsidRDefault="00EC2B72">
      <w:pPr>
        <w:spacing w:before="160"/>
        <w:ind w:firstLine="360"/>
        <w:jc w:val="both"/>
        <w:rPr>
          <w:rFonts w:ascii="Arial" w:hAnsi="Arial" w:cs="Arial"/>
          <w:szCs w:val="20"/>
        </w:rPr>
      </w:pPr>
      <w:r>
        <w:rPr>
          <w:rFonts w:ascii="Arial" w:hAnsi="Arial" w:cs="Arial"/>
          <w:szCs w:val="20"/>
        </w:rPr>
        <w:t>The Company’s compensation programs are centered on a pay-for-performance culture and are strongly aligned with the long-term interests of shareholders. The Company’s goal for its executive compensation program is to reward executives who provide leadership for, and contribute to, the Company’s financial success.</w:t>
      </w:r>
    </w:p>
    <w:p w:rsidR="00376768" w:rsidRDefault="00EC2B72">
      <w:pPr>
        <w:spacing w:before="160"/>
        <w:ind w:firstLine="360"/>
        <w:jc w:val="both"/>
        <w:rPr>
          <w:rFonts w:ascii="Arial" w:hAnsi="Arial" w:cs="Arial"/>
          <w:szCs w:val="20"/>
        </w:rPr>
      </w:pPr>
      <w:r>
        <w:rPr>
          <w:rFonts w:ascii="Arial" w:hAnsi="Arial" w:cs="Arial"/>
          <w:szCs w:val="20"/>
        </w:rPr>
        <w:t>While we intend to carefully consider the voting results of this proposal, the final vote is advisory in nature and therefore not binding on the Company, our Board, or the Compensation Committee of the Board.</w:t>
      </w:r>
    </w:p>
    <w:p w:rsidR="00376768" w:rsidRDefault="00EC2B72">
      <w:pPr>
        <w:spacing w:before="160"/>
        <w:jc w:val="center"/>
        <w:rPr>
          <w:rFonts w:ascii="Arial" w:hAnsi="Arial" w:cs="Arial"/>
          <w:szCs w:val="20"/>
        </w:rPr>
      </w:pPr>
      <w:r>
        <w:rPr>
          <w:rFonts w:ascii="Arial" w:hAnsi="Arial" w:cs="Arial"/>
          <w:b/>
          <w:bCs/>
          <w:szCs w:val="20"/>
        </w:rPr>
        <w:t>The Board of Directors recommends that you vote “FOR” approval of the named executive officers’ compensation in 2017,</w:t>
      </w:r>
      <w:r w:rsidR="00916C5A">
        <w:rPr>
          <w:rFonts w:ascii="Arial" w:hAnsi="Arial" w:cs="Arial"/>
          <w:b/>
          <w:bCs/>
          <w:szCs w:val="20"/>
        </w:rPr>
        <w:t xml:space="preserve"> </w:t>
      </w:r>
      <w:r>
        <w:rPr>
          <w:rFonts w:ascii="Arial" w:hAnsi="Arial" w:cs="Arial"/>
          <w:b/>
          <w:bCs/>
          <w:szCs w:val="20"/>
        </w:rPr>
        <w:t>as reported in this Proxy Statement.</w:t>
      </w:r>
    </w:p>
    <w:p w:rsidR="00376768" w:rsidRDefault="00EC2B72">
      <w:pPr>
        <w:spacing w:before="160"/>
        <w:jc w:val="center"/>
        <w:rPr>
          <w:rFonts w:ascii="Arial" w:hAnsi="Arial" w:cs="Arial"/>
          <w:szCs w:val="20"/>
        </w:rPr>
      </w:pPr>
      <w:proofErr w:type="gramStart"/>
      <w:r>
        <w:rPr>
          <w:rFonts w:ascii="Arial" w:hAnsi="Arial" w:cs="Arial"/>
          <w:b/>
          <w:bCs/>
          <w:szCs w:val="20"/>
        </w:rPr>
        <w:t>PR</w:t>
      </w:r>
      <w:bookmarkStart w:id="5" w:name="a005_v1"/>
      <w:bookmarkEnd w:id="5"/>
      <w:r>
        <w:rPr>
          <w:rFonts w:ascii="Arial" w:hAnsi="Arial" w:cs="Arial"/>
          <w:b/>
          <w:bCs/>
          <w:szCs w:val="20"/>
        </w:rPr>
        <w:t>OPOSAL NO.</w:t>
      </w:r>
      <w:proofErr w:type="gramEnd"/>
      <w:r>
        <w:rPr>
          <w:rFonts w:ascii="Arial" w:hAnsi="Arial" w:cs="Arial"/>
          <w:b/>
          <w:bCs/>
          <w:szCs w:val="20"/>
        </w:rPr>
        <w:t xml:space="preserve"> 4 —APPROVAL OF THE 2006 OMNIBUS INCENTIVE COMPENSATION PLAN (AS AMENDED AND RESTATED)</w:t>
      </w:r>
    </w:p>
    <w:p w:rsidR="00376768" w:rsidRDefault="00EC2B72">
      <w:pPr>
        <w:spacing w:before="160"/>
        <w:jc w:val="both"/>
        <w:rPr>
          <w:rFonts w:ascii="Arial" w:hAnsi="Arial" w:cs="Arial"/>
          <w:szCs w:val="20"/>
        </w:rPr>
      </w:pPr>
      <w:r>
        <w:rPr>
          <w:rFonts w:ascii="Arial" w:hAnsi="Arial" w:cs="Arial"/>
          <w:b/>
          <w:bCs/>
          <w:szCs w:val="20"/>
        </w:rPr>
        <w:t>Background of the 2006 Omnibus Incentive Plan</w:t>
      </w:r>
    </w:p>
    <w:p w:rsidR="00376768" w:rsidRDefault="00EC2B72">
      <w:pPr>
        <w:spacing w:before="160"/>
        <w:jc w:val="both"/>
        <w:rPr>
          <w:rFonts w:ascii="Arial" w:hAnsi="Arial" w:cs="Arial"/>
          <w:szCs w:val="20"/>
        </w:rPr>
      </w:pPr>
      <w:r>
        <w:rPr>
          <w:rFonts w:ascii="Arial" w:hAnsi="Arial" w:cs="Arial"/>
          <w:szCs w:val="20"/>
        </w:rPr>
        <w:t>In March 2018, the Board and the Compensation Committee (for purposes of this proposal, the “Committee”) unanimously approved and adopted, subject to the approval of shareholders at this Annual Meeting, the 2006 Omnibus Incentive Plan (as Amended and Restated, the “Amended Plan”). The purpose of the Amended Plan is to advance the interests of the Company and its shareholders, and promote the Company’s long-term growth and financial success, by providing equity and other financial incentives that align key employees and non-employee directors of the Company with the interests of shareholders.</w:t>
      </w:r>
    </w:p>
    <w:p w:rsidR="00376768" w:rsidRDefault="00EC2B72">
      <w:pPr>
        <w:spacing w:before="160"/>
        <w:jc w:val="both"/>
        <w:rPr>
          <w:rFonts w:ascii="Arial" w:hAnsi="Arial" w:cs="Arial"/>
          <w:szCs w:val="20"/>
        </w:rPr>
      </w:pPr>
      <w:r>
        <w:rPr>
          <w:rFonts w:ascii="Arial" w:hAnsi="Arial" w:cs="Arial"/>
          <w:szCs w:val="20"/>
        </w:rPr>
        <w:t>If approved by shareholders at this Annual Meeting, the Amended Plan will replace the 2006 Omnibus Incentive Plan (the “Current Plan”) and will be effective upon such approval. If the shareholder vote on the Amended Plan at this Annual Meeting is postponed, the Amended Plan will be effective on such date on which a shareholders’ meeting to vote and approve the Amended Plan occurs and, until such time, the Current Plan will continue in effect, in accordance with its terms.</w:t>
      </w:r>
    </w:p>
    <w:p w:rsidR="00376768" w:rsidRDefault="00EC2B72">
      <w:pPr>
        <w:spacing w:before="160" w:after="100"/>
        <w:jc w:val="both"/>
        <w:rPr>
          <w:rFonts w:ascii="Arial" w:hAnsi="Arial" w:cs="Arial"/>
          <w:szCs w:val="20"/>
        </w:rPr>
      </w:pPr>
      <w:r>
        <w:rPr>
          <w:rFonts w:ascii="Arial" w:hAnsi="Arial" w:cs="Arial"/>
          <w:b/>
          <w:bCs/>
          <w:szCs w:val="20"/>
        </w:rPr>
        <w:lastRenderedPageBreak/>
        <w:t xml:space="preserve">The Board recommends that you vote for approval of the Amended Plan. </w:t>
      </w:r>
      <w:r>
        <w:rPr>
          <w:rFonts w:ascii="Arial" w:hAnsi="Arial" w:cs="Arial"/>
          <w:szCs w:val="20"/>
        </w:rPr>
        <w:t>The Board believes that it is in the best interests of the Company and our shareholders to approve the Amended Plan in order to continue to motivate performance by our key employees and non-employee directors.</w:t>
      </w:r>
    </w:p>
    <w:p w:rsidR="00376768" w:rsidRDefault="00EC2B72">
      <w:pPr>
        <w:spacing w:before="160"/>
        <w:jc w:val="both"/>
        <w:rPr>
          <w:rFonts w:ascii="Arial" w:hAnsi="Arial" w:cs="Arial"/>
          <w:szCs w:val="20"/>
        </w:rPr>
      </w:pPr>
      <w:r>
        <w:rPr>
          <w:rFonts w:ascii="Arial" w:hAnsi="Arial" w:cs="Arial"/>
          <w:szCs w:val="20"/>
        </w:rPr>
        <w:t>The primary amendments to the Current Plan relate to the following:</w:t>
      </w:r>
    </w:p>
    <w:p w:rsidR="00376768" w:rsidRDefault="00EC2B72">
      <w:pPr>
        <w:spacing w:before="160"/>
        <w:ind w:left="360" w:hanging="360"/>
        <w:jc w:val="both"/>
        <w:rPr>
          <w:rFonts w:ascii="Arial" w:hAnsi="Arial" w:cs="Arial"/>
          <w:szCs w:val="20"/>
        </w:rPr>
      </w:pPr>
      <w:r>
        <w:rPr>
          <w:rFonts w:ascii="Arial" w:hAnsi="Arial" w:cs="Arial"/>
          <w:szCs w:val="20"/>
        </w:rPr>
        <w:sym w:font="Symbol" w:char="F0B7"/>
      </w:r>
      <w:r>
        <w:rPr>
          <w:rFonts w:ascii="Arial" w:hAnsi="Arial" w:cs="Arial"/>
          <w:szCs w:val="20"/>
        </w:rPr>
        <w:tab/>
      </w:r>
      <w:r>
        <w:rPr>
          <w:rFonts w:ascii="Arial" w:hAnsi="Arial" w:cs="Arial"/>
          <w:b/>
          <w:bCs/>
          <w:i/>
          <w:iCs/>
          <w:szCs w:val="20"/>
        </w:rPr>
        <w:t>Increased Authorized Share Pool.</w:t>
      </w:r>
      <w:r>
        <w:rPr>
          <w:rFonts w:ascii="Arial" w:hAnsi="Arial" w:cs="Arial"/>
          <w:szCs w:val="20"/>
        </w:rPr>
        <w:t xml:space="preserve"> The Amended Plan increases the maximum aggregate number of shares of Company common stock that will be available for awards granted thereunder, from 1,270,000 shares of common stock to 2,058,000 shares of common stock.</w:t>
      </w:r>
    </w:p>
    <w:p w:rsidR="00376768" w:rsidRDefault="00EC2B72">
      <w:pPr>
        <w:spacing w:before="160"/>
        <w:ind w:left="360" w:hanging="360"/>
        <w:jc w:val="both"/>
        <w:rPr>
          <w:rFonts w:ascii="Arial" w:hAnsi="Arial" w:cs="Arial"/>
          <w:szCs w:val="20"/>
        </w:rPr>
      </w:pPr>
      <w:r>
        <w:rPr>
          <w:rFonts w:ascii="Arial" w:hAnsi="Arial" w:cs="Arial"/>
          <w:szCs w:val="20"/>
        </w:rPr>
        <w:sym w:font="Symbol" w:char="F0B7"/>
      </w:r>
      <w:r>
        <w:rPr>
          <w:rFonts w:ascii="Arial" w:hAnsi="Arial" w:cs="Arial"/>
          <w:szCs w:val="20"/>
        </w:rPr>
        <w:tab/>
      </w:r>
      <w:proofErr w:type="gramStart"/>
      <w:r>
        <w:rPr>
          <w:rFonts w:ascii="Arial" w:hAnsi="Arial" w:cs="Arial"/>
          <w:b/>
          <w:bCs/>
          <w:i/>
          <w:iCs/>
          <w:szCs w:val="20"/>
        </w:rPr>
        <w:t>Minimum Vesting Requirements.</w:t>
      </w:r>
      <w:proofErr w:type="gramEnd"/>
      <w:r>
        <w:rPr>
          <w:rFonts w:ascii="Arial" w:hAnsi="Arial" w:cs="Arial"/>
          <w:szCs w:val="20"/>
        </w:rPr>
        <w:t xml:space="preserve"> The Amended Plan requires that, at the time of grant, all awards granted thereunder must have a minimum vesting or performance period of one year. This requirement will not apply to (i) up to 5% of the shares authorized for issuance under the Amended Plan, (ii) the events of death, disability, or retirement, or (iii) awards granted in exchange for the surrender of, or substitution of, another company’s awards that is acquired by the Company (“Substitute Awards”).</w:t>
      </w:r>
    </w:p>
    <w:p w:rsidR="00376768" w:rsidRDefault="00EC2B72">
      <w:pPr>
        <w:spacing w:before="160"/>
        <w:ind w:left="360" w:hanging="360"/>
        <w:jc w:val="both"/>
        <w:rPr>
          <w:rFonts w:ascii="Arial" w:hAnsi="Arial" w:cs="Arial"/>
          <w:szCs w:val="20"/>
        </w:rPr>
      </w:pPr>
      <w:r>
        <w:rPr>
          <w:rFonts w:ascii="Arial" w:hAnsi="Arial" w:cs="Arial"/>
          <w:szCs w:val="20"/>
        </w:rPr>
        <w:sym w:font="Symbol" w:char="F0B7"/>
      </w:r>
      <w:r>
        <w:rPr>
          <w:rFonts w:ascii="Arial" w:hAnsi="Arial" w:cs="Arial"/>
          <w:szCs w:val="20"/>
        </w:rPr>
        <w:tab/>
      </w:r>
      <w:proofErr w:type="gramStart"/>
      <w:r>
        <w:rPr>
          <w:rFonts w:ascii="Arial" w:hAnsi="Arial" w:cs="Arial"/>
          <w:b/>
          <w:bCs/>
          <w:i/>
          <w:iCs/>
          <w:szCs w:val="20"/>
        </w:rPr>
        <w:t>For All Awards, No Dividend Payments Unless Awards Are Vested or Earned.</w:t>
      </w:r>
      <w:proofErr w:type="gramEnd"/>
      <w:r>
        <w:rPr>
          <w:rFonts w:ascii="Arial" w:hAnsi="Arial" w:cs="Arial"/>
          <w:szCs w:val="20"/>
        </w:rPr>
        <w:t xml:space="preserve"> No dividends or dividend equivalent rights associated with awards granted under the Amended Plan will be paid unless and until such award vests and/or is earned.</w:t>
      </w:r>
    </w:p>
    <w:p w:rsidR="00376768" w:rsidRDefault="00EC2B72">
      <w:pPr>
        <w:spacing w:before="160"/>
        <w:ind w:left="360" w:hanging="360"/>
        <w:jc w:val="both"/>
        <w:rPr>
          <w:rFonts w:ascii="Arial" w:hAnsi="Arial" w:cs="Arial"/>
          <w:szCs w:val="20"/>
        </w:rPr>
      </w:pPr>
      <w:r>
        <w:rPr>
          <w:rFonts w:ascii="Arial" w:hAnsi="Arial" w:cs="Arial"/>
          <w:szCs w:val="20"/>
        </w:rPr>
        <w:sym w:font="Symbol" w:char="F0B7"/>
      </w:r>
      <w:r>
        <w:rPr>
          <w:rFonts w:ascii="Arial" w:hAnsi="Arial" w:cs="Arial"/>
          <w:szCs w:val="20"/>
        </w:rPr>
        <w:tab/>
      </w:r>
      <w:r>
        <w:rPr>
          <w:rFonts w:ascii="Arial" w:hAnsi="Arial" w:cs="Arial"/>
          <w:b/>
          <w:bCs/>
          <w:i/>
          <w:iCs/>
          <w:szCs w:val="20"/>
        </w:rPr>
        <w:t>Best Practice Vesting Provisions Relating to Change in Control.</w:t>
      </w:r>
      <w:r>
        <w:rPr>
          <w:rFonts w:ascii="Arial" w:hAnsi="Arial" w:cs="Arial"/>
          <w:szCs w:val="20"/>
        </w:rPr>
        <w:t xml:space="preserve"> The Amended Plan provides that, in the event of a Change in Control (as defined in the Amended Plan), outstanding awards will terminate; provided, however, that the Committee may authorize (i) in the case of awards that vest solely based on the passage of time, immediately exercisable or vested unless assumed by the successor or if the successor does not provide substantially equivalent rights, (ii) in the case of performance awards, making such awards either vested (A) pro-rata at a target performance level based on the portion of the applicable performance period that has lapsed immediately prior to the consummation of the Change in Control and/or (B) actual performance as of the date of the Change in Control, or (iii) arranging to have the successor entity grant replacement awards.</w:t>
      </w:r>
    </w:p>
    <w:p w:rsidR="00376768" w:rsidRDefault="00EC2B72">
      <w:pPr>
        <w:spacing w:before="160"/>
        <w:ind w:left="360" w:hanging="360"/>
        <w:jc w:val="both"/>
        <w:rPr>
          <w:rFonts w:ascii="Arial" w:hAnsi="Arial" w:cs="Arial"/>
          <w:szCs w:val="20"/>
        </w:rPr>
      </w:pPr>
      <w:r>
        <w:rPr>
          <w:rFonts w:ascii="Arial" w:hAnsi="Arial" w:cs="Arial"/>
          <w:szCs w:val="20"/>
        </w:rPr>
        <w:sym w:font="Symbol" w:char="F0B7"/>
      </w:r>
      <w:r>
        <w:rPr>
          <w:rFonts w:ascii="Arial" w:hAnsi="Arial" w:cs="Arial"/>
          <w:szCs w:val="20"/>
        </w:rPr>
        <w:tab/>
      </w:r>
      <w:proofErr w:type="gramStart"/>
      <w:r>
        <w:rPr>
          <w:rFonts w:ascii="Arial" w:hAnsi="Arial" w:cs="Arial"/>
          <w:b/>
          <w:bCs/>
          <w:i/>
          <w:iCs/>
          <w:szCs w:val="20"/>
        </w:rPr>
        <w:t>Extension of Plan Term.</w:t>
      </w:r>
      <w:proofErr w:type="gramEnd"/>
      <w:r>
        <w:rPr>
          <w:rFonts w:ascii="Arial" w:hAnsi="Arial" w:cs="Arial"/>
          <w:szCs w:val="20"/>
        </w:rPr>
        <w:t xml:space="preserve"> If the Amended Plan is approved by our shareholders at this Annual Meeting, the term of the Amended Plan would expire on May 24, 2028 (as opposed to May 25, 2026 under the Current Plan).</w:t>
      </w:r>
    </w:p>
    <w:p w:rsidR="00376768" w:rsidRDefault="00EC2B72">
      <w:pPr>
        <w:spacing w:before="160"/>
        <w:ind w:left="360" w:hanging="360"/>
        <w:jc w:val="both"/>
        <w:rPr>
          <w:rFonts w:ascii="Arial" w:hAnsi="Arial" w:cs="Arial"/>
          <w:szCs w:val="20"/>
        </w:rPr>
      </w:pPr>
      <w:r>
        <w:rPr>
          <w:rFonts w:ascii="Arial" w:hAnsi="Arial" w:cs="Arial"/>
          <w:szCs w:val="20"/>
        </w:rPr>
        <w:sym w:font="Symbol" w:char="F0B7"/>
      </w:r>
      <w:r>
        <w:rPr>
          <w:rFonts w:ascii="Arial" w:hAnsi="Arial" w:cs="Arial"/>
          <w:szCs w:val="20"/>
        </w:rPr>
        <w:tab/>
      </w:r>
      <w:proofErr w:type="gramStart"/>
      <w:r>
        <w:rPr>
          <w:rFonts w:ascii="Arial" w:hAnsi="Arial" w:cs="Arial"/>
          <w:b/>
          <w:bCs/>
          <w:i/>
          <w:iCs/>
          <w:szCs w:val="20"/>
        </w:rPr>
        <w:t>Internal Revenue Code-Related Changes.</w:t>
      </w:r>
      <w:proofErr w:type="gramEnd"/>
      <w:r>
        <w:rPr>
          <w:rFonts w:ascii="Arial" w:hAnsi="Arial" w:cs="Arial"/>
          <w:szCs w:val="20"/>
        </w:rPr>
        <w:t xml:space="preserve"> As described in the “Compensation Discussion and Analysis” section of this proxy statement, Section 162(m) of the Code (“Section 162(m)”) was changed substantially in connection with the adoption of the Tax Cuts and Jobs Act that was signed into law on December 22, 2017 (the “Act”). Prior to this law, Section 162(m) generally limited our ability to deduct certain compensation paid to each of our “covered employees” (our CEO and our next three most highly-compensated executive officers, other than our CFO) to $1 million in a taxable year, unless the compensation met the requirements of “qualified performance-based compensation” under Section 162(m) (the “162(m) Exception”). As a result, the Current Plan includes numerous restrictions and conditions designed to comply with the 162(m) Exception that are no longer relevant and that encumber the Committee’s flexibility to design and tailor awards to incentivize the achievement of critical business goals. Since the 162(m) Exception is no longer available to us, the Board and Committee recommend that the shareholders approve the Amended Plan, which provides the Board and Committee with greater flexibility to design and implement performance-based awards that appropriately account for and are tailored to our business objectives.</w:t>
      </w:r>
    </w:p>
    <w:p w:rsidR="00376768" w:rsidRDefault="00EC2B72">
      <w:pPr>
        <w:spacing w:before="160"/>
        <w:jc w:val="both"/>
        <w:rPr>
          <w:rFonts w:ascii="Arial" w:hAnsi="Arial" w:cs="Arial"/>
          <w:szCs w:val="20"/>
        </w:rPr>
      </w:pPr>
      <w:r>
        <w:rPr>
          <w:rFonts w:ascii="Arial" w:hAnsi="Arial" w:cs="Arial"/>
          <w:b/>
          <w:bCs/>
          <w:szCs w:val="20"/>
        </w:rPr>
        <w:t>Description of the Amended and Restated 2006 Omnibus Incentive Plan</w:t>
      </w:r>
    </w:p>
    <w:p w:rsidR="00376768" w:rsidRDefault="00EC2B72">
      <w:pPr>
        <w:spacing w:before="160"/>
        <w:ind w:firstLine="360"/>
        <w:jc w:val="both"/>
        <w:rPr>
          <w:rFonts w:ascii="Arial" w:hAnsi="Arial" w:cs="Arial"/>
          <w:szCs w:val="20"/>
        </w:rPr>
      </w:pPr>
      <w:r>
        <w:rPr>
          <w:rFonts w:ascii="Arial" w:hAnsi="Arial" w:cs="Arial"/>
          <w:szCs w:val="20"/>
        </w:rPr>
        <w:t>The following summary is a description of the other principal features of the Amended Plan. This summary is qualified in its entirety by reference to the complete text of the Amended Plan, which is attached as Appendix A to this proxy statement.</w:t>
      </w:r>
    </w:p>
    <w:p w:rsidR="00376768" w:rsidRDefault="00EC2B72">
      <w:pPr>
        <w:spacing w:before="160"/>
        <w:ind w:firstLine="360"/>
        <w:jc w:val="both"/>
        <w:rPr>
          <w:rFonts w:ascii="Arial" w:hAnsi="Arial" w:cs="Arial"/>
          <w:szCs w:val="20"/>
        </w:rPr>
      </w:pPr>
      <w:r>
        <w:rPr>
          <w:rFonts w:ascii="Arial" w:hAnsi="Arial" w:cs="Arial"/>
          <w:szCs w:val="20"/>
        </w:rPr>
        <w:t xml:space="preserve">The Amended Plan will be administered by the Committee, which has the full and exclusive authority to interpret, construe, and administer the Amended Plan, including, among other matters, to: (i) adopt or establish and amend such rules, regulations, agreements, guidelines, procedures, forms, and instruments as may be necessary or advisable for the administration and operation of the Amended Plan; (ii) correct any defect, supply any omission or reconcile any inconsistency in the Amended Plan or in any award in the manner and to the extent it deems desirable; (iii) select the persons to be granted awards under the Amended Plan; (iv) grant and determine the terms, conditions, form, and size of awards to be made to each person selected, including </w:t>
      </w:r>
      <w:proofErr w:type="spellStart"/>
      <w:r>
        <w:rPr>
          <w:rFonts w:ascii="Arial" w:hAnsi="Arial" w:cs="Arial"/>
          <w:szCs w:val="20"/>
        </w:rPr>
        <w:t>clawback</w:t>
      </w:r>
      <w:proofErr w:type="spellEnd"/>
      <w:r>
        <w:rPr>
          <w:rFonts w:ascii="Arial" w:hAnsi="Arial" w:cs="Arial"/>
          <w:szCs w:val="20"/>
        </w:rPr>
        <w:t xml:space="preserve"> or other recoupment provisions applicable to awards granted thereunder; (v) determine the time when awards are to be made and any conditions which must be satisfied before an award is made; (vi) establish objectives, conditions and performance goals for earning awards; (vii) determine the terms of each award agreement and any amendments or modifications thereof; (viii) determine whether the conditions for earning an award have been met and whether an award will be paid at the end of the performance period; (ix) determine if and when an award may be deferred; (x) determine whether the amount or payment of an award should be </w:t>
      </w:r>
      <w:r>
        <w:rPr>
          <w:rFonts w:ascii="Arial" w:hAnsi="Arial" w:cs="Arial"/>
          <w:szCs w:val="20"/>
        </w:rPr>
        <w:lastRenderedPageBreak/>
        <w:t>reduced or eliminated; (xi) determine the guidelines and/or procedures for the payment or exercise of awards; and (xii) determine whether to accelerate vesting provisions applicable to awards. The Committee’s decisions will be final, conclusive, and binding with respect to the Amended Plan and any award made under the Amended Plan.</w:t>
      </w:r>
    </w:p>
    <w:p w:rsidR="00376768" w:rsidRDefault="00EC2B72">
      <w:pPr>
        <w:spacing w:before="160"/>
        <w:jc w:val="both"/>
        <w:rPr>
          <w:rFonts w:ascii="Arial" w:hAnsi="Arial" w:cs="Arial"/>
          <w:szCs w:val="20"/>
        </w:rPr>
      </w:pPr>
      <w:r>
        <w:rPr>
          <w:rFonts w:ascii="Arial" w:hAnsi="Arial" w:cs="Arial"/>
          <w:szCs w:val="20"/>
          <w:u w:val="single"/>
        </w:rPr>
        <w:t>Addition of 788,000 Shares to the Plan</w:t>
      </w:r>
    </w:p>
    <w:p w:rsidR="00376768" w:rsidRDefault="00EC2B72">
      <w:pPr>
        <w:spacing w:before="160"/>
        <w:ind w:firstLine="360"/>
        <w:jc w:val="both"/>
        <w:rPr>
          <w:rFonts w:ascii="Arial" w:hAnsi="Arial" w:cs="Arial"/>
          <w:szCs w:val="20"/>
        </w:rPr>
      </w:pPr>
      <w:r>
        <w:rPr>
          <w:rFonts w:ascii="Arial" w:hAnsi="Arial" w:cs="Arial"/>
          <w:szCs w:val="20"/>
        </w:rPr>
        <w:t>The Committee’s independent compensation consultant, Pay Governance LLC, assisted in preparing the Amended Plan. Based on an analysis of leading proxy advisory firms’ policies on equity-based compensation plans, our historical share usage under the Current Plan, our anticipated share usage under the Amended Plan taking account of our current stock price, and the importance of long-term incentives in supporting the key objectives of the Company’s equity compensation program, management recommended, and the Board approved (among other changes to the Current Plan) the proposed increase of 788,000 shares (from the prior authorized amount of 1,270,000) to be available for issuance under the Amended Plan. This increase in the number of shares available for issuance under the Amended Plan represented approximately 7.5% of our outstanding common stock as of March 22, 2018 and would have had a value of approximately $20,015,200 million based on the closing market price per share of the Company’s common stock on that date ($25.40 per share).</w:t>
      </w:r>
    </w:p>
    <w:p w:rsidR="00376768" w:rsidRDefault="00EC2B72">
      <w:pPr>
        <w:spacing w:before="160"/>
        <w:jc w:val="both"/>
        <w:rPr>
          <w:rFonts w:ascii="Arial" w:hAnsi="Arial" w:cs="Arial"/>
          <w:szCs w:val="20"/>
        </w:rPr>
      </w:pPr>
      <w:r>
        <w:rPr>
          <w:rFonts w:ascii="Arial" w:hAnsi="Arial" w:cs="Arial"/>
          <w:szCs w:val="20"/>
          <w:u w:val="single"/>
        </w:rPr>
        <w:t>Other Principal Features of the Amended Plan</w:t>
      </w:r>
    </w:p>
    <w:p w:rsidR="00376768" w:rsidRDefault="00EC2B72">
      <w:pPr>
        <w:spacing w:before="160" w:after="100"/>
        <w:ind w:left="720" w:hanging="360"/>
        <w:jc w:val="both"/>
        <w:rPr>
          <w:rFonts w:ascii="Arial" w:hAnsi="Arial" w:cs="Arial"/>
          <w:szCs w:val="20"/>
        </w:rPr>
      </w:pPr>
      <w:r>
        <w:rPr>
          <w:rFonts w:ascii="Arial" w:hAnsi="Arial" w:cs="Arial"/>
          <w:szCs w:val="20"/>
        </w:rPr>
        <w:sym w:font="Symbol" w:char="F0B7"/>
      </w:r>
      <w:r>
        <w:rPr>
          <w:rFonts w:ascii="Arial" w:hAnsi="Arial" w:cs="Arial"/>
          <w:szCs w:val="20"/>
        </w:rPr>
        <w:tab/>
      </w:r>
      <w:r>
        <w:rPr>
          <w:rFonts w:ascii="Arial" w:hAnsi="Arial" w:cs="Arial"/>
          <w:b/>
          <w:bCs/>
          <w:szCs w:val="20"/>
        </w:rPr>
        <w:t>No liberal share counting</w:t>
      </w:r>
      <w:r>
        <w:rPr>
          <w:rFonts w:ascii="Arial" w:hAnsi="Arial" w:cs="Arial"/>
          <w:szCs w:val="20"/>
        </w:rPr>
        <w:t>. The Amended Plan prohibits the reuse of shares issuable under the Amended Plan that are (i) delivered or otherwise used in payment of the exercise price of an option or base price of a SAR, (ii) delivered to or withheld by the Company to pay tax withholding obligations, (iii) purchased by the Company using proceeds from option exercises, or (iv) not issued or delivered as a result of a net settlement of an outstanding option or SAR.</w:t>
      </w:r>
    </w:p>
    <w:p w:rsidR="00376768" w:rsidRDefault="00EC2B72">
      <w:pPr>
        <w:spacing w:before="160" w:after="100"/>
        <w:ind w:left="720" w:hanging="360"/>
        <w:jc w:val="both"/>
        <w:rPr>
          <w:rFonts w:ascii="Arial" w:hAnsi="Arial" w:cs="Arial"/>
          <w:szCs w:val="20"/>
        </w:rPr>
      </w:pPr>
      <w:r>
        <w:rPr>
          <w:rFonts w:ascii="Arial" w:hAnsi="Arial" w:cs="Arial"/>
          <w:szCs w:val="20"/>
        </w:rPr>
        <w:sym w:font="Symbol" w:char="F0B7"/>
      </w:r>
      <w:r>
        <w:rPr>
          <w:rFonts w:ascii="Arial" w:hAnsi="Arial" w:cs="Arial"/>
          <w:szCs w:val="20"/>
        </w:rPr>
        <w:tab/>
      </w:r>
      <w:r>
        <w:rPr>
          <w:rFonts w:ascii="Arial" w:hAnsi="Arial" w:cs="Arial"/>
          <w:b/>
          <w:bCs/>
          <w:szCs w:val="20"/>
        </w:rPr>
        <w:t xml:space="preserve">No </w:t>
      </w:r>
      <w:proofErr w:type="spellStart"/>
      <w:r>
        <w:rPr>
          <w:rFonts w:ascii="Arial" w:hAnsi="Arial" w:cs="Arial"/>
          <w:b/>
          <w:bCs/>
          <w:szCs w:val="20"/>
        </w:rPr>
        <w:t>repricing</w:t>
      </w:r>
      <w:proofErr w:type="spellEnd"/>
      <w:r>
        <w:rPr>
          <w:rFonts w:ascii="Arial" w:hAnsi="Arial" w:cs="Arial"/>
          <w:b/>
          <w:bCs/>
          <w:szCs w:val="20"/>
        </w:rPr>
        <w:t xml:space="preserve"> of stock options or SARs</w:t>
      </w:r>
      <w:r>
        <w:rPr>
          <w:rFonts w:ascii="Arial" w:hAnsi="Arial" w:cs="Arial"/>
          <w:szCs w:val="20"/>
        </w:rPr>
        <w:t xml:space="preserve">. The Amended Plan explicitly prohibits </w:t>
      </w:r>
      <w:proofErr w:type="spellStart"/>
      <w:r>
        <w:rPr>
          <w:rFonts w:ascii="Arial" w:hAnsi="Arial" w:cs="Arial"/>
          <w:szCs w:val="20"/>
        </w:rPr>
        <w:t>repricing</w:t>
      </w:r>
      <w:proofErr w:type="spellEnd"/>
      <w:r>
        <w:rPr>
          <w:rFonts w:ascii="Arial" w:hAnsi="Arial" w:cs="Arial"/>
          <w:szCs w:val="20"/>
        </w:rPr>
        <w:t xml:space="preserve"> of options and SARs without first obtaining shareholder approval.</w:t>
      </w:r>
    </w:p>
    <w:p w:rsidR="00376768" w:rsidRDefault="00EC2B72">
      <w:pPr>
        <w:spacing w:before="160" w:after="100"/>
        <w:ind w:left="720" w:hanging="360"/>
        <w:jc w:val="both"/>
        <w:rPr>
          <w:rFonts w:ascii="Arial" w:hAnsi="Arial" w:cs="Arial"/>
          <w:szCs w:val="20"/>
        </w:rPr>
      </w:pPr>
      <w:r>
        <w:rPr>
          <w:rFonts w:ascii="Arial" w:hAnsi="Arial" w:cs="Arial"/>
          <w:szCs w:val="20"/>
        </w:rPr>
        <w:sym w:font="Symbol" w:char="F0B7"/>
      </w:r>
      <w:r>
        <w:rPr>
          <w:rFonts w:ascii="Arial" w:hAnsi="Arial" w:cs="Arial"/>
          <w:szCs w:val="20"/>
        </w:rPr>
        <w:tab/>
      </w:r>
      <w:r>
        <w:rPr>
          <w:rFonts w:ascii="Arial" w:hAnsi="Arial" w:cs="Arial"/>
          <w:b/>
          <w:bCs/>
          <w:szCs w:val="20"/>
        </w:rPr>
        <w:t>No discounted stock options or SARs</w:t>
      </w:r>
      <w:r>
        <w:rPr>
          <w:rFonts w:ascii="Arial" w:hAnsi="Arial" w:cs="Arial"/>
          <w:szCs w:val="20"/>
        </w:rPr>
        <w:t>. All stock options and SARs must have an exercise or base price equal to or greater than the fair market value of the underlying common stock on the grant date.</w:t>
      </w:r>
    </w:p>
    <w:p w:rsidR="00376768" w:rsidRDefault="00EC2B72">
      <w:pPr>
        <w:spacing w:before="160" w:after="100"/>
        <w:ind w:left="720" w:hanging="360"/>
        <w:jc w:val="both"/>
        <w:rPr>
          <w:rFonts w:ascii="Arial" w:hAnsi="Arial" w:cs="Arial"/>
          <w:szCs w:val="20"/>
        </w:rPr>
      </w:pPr>
      <w:r>
        <w:rPr>
          <w:rFonts w:ascii="Arial" w:hAnsi="Arial" w:cs="Arial"/>
          <w:szCs w:val="20"/>
        </w:rPr>
        <w:sym w:font="Symbol" w:char="F0B7"/>
      </w:r>
      <w:r>
        <w:rPr>
          <w:rFonts w:ascii="Arial" w:hAnsi="Arial" w:cs="Arial"/>
          <w:szCs w:val="20"/>
        </w:rPr>
        <w:tab/>
      </w:r>
      <w:r>
        <w:rPr>
          <w:rFonts w:ascii="Arial" w:hAnsi="Arial" w:cs="Arial"/>
          <w:b/>
          <w:bCs/>
          <w:szCs w:val="20"/>
        </w:rPr>
        <w:t>Awards are administered by an independent Committee</w:t>
      </w:r>
      <w:r>
        <w:rPr>
          <w:rFonts w:ascii="Arial" w:hAnsi="Arial" w:cs="Arial"/>
          <w:szCs w:val="20"/>
        </w:rPr>
        <w:t>. The Amended Plan will be administered by the Committee, or another committee designated by the Board, which is or will be comprised entirely of independent directors. See page 26 of this proxy statement for more information about the Committee.</w:t>
      </w:r>
    </w:p>
    <w:p w:rsidR="00376768" w:rsidRDefault="00EC2B72">
      <w:pPr>
        <w:spacing w:before="160" w:after="100"/>
        <w:ind w:left="720" w:hanging="360"/>
        <w:jc w:val="both"/>
        <w:rPr>
          <w:rFonts w:ascii="Arial" w:hAnsi="Arial" w:cs="Arial"/>
          <w:szCs w:val="20"/>
        </w:rPr>
      </w:pPr>
      <w:r>
        <w:rPr>
          <w:rFonts w:ascii="Arial" w:hAnsi="Arial" w:cs="Arial"/>
          <w:szCs w:val="20"/>
        </w:rPr>
        <w:sym w:font="Symbol" w:char="F0B7"/>
      </w:r>
      <w:r>
        <w:rPr>
          <w:rFonts w:ascii="Arial" w:hAnsi="Arial" w:cs="Arial"/>
          <w:szCs w:val="20"/>
        </w:rPr>
        <w:tab/>
      </w:r>
      <w:r>
        <w:rPr>
          <w:rFonts w:ascii="Arial" w:hAnsi="Arial" w:cs="Arial"/>
          <w:b/>
          <w:bCs/>
          <w:szCs w:val="20"/>
        </w:rPr>
        <w:t>Awards are subject to “</w:t>
      </w:r>
      <w:proofErr w:type="spellStart"/>
      <w:r>
        <w:rPr>
          <w:rFonts w:ascii="Arial" w:hAnsi="Arial" w:cs="Arial"/>
          <w:b/>
          <w:bCs/>
          <w:szCs w:val="20"/>
        </w:rPr>
        <w:t>clawback</w:t>
      </w:r>
      <w:proofErr w:type="spellEnd"/>
      <w:r>
        <w:rPr>
          <w:rFonts w:ascii="Arial" w:hAnsi="Arial" w:cs="Arial"/>
          <w:b/>
          <w:bCs/>
          <w:szCs w:val="20"/>
        </w:rPr>
        <w:t>.</w:t>
      </w:r>
      <w:r>
        <w:rPr>
          <w:rFonts w:ascii="Arial" w:hAnsi="Arial" w:cs="Arial"/>
          <w:szCs w:val="20"/>
        </w:rPr>
        <w:t>” All incentive awards under the Amended Plan are subject to any law, regulation, or Company policy that requires recoupment.</w:t>
      </w:r>
    </w:p>
    <w:p w:rsidR="00376768" w:rsidRDefault="00EC2B72">
      <w:pPr>
        <w:spacing w:before="160"/>
        <w:jc w:val="both"/>
        <w:rPr>
          <w:rFonts w:ascii="Arial" w:hAnsi="Arial" w:cs="Arial"/>
          <w:szCs w:val="20"/>
        </w:rPr>
      </w:pPr>
      <w:r>
        <w:rPr>
          <w:rFonts w:ascii="Arial" w:hAnsi="Arial" w:cs="Arial"/>
          <w:szCs w:val="20"/>
          <w:u w:val="single"/>
        </w:rPr>
        <w:t>Eligibility</w:t>
      </w:r>
    </w:p>
    <w:p w:rsidR="00376768" w:rsidRDefault="00EC2B72">
      <w:pPr>
        <w:spacing w:before="160"/>
        <w:ind w:firstLine="360"/>
        <w:jc w:val="both"/>
        <w:rPr>
          <w:rFonts w:ascii="Arial" w:hAnsi="Arial" w:cs="Arial"/>
          <w:szCs w:val="20"/>
        </w:rPr>
      </w:pPr>
      <w:r>
        <w:rPr>
          <w:rFonts w:ascii="Arial" w:hAnsi="Arial" w:cs="Arial"/>
          <w:szCs w:val="20"/>
        </w:rPr>
        <w:t>Any officer, employee, consultant, independent contractor or director of the Company, or any of its subsidiaries is eligible to receive an award under the Amended Plan. As of December 31, 2017, there were approximately 1,475 employees of the Company and its subsidiaries eligible to participate in the plan, of which 34 were participating, seven non-employee directors of the Company who are eligible to participate in the plan and no independent contractors or consultants eligible to participate in the plan</w:t>
      </w:r>
      <w:r>
        <w:rPr>
          <w:rFonts w:ascii="Arial" w:hAnsi="Arial" w:cs="Arial"/>
          <w:b/>
          <w:bCs/>
          <w:szCs w:val="20"/>
        </w:rPr>
        <w:t xml:space="preserve">. </w:t>
      </w:r>
      <w:r>
        <w:rPr>
          <w:rFonts w:ascii="Arial" w:hAnsi="Arial" w:cs="Arial"/>
          <w:szCs w:val="20"/>
        </w:rPr>
        <w:t>The selection of participants and the nature and size of the awards is subject to the Committee’s discretion.</w:t>
      </w:r>
    </w:p>
    <w:p w:rsidR="00376768" w:rsidRDefault="00EC2B72">
      <w:pPr>
        <w:spacing w:before="160"/>
        <w:jc w:val="both"/>
        <w:rPr>
          <w:rFonts w:ascii="Arial" w:hAnsi="Arial" w:cs="Arial"/>
          <w:szCs w:val="20"/>
        </w:rPr>
      </w:pPr>
      <w:r>
        <w:rPr>
          <w:rFonts w:ascii="Arial" w:hAnsi="Arial" w:cs="Arial"/>
          <w:szCs w:val="20"/>
          <w:u w:val="single"/>
        </w:rPr>
        <w:t>Plan Reserve</w:t>
      </w:r>
    </w:p>
    <w:p w:rsidR="00376768" w:rsidRDefault="00EC2B72">
      <w:pPr>
        <w:spacing w:before="160"/>
        <w:ind w:firstLine="360"/>
        <w:jc w:val="both"/>
        <w:rPr>
          <w:rFonts w:ascii="Arial" w:hAnsi="Arial" w:cs="Arial"/>
          <w:szCs w:val="20"/>
        </w:rPr>
      </w:pPr>
      <w:r>
        <w:rPr>
          <w:rFonts w:ascii="Arial" w:hAnsi="Arial" w:cs="Arial"/>
          <w:szCs w:val="20"/>
        </w:rPr>
        <w:t>The number of shares reserved under the Amended Plan will be depleted by one share for each share subject to a stock-settled award. Fractional shares will not be issued under the Amended Plan.</w:t>
      </w:r>
    </w:p>
    <w:p w:rsidR="00376768" w:rsidRDefault="00EC2B72">
      <w:pPr>
        <w:spacing w:before="160"/>
        <w:ind w:firstLine="360"/>
        <w:jc w:val="both"/>
        <w:rPr>
          <w:rFonts w:ascii="Arial" w:hAnsi="Arial" w:cs="Arial"/>
          <w:szCs w:val="20"/>
        </w:rPr>
      </w:pPr>
      <w:r>
        <w:rPr>
          <w:rFonts w:ascii="Arial" w:hAnsi="Arial" w:cs="Arial"/>
          <w:szCs w:val="20"/>
        </w:rPr>
        <w:t>Except as otherwise provided in the Amended Plan, shares may be re-credited to the plan reserve if (i) an award lapses, expires, terminates, or is cancelled without the underlying shares being issued (or a portion thereof), (ii) it is determined during or at the conclusion of the term of an award that all or some shares underlying the award may not be issued because the conditions for such issuance failed to be met, (iii) any award (or a portion thereof) is settled in cash, (iv) shares subject to an award are forfeited, or (v) shares are issued pursuant to an award but are subsequently reacquired by the Company (except with respect to incentive stock options).</w:t>
      </w:r>
    </w:p>
    <w:p w:rsidR="00376768" w:rsidRDefault="00EC2B72">
      <w:pPr>
        <w:spacing w:before="160"/>
        <w:ind w:firstLine="360"/>
        <w:jc w:val="both"/>
        <w:rPr>
          <w:rFonts w:ascii="Arial" w:hAnsi="Arial" w:cs="Arial"/>
          <w:szCs w:val="20"/>
        </w:rPr>
      </w:pPr>
      <w:r>
        <w:rPr>
          <w:rFonts w:ascii="Arial" w:hAnsi="Arial" w:cs="Arial"/>
          <w:szCs w:val="20"/>
        </w:rPr>
        <w:t xml:space="preserve">If, under the Amended Plan, a participant has elected to give up the right to receive compensation in exchange for shares of stock based on fair market value, such shares of stock are not counted against the aggregate plan limit. Shares of stock issued under Substitute Awards shall not reduce the shares of stock available under the Amended Plan, and available shares under a shareholder approved plan of an acquired company (as appropriately adjusted to reflect the </w:t>
      </w:r>
      <w:r>
        <w:rPr>
          <w:rFonts w:ascii="Arial" w:hAnsi="Arial" w:cs="Arial"/>
          <w:szCs w:val="20"/>
        </w:rPr>
        <w:lastRenderedPageBreak/>
        <w:t>transaction) may be used for awards under the Amended Plan and shall not reduce the Amended Plan’s share reserve (unless otherwise required by any applicable stock exchange listing requirements).</w:t>
      </w:r>
    </w:p>
    <w:p w:rsidR="00376768" w:rsidRDefault="00EC2B72">
      <w:pPr>
        <w:spacing w:before="160"/>
        <w:jc w:val="both"/>
        <w:rPr>
          <w:rFonts w:ascii="Arial" w:hAnsi="Arial" w:cs="Arial"/>
          <w:szCs w:val="20"/>
        </w:rPr>
      </w:pPr>
      <w:r>
        <w:rPr>
          <w:rFonts w:ascii="Arial" w:hAnsi="Arial" w:cs="Arial"/>
          <w:szCs w:val="20"/>
          <w:u w:val="single"/>
        </w:rPr>
        <w:t>Individual Award Limits</w:t>
      </w:r>
    </w:p>
    <w:p w:rsidR="00376768" w:rsidRDefault="00EC2B72">
      <w:pPr>
        <w:spacing w:before="160"/>
        <w:ind w:firstLine="360"/>
        <w:jc w:val="both"/>
        <w:rPr>
          <w:rFonts w:ascii="Arial" w:hAnsi="Arial" w:cs="Arial"/>
          <w:szCs w:val="20"/>
        </w:rPr>
      </w:pPr>
      <w:r>
        <w:rPr>
          <w:rFonts w:ascii="Arial" w:hAnsi="Arial" w:cs="Arial"/>
          <w:szCs w:val="20"/>
        </w:rPr>
        <w:t>To the extent necessary to qualify for the exception under Section 162(m) for “performance-based compensation,” under the Amended Plan, for any fiscal year and subject to adjustment in accordance with the terms of the Amended Plan, no participant may be granted (i) an award of stock options or SARs for more than 300,000 shares, (ii) a performance award (payable in stock) intended to be performance-based compensation under Section 162(m) of more than 150,000 shares (measured on a target award level on the grant date), or (iii) a performance award (payable in cash) intended to be performance-based compensation under Section 162(m) of more than $5,000,000 (measured on a target award level on the grant date). Additionally, and subject to adjustment in accordance with the terms of the Amended Plan, no non-employee director may be granted, in any one fiscal year, awards specifically granted under the Amended Plan with an aggregate maximum value, calculated as of their respective grant dates, of more than $300,000.</w:t>
      </w:r>
    </w:p>
    <w:p w:rsidR="00376768" w:rsidRDefault="00EC2B72">
      <w:pPr>
        <w:spacing w:before="160"/>
        <w:jc w:val="both"/>
        <w:rPr>
          <w:rFonts w:ascii="Arial" w:hAnsi="Arial" w:cs="Arial"/>
          <w:szCs w:val="20"/>
        </w:rPr>
      </w:pPr>
      <w:r>
        <w:rPr>
          <w:rFonts w:ascii="Arial" w:hAnsi="Arial" w:cs="Arial"/>
          <w:szCs w:val="20"/>
          <w:u w:val="single"/>
        </w:rPr>
        <w:t>Awards</w:t>
      </w:r>
    </w:p>
    <w:p w:rsidR="00376768" w:rsidRDefault="00EC2B72">
      <w:pPr>
        <w:spacing w:before="160"/>
        <w:ind w:firstLine="360"/>
        <w:jc w:val="both"/>
        <w:rPr>
          <w:rFonts w:ascii="Arial" w:hAnsi="Arial" w:cs="Arial"/>
          <w:szCs w:val="20"/>
        </w:rPr>
      </w:pPr>
      <w:r>
        <w:rPr>
          <w:rFonts w:ascii="Arial" w:hAnsi="Arial" w:cs="Arial"/>
          <w:szCs w:val="20"/>
        </w:rPr>
        <w:t>The following types of awards may be granted under the Amended Plan:</w:t>
      </w:r>
    </w:p>
    <w:p w:rsidR="00376768" w:rsidRDefault="00EC2B72">
      <w:pPr>
        <w:spacing w:before="160"/>
        <w:ind w:firstLine="360"/>
        <w:jc w:val="both"/>
        <w:rPr>
          <w:rFonts w:ascii="Arial" w:hAnsi="Arial" w:cs="Arial"/>
          <w:szCs w:val="20"/>
        </w:rPr>
      </w:pPr>
      <w:proofErr w:type="gramStart"/>
      <w:r>
        <w:rPr>
          <w:rFonts w:ascii="Arial" w:hAnsi="Arial" w:cs="Arial"/>
          <w:i/>
          <w:iCs/>
          <w:szCs w:val="20"/>
        </w:rPr>
        <w:t>Stock Options.</w:t>
      </w:r>
      <w:proofErr w:type="gramEnd"/>
      <w:r>
        <w:rPr>
          <w:rFonts w:ascii="Arial" w:hAnsi="Arial" w:cs="Arial"/>
          <w:szCs w:val="20"/>
        </w:rPr>
        <w:t xml:space="preserve"> Stock options may be nonqualified stock options or incentive stock options that comply with Section 422 of the Code. Only an employee of the Company may receive incentive stock options. The Committee determines all terms and conditions of stock options, including the number of shares subject to the option and the applicable vesting period. Except as otherwise provided in an award agreement or the Amended Plan, options granted to employees will generally be exercisable in cumulative installments and vest ratably in one-fourth increments on each of the first, second, third, and fourth anniversaries of the date of grant. The exercise price per share may not be less than the fair market value of a share subject to the option on the grant date.</w:t>
      </w:r>
    </w:p>
    <w:p w:rsidR="00376768" w:rsidRDefault="00EC2B72">
      <w:pPr>
        <w:spacing w:before="160"/>
        <w:ind w:firstLine="360"/>
        <w:jc w:val="both"/>
        <w:rPr>
          <w:rFonts w:ascii="Arial" w:hAnsi="Arial" w:cs="Arial"/>
          <w:szCs w:val="20"/>
        </w:rPr>
      </w:pPr>
      <w:r>
        <w:rPr>
          <w:rFonts w:ascii="Arial" w:hAnsi="Arial" w:cs="Arial"/>
          <w:szCs w:val="20"/>
        </w:rPr>
        <w:t>Except as otherwise provided in the Amended Plan or in the applicable award agreement, if the employment or other service of a participant, other than a non-employee director, terminates for any reason other than death, disability, or retirement, all stock options held by the participant will expire and may not thereafter be exercised.</w:t>
      </w:r>
    </w:p>
    <w:p w:rsidR="00376768" w:rsidRDefault="00EC2B72">
      <w:pPr>
        <w:spacing w:before="160"/>
        <w:ind w:firstLine="360"/>
        <w:jc w:val="both"/>
        <w:rPr>
          <w:rFonts w:ascii="Arial" w:hAnsi="Arial" w:cs="Arial"/>
          <w:szCs w:val="20"/>
        </w:rPr>
      </w:pPr>
      <w:r>
        <w:rPr>
          <w:rFonts w:ascii="Arial" w:hAnsi="Arial" w:cs="Arial"/>
          <w:szCs w:val="20"/>
        </w:rPr>
        <w:t>Unless the award agreement provides otherwise, if the employment or other service of a participant, other than as a non-employee director, terminates, other than due to a “Termination for Cause” (as defined in the Amended Plan), the participant may exercise all unexercised and vested stock options within 30 days of such termination; except as so exercised, the stock option will expire at the end of such period. Any options in which such participant is not vested at the time of termination will be forfeited. In no event, however, may any stock option be exercised after the expiration of ten years from the grant date of such stock option (or five years in the case of an incentive stock option granted to a 10% shareholder).</w:t>
      </w:r>
    </w:p>
    <w:p w:rsidR="00376768" w:rsidRDefault="00EC2B72">
      <w:pPr>
        <w:spacing w:before="160"/>
        <w:ind w:firstLine="360"/>
        <w:jc w:val="both"/>
        <w:rPr>
          <w:rFonts w:ascii="Arial" w:hAnsi="Arial" w:cs="Arial"/>
          <w:szCs w:val="20"/>
        </w:rPr>
      </w:pPr>
      <w:r>
        <w:rPr>
          <w:rFonts w:ascii="Arial" w:hAnsi="Arial" w:cs="Arial"/>
          <w:szCs w:val="20"/>
        </w:rPr>
        <w:t>Except as otherwise provided in the award agreement, a non-employee director whose service is terminated will be entitled to exercise such non-employee director’s stock options, to the extent vested as of the date of such termination, until the expiration of the full term of the stock option, unless the non-employee director has been terminated for cause. In the event that a non-employee director is terminated for cause, all stock options held by the director will terminate immediately and may not thereafter be exercised.</w:t>
      </w:r>
    </w:p>
    <w:p w:rsidR="00376768" w:rsidRDefault="00EC2B72">
      <w:pPr>
        <w:spacing w:before="160"/>
        <w:ind w:firstLine="360"/>
        <w:jc w:val="both"/>
        <w:rPr>
          <w:rFonts w:ascii="Arial" w:hAnsi="Arial" w:cs="Arial"/>
          <w:szCs w:val="20"/>
        </w:rPr>
      </w:pPr>
      <w:proofErr w:type="gramStart"/>
      <w:r>
        <w:rPr>
          <w:rFonts w:ascii="Arial" w:hAnsi="Arial" w:cs="Arial"/>
          <w:szCs w:val="20"/>
        </w:rPr>
        <w:t>Except as otherwise provided in the Amended Plan or an award agreement, during the twelve-month period following a participant’s death, any or all of the unexercised and vested stock options that a participant was entitled to exercise immediately prior to death may be exercised by the participant’s personal representative.</w:t>
      </w:r>
      <w:proofErr w:type="gramEnd"/>
      <w:r>
        <w:rPr>
          <w:rFonts w:ascii="Arial" w:hAnsi="Arial" w:cs="Arial"/>
          <w:szCs w:val="20"/>
        </w:rPr>
        <w:t> Any stock options in which a participant is not vested at the time of death will be forfeited. In no event, however, may any such options be exercised after the expiration of ten years from the date of grant of such options.</w:t>
      </w:r>
    </w:p>
    <w:p w:rsidR="00376768" w:rsidRDefault="00EC2B72">
      <w:pPr>
        <w:spacing w:before="160"/>
        <w:ind w:firstLine="360"/>
        <w:jc w:val="both"/>
        <w:rPr>
          <w:rFonts w:ascii="Arial" w:hAnsi="Arial" w:cs="Arial"/>
          <w:szCs w:val="20"/>
        </w:rPr>
      </w:pPr>
      <w:r>
        <w:rPr>
          <w:rFonts w:ascii="Arial" w:hAnsi="Arial" w:cs="Arial"/>
          <w:szCs w:val="20"/>
        </w:rPr>
        <w:t>Except as otherwise provided in the Amended Plan or an award agreement, if a participant retires or suffers a disability at a time when the participant is entitled to exercise a stock option, then at any time or times within three years after such termination of service because of retirement or disability, the participant may exercise the option as to all or any of the shares that the participant was entitled to purchase under the option immediately prior to such termination; except as so exercised, the stock option will expire at the end of such period. In no event, however, may any option be exercised after the expiration of ten years from the date of grant of such option (or five years in the case of an incentive stock option granted to a 10% shareholder).</w:t>
      </w:r>
    </w:p>
    <w:p w:rsidR="00376768" w:rsidRDefault="00EC2B72">
      <w:pPr>
        <w:spacing w:before="160"/>
        <w:ind w:firstLine="360"/>
        <w:jc w:val="both"/>
        <w:rPr>
          <w:rFonts w:ascii="Arial" w:hAnsi="Arial" w:cs="Arial"/>
          <w:szCs w:val="20"/>
        </w:rPr>
      </w:pPr>
      <w:r>
        <w:rPr>
          <w:rFonts w:ascii="Arial" w:hAnsi="Arial" w:cs="Arial"/>
          <w:i/>
          <w:iCs/>
          <w:szCs w:val="20"/>
        </w:rPr>
        <w:t>Restricted Stock and Restricted Stock Units (“RSUs”).</w:t>
      </w:r>
      <w:r>
        <w:rPr>
          <w:rFonts w:ascii="Arial" w:hAnsi="Arial" w:cs="Arial"/>
          <w:szCs w:val="20"/>
        </w:rPr>
        <w:t xml:space="preserve"> An award of restricted stock is an award of shares of common stock that may not be sold or otherwise disposed of during a restricted period as determined by the Committee. An award of RSUs is an award of the right to receive a share of common stock or cash equal to a share of common stock on the payment date and after the expiration of a restricted period as determined by the Committee. The restrictions imposed on </w:t>
      </w:r>
      <w:r>
        <w:rPr>
          <w:rFonts w:ascii="Arial" w:hAnsi="Arial" w:cs="Arial"/>
          <w:szCs w:val="20"/>
        </w:rPr>
        <w:lastRenderedPageBreak/>
        <w:t>RSUs will vest in accordance with the vesting schedule specified by the Committee in the award agreement, subject to the terms of the Amended Plan. The Committee may also impose additional restrictions on an award of restricted stock or RSUs, including, but not limited to, attainment of certain performance goals during the restricted period. Restricted stock may have voting and dividend rights, and RSUs may have associated dividend equivalent rights that will not be paid unless and until the award vests and/or is earned.</w:t>
      </w:r>
    </w:p>
    <w:p w:rsidR="00376768" w:rsidRDefault="00EC2B72">
      <w:pPr>
        <w:spacing w:before="160"/>
        <w:ind w:firstLine="360"/>
        <w:jc w:val="both"/>
        <w:rPr>
          <w:rFonts w:ascii="Arial" w:hAnsi="Arial" w:cs="Arial"/>
          <w:szCs w:val="20"/>
        </w:rPr>
      </w:pPr>
      <w:proofErr w:type="gramStart"/>
      <w:r>
        <w:rPr>
          <w:rFonts w:ascii="Arial" w:hAnsi="Arial" w:cs="Arial"/>
          <w:i/>
          <w:iCs/>
          <w:szCs w:val="20"/>
        </w:rPr>
        <w:t>Performance Grants.</w:t>
      </w:r>
      <w:proofErr w:type="gramEnd"/>
      <w:r>
        <w:rPr>
          <w:rFonts w:ascii="Arial" w:hAnsi="Arial" w:cs="Arial"/>
          <w:i/>
          <w:iCs/>
          <w:szCs w:val="20"/>
        </w:rPr>
        <w:t xml:space="preserve"> </w:t>
      </w:r>
      <w:r>
        <w:rPr>
          <w:rFonts w:ascii="Arial" w:hAnsi="Arial" w:cs="Arial"/>
          <w:szCs w:val="20"/>
        </w:rPr>
        <w:t>Performance grants will consist of a right that is (i) denominated in cash, stock, or any other form of award issuable under the Amended Plan (or any combination thereof), (ii) valued, as determined by the Committee, in accordance with the achievement of such performance goals during such performance periods as the Committee will establish, and (iii) payable at such time and in such form as the Committee determines. Unless otherwise determined by the Committee, any such performance grant will be evidenced by an award agreement containing the terms of the award, including, but not limited to, the performance criteria and such terms and conditions as may be determined, from time to time, by the Committee, in each case not inconsistent with the Amended Plan.</w:t>
      </w:r>
    </w:p>
    <w:p w:rsidR="00376768" w:rsidRDefault="00EC2B72">
      <w:pPr>
        <w:spacing w:before="160" w:after="100"/>
        <w:ind w:firstLine="360"/>
        <w:jc w:val="both"/>
        <w:rPr>
          <w:rFonts w:ascii="Arial" w:hAnsi="Arial" w:cs="Arial"/>
          <w:szCs w:val="20"/>
        </w:rPr>
      </w:pPr>
      <w:r>
        <w:rPr>
          <w:rFonts w:ascii="Arial" w:hAnsi="Arial" w:cs="Arial"/>
          <w:szCs w:val="20"/>
        </w:rPr>
        <w:t>Performance grants may be conditioned upon the achievement of pre-established goals relating to one or more of the following performance measures, as determined in writing by the Committee and subject to such modifications as specified by the Committee: cash flow; cash flow from operations; earnings (including, but not limited to, earnings before interest, taxes, depreciation, and amortization or some variation thereof); earnings per share, diluted or basic; earnings per share from continuing operations; net asset turnover; inventory turnover; days sales outstanding on receivables; capital expenditures; debt; debt reduction; working capital (including as a percentage of sales); return on investment; return on sales; return on invested capital; net or gross sales; gross profit on sales; material gross profit (gross profit on material portion of sales); performance profit (operating income minus an allocated charge approximating the Company’s cost of capital, before or after tax); purchase variance; delivery variance; quality; customer satisfaction; comparable site sales; market share; economic value added; cost of capital; change in assets; expense reduction levels; productivity; delivery performance; safety record and/or performance; environmental record and/or performance; stock price; return on equity or capital employed; total or relative increases to shareholder return; return on capital; return on assets or net assets; revenue; income or net income; operating income or net operating income; operating income adjusted for management fees and depreciation and amortization; pre-tax income (including on an as-adjusted basis); operating profit or net operating profit; non-performing assets; asset sale targets; value of assets; employee retention/attrition rates; investments; regulatory compliance; satisfactory internal or external audits; improvement of financial ratings; value creation; gross margin, operating margin or profit margin; completion of acquisitions, business expansion, product diversification, new or expanded market penetration and other non-financial operating and management performance objectives, any combination of the foregoing, and such other business performance criteria as may, from time to time, be established by the Committee in the applicable award agreement.</w:t>
      </w:r>
    </w:p>
    <w:p w:rsidR="00376768" w:rsidRDefault="00EC2B72">
      <w:pPr>
        <w:spacing w:before="160"/>
        <w:ind w:firstLine="360"/>
        <w:jc w:val="both"/>
        <w:rPr>
          <w:rFonts w:ascii="Arial" w:hAnsi="Arial" w:cs="Arial"/>
          <w:szCs w:val="20"/>
        </w:rPr>
      </w:pPr>
      <w:r>
        <w:rPr>
          <w:rFonts w:ascii="Arial" w:hAnsi="Arial" w:cs="Arial"/>
          <w:szCs w:val="20"/>
        </w:rPr>
        <w:t>The Committee, in its sole discretion, may also establish such additional restrictions or conditions that must be satisfied as a condition precedent to the payment of all or a portion of any performance grants. Such additional restrictions or conditions need not be performance-based and may include, among other things, the receipt by a participant of a specified annual performance rating, the continued employment by the participant and/or the achievement of specified performance goals by the Company, business unit, or participant. Furthermore, and notwithstanding any provision of the Amended Plan to the contrary, the Committee, in its sole discretion, may retain the discretion to increase or reduce the amount of any performance grant payable to a participant if it concludes that such increase or reduction is necessary or appropriate based upon: (i) an evaluation of such participant’s performance; (ii) comparisons with compensation received by other similarly-situated individuals working within the Company’s industry; (iii) the Company’s financial results and conditions; or (iv) such other factors or conditions that the Committee deems relevant; provided, however, that the Committee will not use its discretionary authority to increase any award that is intended to be performance-based compensation under Section 162(m).</w:t>
      </w:r>
    </w:p>
    <w:p w:rsidR="00376768" w:rsidRDefault="00EC2B72">
      <w:pPr>
        <w:spacing w:before="160"/>
        <w:ind w:firstLine="360"/>
        <w:jc w:val="both"/>
        <w:rPr>
          <w:rFonts w:ascii="Arial" w:hAnsi="Arial" w:cs="Arial"/>
          <w:szCs w:val="20"/>
        </w:rPr>
      </w:pPr>
      <w:r>
        <w:rPr>
          <w:rFonts w:ascii="Arial" w:hAnsi="Arial" w:cs="Arial"/>
          <w:i/>
          <w:iCs/>
          <w:szCs w:val="20"/>
        </w:rPr>
        <w:t>Stock appreciation rights (SARs).</w:t>
      </w:r>
      <w:r>
        <w:rPr>
          <w:rFonts w:ascii="Arial" w:hAnsi="Arial" w:cs="Arial"/>
          <w:szCs w:val="20"/>
        </w:rPr>
        <w:t xml:space="preserve"> The Committee may grant SARs either separately or in tandem with a stock option granted under the Amended Plan. The grant or base price of a SAR may not be less than the fair market value of a share of our common stock on the grant date, except in the case of Substitute Awards. SARs will vest in accordance with the vesting schedule specified by the Committee in the award agreement (and subject to the terms and conditions included therein), subject to the terms of the Amended Plan. Upon exercise, each SAR entitles a participant to receive an amount equal to the appreciation in fair market value of a share of common stock on the date the SAR is exercised over the fair market value of a share of common stock on the date the SAR is granted. The payment may be settled in cash, shares of common stock, or a combination of both.</w:t>
      </w:r>
    </w:p>
    <w:p w:rsidR="00376768" w:rsidRDefault="00EC2B72">
      <w:pPr>
        <w:spacing w:before="160" w:after="100"/>
        <w:ind w:firstLine="360"/>
        <w:jc w:val="both"/>
        <w:rPr>
          <w:rFonts w:ascii="Arial" w:hAnsi="Arial" w:cs="Arial"/>
          <w:szCs w:val="20"/>
        </w:rPr>
      </w:pPr>
      <w:proofErr w:type="gramStart"/>
      <w:r>
        <w:rPr>
          <w:rFonts w:ascii="Arial" w:hAnsi="Arial" w:cs="Arial"/>
          <w:i/>
          <w:iCs/>
          <w:szCs w:val="20"/>
        </w:rPr>
        <w:t>Other Awards.</w:t>
      </w:r>
      <w:proofErr w:type="gramEnd"/>
      <w:r>
        <w:rPr>
          <w:rFonts w:ascii="Arial" w:hAnsi="Arial" w:cs="Arial"/>
          <w:i/>
          <w:iCs/>
          <w:szCs w:val="20"/>
        </w:rPr>
        <w:t xml:space="preserve"> </w:t>
      </w:r>
      <w:r>
        <w:rPr>
          <w:rFonts w:ascii="Arial" w:hAnsi="Arial" w:cs="Arial"/>
          <w:szCs w:val="20"/>
        </w:rPr>
        <w:t>The Committee may grant other types of awards that may be based in whole or in part by reference to common stock, or denominated in cash, and that may be subject to the achievement of performance goals during a performance period determined by the Committee, or such other terms and conditions as the Committee may prescribe, subject to limitations under applicable law.</w:t>
      </w:r>
    </w:p>
    <w:p w:rsidR="00376768" w:rsidRDefault="00EC2B72">
      <w:pPr>
        <w:spacing w:before="160"/>
        <w:jc w:val="both"/>
        <w:rPr>
          <w:rFonts w:ascii="Arial" w:hAnsi="Arial" w:cs="Arial"/>
          <w:szCs w:val="20"/>
        </w:rPr>
      </w:pPr>
      <w:proofErr w:type="spellStart"/>
      <w:r>
        <w:rPr>
          <w:rFonts w:ascii="Arial" w:hAnsi="Arial" w:cs="Arial"/>
          <w:szCs w:val="20"/>
          <w:u w:val="single"/>
        </w:rPr>
        <w:lastRenderedPageBreak/>
        <w:t>Repricing</w:t>
      </w:r>
      <w:proofErr w:type="spellEnd"/>
    </w:p>
    <w:p w:rsidR="00376768" w:rsidRDefault="00EC2B72">
      <w:pPr>
        <w:spacing w:before="160"/>
        <w:ind w:firstLine="360"/>
        <w:jc w:val="both"/>
        <w:rPr>
          <w:rFonts w:ascii="Arial" w:hAnsi="Arial" w:cs="Arial"/>
          <w:szCs w:val="20"/>
        </w:rPr>
      </w:pPr>
      <w:r>
        <w:rPr>
          <w:rFonts w:ascii="Arial" w:hAnsi="Arial" w:cs="Arial"/>
          <w:szCs w:val="20"/>
        </w:rPr>
        <w:t>Notwithstanding anything in the Amended Plan to the contrary, and except for adjustments made in accordance with the Amended Plan or in connection with a corporate transaction involving the Company (including, without limitation, any stock dividend, distribution (whether in the form of cash, shares of stock, other Company securities or other property), stock split, extraordinary cash dividend, recapitalization, change in control, reorganization, merger, consolidation, split-up, spin-off, combination, repurchase or exchange of stock or other Company securities, or similar transaction(s)), neither the Committee nor any other person may, without obtaining shareholder approval, (i) amend the terms of outstanding options or SARs to reduce the exercise price of such outstanding options or SARs; (ii) cancel outstanding options or SARs in exchange for options or SARs with an exercise price that is less than the exercise price of the original options or SARs; or (iii) cancel outstanding options or SARs with an exercise price above the current stock price in exchange for cash or other securities. In addition, the Committee may not make a grant of an option or SAR with a grant date that is effective prior to the date the Committee takes action to approve such award.</w:t>
      </w:r>
    </w:p>
    <w:p w:rsidR="00376768" w:rsidRDefault="00EC2B72">
      <w:pPr>
        <w:spacing w:before="160"/>
        <w:jc w:val="both"/>
        <w:rPr>
          <w:rFonts w:ascii="Arial" w:hAnsi="Arial" w:cs="Arial"/>
          <w:szCs w:val="20"/>
        </w:rPr>
      </w:pPr>
      <w:proofErr w:type="spellStart"/>
      <w:r>
        <w:rPr>
          <w:rFonts w:ascii="Arial" w:hAnsi="Arial" w:cs="Arial"/>
          <w:szCs w:val="20"/>
          <w:u w:val="single"/>
        </w:rPr>
        <w:t>Clawback</w:t>
      </w:r>
      <w:proofErr w:type="spellEnd"/>
    </w:p>
    <w:p w:rsidR="00376768" w:rsidRDefault="00EC2B72">
      <w:pPr>
        <w:spacing w:before="160"/>
        <w:ind w:firstLine="360"/>
        <w:jc w:val="both"/>
        <w:rPr>
          <w:rFonts w:ascii="Arial" w:hAnsi="Arial" w:cs="Arial"/>
          <w:szCs w:val="20"/>
        </w:rPr>
      </w:pPr>
      <w:r>
        <w:rPr>
          <w:rFonts w:ascii="Arial" w:hAnsi="Arial" w:cs="Arial"/>
          <w:szCs w:val="20"/>
        </w:rPr>
        <w:t>The Amended Plan provides that any awards made under the Amended Plan are subject to recovery under any law, government regulation, stock exchange listing requirement or Company policy applicable to them, including any recoupment and/or “</w:t>
      </w:r>
      <w:proofErr w:type="spellStart"/>
      <w:r>
        <w:rPr>
          <w:rFonts w:ascii="Arial" w:hAnsi="Arial" w:cs="Arial"/>
          <w:szCs w:val="20"/>
        </w:rPr>
        <w:t>clawback</w:t>
      </w:r>
      <w:proofErr w:type="spellEnd"/>
      <w:r>
        <w:rPr>
          <w:rFonts w:ascii="Arial" w:hAnsi="Arial" w:cs="Arial"/>
          <w:szCs w:val="20"/>
        </w:rPr>
        <w:t>” that may be required to be made pursuant to such law, government regulation, stock exchange listing requirement, or Company policy as may be in effect from time to time.</w:t>
      </w:r>
    </w:p>
    <w:p w:rsidR="00376768" w:rsidRDefault="00EC2B72">
      <w:pPr>
        <w:spacing w:before="160"/>
        <w:jc w:val="both"/>
        <w:rPr>
          <w:rFonts w:ascii="Arial" w:hAnsi="Arial" w:cs="Arial"/>
          <w:szCs w:val="20"/>
        </w:rPr>
      </w:pPr>
      <w:r>
        <w:rPr>
          <w:rFonts w:ascii="Arial" w:hAnsi="Arial" w:cs="Arial"/>
          <w:szCs w:val="20"/>
          <w:u w:val="single"/>
        </w:rPr>
        <w:t>Effective Date and Termination</w:t>
      </w:r>
    </w:p>
    <w:p w:rsidR="00376768" w:rsidRDefault="00EC2B72">
      <w:pPr>
        <w:spacing w:before="160"/>
        <w:ind w:firstLine="360"/>
        <w:jc w:val="both"/>
        <w:rPr>
          <w:rFonts w:ascii="Arial" w:hAnsi="Arial" w:cs="Arial"/>
          <w:szCs w:val="20"/>
        </w:rPr>
      </w:pPr>
      <w:r>
        <w:rPr>
          <w:rFonts w:ascii="Arial" w:hAnsi="Arial" w:cs="Arial"/>
          <w:szCs w:val="20"/>
        </w:rPr>
        <w:t>If the Amended Plan is approved at the Annual Meeting, it will become effective as of the date of such approval and will terminate on May 24, 2028. The Board may terminate the Amended Plan at any time, provided that no termination will materially affect the rights of any participant under any award previously granted in which the participant has a vested interest, without the written consent of such participant.</w:t>
      </w:r>
    </w:p>
    <w:p w:rsidR="00376768" w:rsidRDefault="00EC2B72">
      <w:pPr>
        <w:spacing w:before="160"/>
        <w:jc w:val="both"/>
        <w:rPr>
          <w:rFonts w:ascii="Arial" w:hAnsi="Arial" w:cs="Arial"/>
          <w:szCs w:val="20"/>
        </w:rPr>
      </w:pPr>
      <w:r>
        <w:rPr>
          <w:rFonts w:ascii="Arial" w:hAnsi="Arial" w:cs="Arial"/>
          <w:szCs w:val="20"/>
          <w:u w:val="single"/>
        </w:rPr>
        <w:t>Federal Tax Consequences</w:t>
      </w:r>
    </w:p>
    <w:p w:rsidR="00376768" w:rsidRDefault="00EC2B72">
      <w:pPr>
        <w:spacing w:before="160"/>
        <w:ind w:firstLine="360"/>
        <w:jc w:val="both"/>
        <w:rPr>
          <w:rFonts w:ascii="Arial" w:hAnsi="Arial" w:cs="Arial"/>
          <w:szCs w:val="20"/>
        </w:rPr>
      </w:pPr>
      <w:r>
        <w:rPr>
          <w:rFonts w:ascii="Arial" w:hAnsi="Arial" w:cs="Arial"/>
          <w:szCs w:val="20"/>
        </w:rPr>
        <w:t>The following is a brief summary of the principal United States federal income tax consequences applicable to the Amended Plan participants and the Company and is based upon an interpretation of present federal tax laws and regulations, which may be inapplicable if such laws and regulations are changed. This summary is not intended to be exhaustive or constitute tax advice, nor does it describe state, local, or foreign tax consequences. To the extent any awards under the Amended Plan are subject to Section 409A of the Code, the following description assumes that such awards will be designed to conform to the requirements of Section 409A of the Code and the regulations promulgated thereunder (or an exception thereto). The Amended Plan is not subject to the protective provisions of the Employee Retirement Income Security Act of 1974 and is not qualified under Section 401(a) of the Code.</w:t>
      </w:r>
    </w:p>
    <w:p w:rsidR="00376768" w:rsidRDefault="00EC2B72">
      <w:pPr>
        <w:spacing w:before="160" w:after="100"/>
        <w:ind w:firstLine="360"/>
        <w:jc w:val="both"/>
        <w:rPr>
          <w:rFonts w:ascii="Arial" w:hAnsi="Arial" w:cs="Arial"/>
          <w:szCs w:val="20"/>
        </w:rPr>
      </w:pPr>
      <w:proofErr w:type="gramStart"/>
      <w:r>
        <w:rPr>
          <w:rFonts w:ascii="Arial" w:hAnsi="Arial" w:cs="Arial"/>
          <w:i/>
          <w:iCs/>
          <w:szCs w:val="20"/>
        </w:rPr>
        <w:t>Nonqualified stock options.</w:t>
      </w:r>
      <w:proofErr w:type="gramEnd"/>
      <w:r>
        <w:rPr>
          <w:rFonts w:ascii="Arial" w:hAnsi="Arial" w:cs="Arial"/>
          <w:szCs w:val="20"/>
        </w:rPr>
        <w:t xml:space="preserve"> No income is generally recognized by a participant upon the grant of a nonqualified stock option. Upon exercise, the participant will recognize ordinary income in an amount equal to the excess of the fair market value of a share of common stock on the date of exercise over the exercise price, multiplied by the number of shares received pursuant to the exercise of the option. The Company generally is entitled to a tax deduction in an amount equal to the compensation income recognized by the participant. Upon a subsequent sale of the common stock acquired under a nonqualified stock option, the participant will recognize short-term or long-term capital gain or loss depending on the holding period. The gain or loss will be short-term if the shares were disposed of within one year after the nonqualified stock option is </w:t>
      </w:r>
      <w:proofErr w:type="gramStart"/>
      <w:r>
        <w:rPr>
          <w:rFonts w:ascii="Arial" w:hAnsi="Arial" w:cs="Arial"/>
          <w:szCs w:val="20"/>
        </w:rPr>
        <w:t>exercised,</w:t>
      </w:r>
      <w:proofErr w:type="gramEnd"/>
      <w:r>
        <w:rPr>
          <w:rFonts w:ascii="Arial" w:hAnsi="Arial" w:cs="Arial"/>
          <w:szCs w:val="20"/>
        </w:rPr>
        <w:t xml:space="preserve"> and long-term if such shares were held for more than one year after such exercise date.</w:t>
      </w:r>
    </w:p>
    <w:p w:rsidR="00376768" w:rsidRDefault="00EC2B72">
      <w:pPr>
        <w:spacing w:before="160" w:after="100"/>
        <w:ind w:firstLine="360"/>
        <w:jc w:val="both"/>
        <w:rPr>
          <w:rFonts w:ascii="Arial" w:hAnsi="Arial" w:cs="Arial"/>
          <w:szCs w:val="20"/>
        </w:rPr>
      </w:pPr>
      <w:proofErr w:type="gramStart"/>
      <w:r>
        <w:rPr>
          <w:rFonts w:ascii="Arial" w:hAnsi="Arial" w:cs="Arial"/>
          <w:i/>
          <w:iCs/>
          <w:szCs w:val="20"/>
        </w:rPr>
        <w:t>Incentive stock options.</w:t>
      </w:r>
      <w:proofErr w:type="gramEnd"/>
      <w:r>
        <w:rPr>
          <w:rFonts w:ascii="Arial" w:hAnsi="Arial" w:cs="Arial"/>
          <w:i/>
          <w:iCs/>
          <w:szCs w:val="20"/>
        </w:rPr>
        <w:t xml:space="preserve"> </w:t>
      </w:r>
      <w:r>
        <w:rPr>
          <w:rFonts w:ascii="Arial" w:hAnsi="Arial" w:cs="Arial"/>
          <w:szCs w:val="20"/>
        </w:rPr>
        <w:t xml:space="preserve">Options issued under the Amended Plan and designated as incentive stock options are intended to qualify as such under Section 422 of the Code. No taxable income is recognized by the participant upon the grant or exercise of an incentive stock option and the Company will not be entitled to a deduction at the time of the grant or exercise of the option; provided, however, that the difference between the fair market value of the common stock received on the exercise date and the exercise price paid is an item of tax preference for purposes of determining the participant’s alternative minimum tax. The taxation of gain or loss upon the sale of the common stock acquired upon exercise of an incentive stock option depends, in part, on whether the holding period of the common stock is at least (i) two years from the date the option was granted and (ii) one year from the date the option was exercised. If these holding period requirements are satisfied, any gain or loss realized on a subsequent disposition of the common stock will be treated as a long-term capital gain or loss. If these holding period requirements are not met, then upon such “disqualifying disposition” of the common stock, the participant will realize compensation, taxable as ordinary income, in an amount equal to the excess of the fair market value of the common stock at the time of exercise over the option price, limited to the gain on such sale. Any further gain (or loss) realized by the participant generally will be taxed as short-term or long-term capital gain (or loss), depending on the holding period. If the participant recognizes ordinary income upon a disqualifying disposition, the Company generally will be entitled to a tax deduction in the same amount. If, however, the </w:t>
      </w:r>
      <w:r>
        <w:rPr>
          <w:rFonts w:ascii="Arial" w:hAnsi="Arial" w:cs="Arial"/>
          <w:szCs w:val="20"/>
        </w:rPr>
        <w:lastRenderedPageBreak/>
        <w:t>participant meets the applicable holding period, the Company generally will not be entitled to a tax deduction with respect to capital gains recognized by the participant. If an incentive stock option is exercised at a time when it no longer qualifies as an incentive stock option, the option will be treated as a nonqualified stock option.</w:t>
      </w:r>
    </w:p>
    <w:p w:rsidR="00376768" w:rsidRDefault="00EC2B72">
      <w:pPr>
        <w:spacing w:before="160" w:after="100"/>
        <w:ind w:firstLine="360"/>
        <w:jc w:val="both"/>
        <w:rPr>
          <w:rFonts w:ascii="Arial" w:hAnsi="Arial" w:cs="Arial"/>
          <w:szCs w:val="20"/>
        </w:rPr>
      </w:pPr>
      <w:r>
        <w:rPr>
          <w:rFonts w:ascii="Arial" w:hAnsi="Arial" w:cs="Arial"/>
          <w:i/>
          <w:iCs/>
          <w:szCs w:val="20"/>
        </w:rPr>
        <w:t>Restricted stock awards.</w:t>
      </w:r>
      <w:r>
        <w:rPr>
          <w:rFonts w:ascii="Arial" w:hAnsi="Arial" w:cs="Arial"/>
          <w:szCs w:val="20"/>
        </w:rPr>
        <w:t xml:space="preserve"> A recipient of restricted stock normally will not be required to recognize income for federal income tax purposes at the time of grant, nor is the Company entitled to any deduction, to the extent that the common stock awarded has not vested (i.e., is no longer subject to a substantial risk of forfeiture). When any portion of the restricted stock award vests, the participant will recognize ordinary income in an amount equal to the fair market value of the vested common stock on the vesting date (less the amount, if any, paid for the stock). The participant may, however, make an election under Section 83(b) of the Code within 30 days of the date of the grant of the restricted stock award, to be taxed at the time of the grant of the award based on the fair market value of the common stock on grant date. A participant who makes a Section 83(b) election will recognize ordinary taxable income on the grant date equal to the fair market value of the shares as if the shares were unrestricted. If the shares subject to such election are subsequently forfeited, the recipient will not be entitled to any deduction, refund or loss for tax purposes with respect to the forfeited shares. If a Section 83(b) election has not been made, any dividends received with respect to the restricted stock award prior to the lapse of the restrictions will be treated as additional compensation that is taxable as ordinary income to the participant. The Company generally is entitled to a deduction for compensation paid to a participant at the same time and in the same amount as the participant recognizes ordinary income. Upon sale of the vested common stock, the participant will realize short-term or long-term capital gain or loss, depending on the holding period. The holding period generally begins when the restriction period expires. If the recipient timely made a Section 83(b) election, the holding period commences on the date of the grant.</w:t>
      </w:r>
    </w:p>
    <w:p w:rsidR="00376768" w:rsidRDefault="00EC2B72">
      <w:pPr>
        <w:spacing w:before="160"/>
        <w:ind w:firstLine="360"/>
        <w:jc w:val="both"/>
        <w:rPr>
          <w:rFonts w:ascii="Arial" w:hAnsi="Arial" w:cs="Arial"/>
          <w:szCs w:val="20"/>
        </w:rPr>
      </w:pPr>
      <w:proofErr w:type="gramStart"/>
      <w:r>
        <w:rPr>
          <w:rFonts w:ascii="Arial" w:hAnsi="Arial" w:cs="Arial"/>
          <w:i/>
          <w:iCs/>
          <w:szCs w:val="20"/>
        </w:rPr>
        <w:t>Restricted stock units.</w:t>
      </w:r>
      <w:proofErr w:type="gramEnd"/>
      <w:r>
        <w:rPr>
          <w:rFonts w:ascii="Arial" w:hAnsi="Arial" w:cs="Arial"/>
          <w:szCs w:val="20"/>
        </w:rPr>
        <w:t xml:space="preserve"> A recipient of restricted stock units will not be required to recognize any income for federal income tax purposes, and the Company is not entitled to a deduction, at the time of grant. Rather, upon the settlement of units, the recipient of such units generally will be subject to tax at ordinary income rates on the fair market value of any common stock issued or cash paid in settlement of the award of such units, and the Company generally will be entitled to a deduction equal to the amount of the ordinary income realized by the recipient. If the recipient receives shares of common stock upon settlement then, upon disposition of such shares, appreciation, or depreciation after the settlement date is treated as either short-term or long-term capital gain or loss, depending on how long the shares have been held.</w:t>
      </w:r>
    </w:p>
    <w:p w:rsidR="00376768" w:rsidRDefault="00EC2B72">
      <w:pPr>
        <w:spacing w:before="160"/>
        <w:ind w:firstLine="360"/>
        <w:jc w:val="both"/>
        <w:rPr>
          <w:rFonts w:ascii="Arial" w:hAnsi="Arial" w:cs="Arial"/>
          <w:szCs w:val="20"/>
        </w:rPr>
      </w:pPr>
      <w:proofErr w:type="gramStart"/>
      <w:r>
        <w:rPr>
          <w:rFonts w:ascii="Arial" w:hAnsi="Arial" w:cs="Arial"/>
          <w:i/>
          <w:iCs/>
          <w:szCs w:val="20"/>
        </w:rPr>
        <w:t>Performance-based grants</w:t>
      </w:r>
      <w:r>
        <w:rPr>
          <w:rFonts w:ascii="Arial" w:hAnsi="Arial" w:cs="Arial"/>
          <w:szCs w:val="20"/>
        </w:rPr>
        <w:t>.</w:t>
      </w:r>
      <w:proofErr w:type="gramEnd"/>
      <w:r>
        <w:rPr>
          <w:rFonts w:ascii="Arial" w:hAnsi="Arial" w:cs="Arial"/>
          <w:szCs w:val="20"/>
        </w:rPr>
        <w:t xml:space="preserve"> A participant generally will not recognize income upon the grant of a performance award. Upon payment of the performance award, the participant will recognize ordinary income in an amount equal to the cash received or, if the performance award is payable in common stock, the fair market value of the common stock received. When the participant recognizes ordinary income upon payment of a performance award, the Company will generally be entitled to a tax deduction in the same amount.</w:t>
      </w:r>
    </w:p>
    <w:p w:rsidR="00376768" w:rsidRDefault="00EC2B72">
      <w:pPr>
        <w:spacing w:before="160"/>
        <w:ind w:firstLine="360"/>
        <w:jc w:val="both"/>
        <w:rPr>
          <w:rFonts w:ascii="Arial" w:hAnsi="Arial" w:cs="Arial"/>
          <w:szCs w:val="20"/>
        </w:rPr>
      </w:pPr>
      <w:r>
        <w:rPr>
          <w:rFonts w:ascii="Arial" w:hAnsi="Arial" w:cs="Arial"/>
          <w:i/>
          <w:iCs/>
          <w:szCs w:val="20"/>
        </w:rPr>
        <w:t>Stock appreciation rights.</w:t>
      </w:r>
      <w:r>
        <w:rPr>
          <w:rFonts w:ascii="Arial" w:hAnsi="Arial" w:cs="Arial"/>
          <w:szCs w:val="20"/>
        </w:rPr>
        <w:t xml:space="preserve"> SARs are treated very similarly to nonqualified stock options for tax purposes. A participant receiving a SAR will not normally recognize any taxable income upon the grant of the SAR. Upon the exercise of a SAR, the participant will recognize ordinary income in an amount equal to either: (i) the fair market value of the shares of common stock; or (ii) the amount of cash received. The Company is generally entitled to a tax deduction in an amount equal to the compensation income recognized by the participant. Shares of common stock received upon the exercise of a SAR will, upon subsequent sale, be eligible for capital gain treatment, with the capital gain holding period commencing on the date of exercise of the SAR.</w:t>
      </w:r>
    </w:p>
    <w:p w:rsidR="00376768" w:rsidRDefault="00EC2B72">
      <w:pPr>
        <w:spacing w:before="160"/>
        <w:ind w:firstLine="360"/>
        <w:jc w:val="both"/>
        <w:rPr>
          <w:rFonts w:ascii="Arial" w:hAnsi="Arial" w:cs="Arial"/>
          <w:szCs w:val="20"/>
        </w:rPr>
      </w:pPr>
      <w:r>
        <w:rPr>
          <w:rFonts w:ascii="Arial" w:hAnsi="Arial" w:cs="Arial"/>
          <w:i/>
          <w:iCs/>
          <w:szCs w:val="20"/>
        </w:rPr>
        <w:t xml:space="preserve">Unrestricted stock awards. </w:t>
      </w:r>
      <w:r>
        <w:rPr>
          <w:rFonts w:ascii="Arial" w:hAnsi="Arial" w:cs="Arial"/>
          <w:szCs w:val="20"/>
        </w:rPr>
        <w:t>The tax consequences of receiving common stock pursuant to any other share-based incentive award under the Amended Plan are similar to receiving cash compensation from the Company, unless the common stock awarded is restricted stock (i.e., subject to a substantial risk of forfeiture). If the shares of common stock are unrestricted (i.e., not subject to a substantial risk of forfeiture), the participant must recognize ordinary income equal to the fair market value of the common stock received, less any amount paid for common stock. The Company generally is entitled to a tax deduction for compensation paid to a participant at the same time and in the same amount as the participant recognizes ordinary income.</w:t>
      </w:r>
    </w:p>
    <w:p w:rsidR="00376768" w:rsidRDefault="00EC2B72">
      <w:pPr>
        <w:spacing w:before="160"/>
        <w:ind w:firstLine="360"/>
        <w:jc w:val="both"/>
        <w:rPr>
          <w:rFonts w:ascii="Arial" w:hAnsi="Arial" w:cs="Arial"/>
          <w:szCs w:val="20"/>
        </w:rPr>
      </w:pPr>
      <w:proofErr w:type="gramStart"/>
      <w:r>
        <w:rPr>
          <w:rFonts w:ascii="Arial" w:hAnsi="Arial" w:cs="Arial"/>
          <w:i/>
          <w:iCs/>
          <w:szCs w:val="20"/>
        </w:rPr>
        <w:t>Cash awards and other incentive awards.</w:t>
      </w:r>
      <w:proofErr w:type="gramEnd"/>
      <w:r>
        <w:rPr>
          <w:rFonts w:ascii="Arial" w:hAnsi="Arial" w:cs="Arial"/>
          <w:i/>
          <w:iCs/>
          <w:szCs w:val="20"/>
        </w:rPr>
        <w:t xml:space="preserve"> </w:t>
      </w:r>
      <w:r>
        <w:rPr>
          <w:rFonts w:ascii="Arial" w:hAnsi="Arial" w:cs="Arial"/>
          <w:szCs w:val="20"/>
        </w:rPr>
        <w:t>A participant will recognize ordinary income upon receipt of cash pursuant to a cash award. The Company generally will be entitled to a deduction equal to the amount of the ordinary income realized by the participant. The federal income tax consequences of other incentive awards will depend on how the awards are structured. Generally, the Company will be entitled to a deduction with respect to other incentive awards only to the extent that the recipient realizes compensation income in connection with such awards.</w:t>
      </w:r>
    </w:p>
    <w:p w:rsidR="00376768" w:rsidRDefault="00EC2B72">
      <w:pPr>
        <w:spacing w:before="160"/>
        <w:ind w:firstLine="360"/>
        <w:jc w:val="both"/>
        <w:rPr>
          <w:rFonts w:ascii="Arial" w:hAnsi="Arial" w:cs="Arial"/>
          <w:szCs w:val="20"/>
        </w:rPr>
      </w:pPr>
      <w:proofErr w:type="gramStart"/>
      <w:r>
        <w:rPr>
          <w:rFonts w:ascii="Arial" w:hAnsi="Arial" w:cs="Arial"/>
          <w:i/>
          <w:iCs/>
          <w:szCs w:val="20"/>
        </w:rPr>
        <w:t>Section 409A of the Code.</w:t>
      </w:r>
      <w:proofErr w:type="gramEnd"/>
      <w:r>
        <w:rPr>
          <w:rFonts w:ascii="Arial" w:hAnsi="Arial" w:cs="Arial"/>
          <w:i/>
          <w:iCs/>
          <w:szCs w:val="20"/>
        </w:rPr>
        <w:t xml:space="preserve"> </w:t>
      </w:r>
      <w:r>
        <w:rPr>
          <w:rFonts w:ascii="Arial" w:hAnsi="Arial" w:cs="Arial"/>
          <w:szCs w:val="20"/>
        </w:rPr>
        <w:t xml:space="preserve">Awards of stock options, SARs, restricted stock units, other share-based awards, and performance grants under the Plan may, in certain instances, result in the deferral of compensation that is subject to the requirements of Section 409A of the Code. Generally, to the extent that these awards fail to meet certain requirements under Section 409A, the regulations issued thereunder or an exception thereto, the award recipient will be subject to </w:t>
      </w:r>
      <w:r>
        <w:rPr>
          <w:rFonts w:ascii="Arial" w:hAnsi="Arial" w:cs="Arial"/>
          <w:szCs w:val="20"/>
        </w:rPr>
        <w:lastRenderedPageBreak/>
        <w:t>immediate taxation, interest and tax penalties in the year the award vests. Section 409A generally does not impose any penalties on the Company and does limit the Company’s deduction with respect to compensation paid to a participant. It is our intent that awards under the Amended Plan will be structured and administered in a manner that complies with the requirements of Section 409A of the Code, or an exception thereto.</w:t>
      </w:r>
    </w:p>
    <w:p w:rsidR="00376768" w:rsidRDefault="00EC2B72">
      <w:pPr>
        <w:spacing w:before="160"/>
        <w:jc w:val="both"/>
        <w:rPr>
          <w:rFonts w:ascii="Arial" w:hAnsi="Arial" w:cs="Arial"/>
          <w:szCs w:val="20"/>
        </w:rPr>
      </w:pPr>
      <w:r>
        <w:rPr>
          <w:rFonts w:ascii="Arial" w:hAnsi="Arial" w:cs="Arial"/>
          <w:b/>
          <w:bCs/>
          <w:szCs w:val="20"/>
        </w:rPr>
        <w:t>Benefits to Named Executive Officers and Others</w:t>
      </w:r>
    </w:p>
    <w:p w:rsidR="00376768" w:rsidRDefault="00EC2B72">
      <w:pPr>
        <w:spacing w:before="160"/>
        <w:jc w:val="both"/>
        <w:rPr>
          <w:rFonts w:ascii="Arial" w:hAnsi="Arial" w:cs="Arial"/>
          <w:szCs w:val="20"/>
        </w:rPr>
      </w:pPr>
      <w:r>
        <w:rPr>
          <w:rFonts w:ascii="Arial" w:hAnsi="Arial" w:cs="Arial"/>
          <w:szCs w:val="20"/>
          <w:u w:val="single"/>
        </w:rPr>
        <w:t>Plan Benefits</w:t>
      </w:r>
    </w:p>
    <w:p w:rsidR="00376768" w:rsidRDefault="00EC2B72">
      <w:pPr>
        <w:spacing w:before="160"/>
        <w:ind w:firstLine="360"/>
        <w:jc w:val="both"/>
        <w:rPr>
          <w:rFonts w:ascii="Arial" w:hAnsi="Arial" w:cs="Arial"/>
          <w:szCs w:val="20"/>
        </w:rPr>
      </w:pPr>
      <w:r>
        <w:rPr>
          <w:rFonts w:ascii="Arial" w:hAnsi="Arial" w:cs="Arial"/>
          <w:szCs w:val="20"/>
        </w:rPr>
        <w:t xml:space="preserve">The benefits that will be awarded or paid under the Amended Plan currently are not determinable. Awards granted under the Current Plan and the Amended Plan </w:t>
      </w:r>
      <w:proofErr w:type="gramStart"/>
      <w:r>
        <w:rPr>
          <w:rFonts w:ascii="Arial" w:hAnsi="Arial" w:cs="Arial"/>
          <w:szCs w:val="20"/>
        </w:rPr>
        <w:t>are</w:t>
      </w:r>
      <w:proofErr w:type="gramEnd"/>
      <w:r>
        <w:rPr>
          <w:rFonts w:ascii="Arial" w:hAnsi="Arial" w:cs="Arial"/>
          <w:szCs w:val="20"/>
        </w:rPr>
        <w:t xml:space="preserve"> within the Committee’s discretion, and the Committee has not yet determined the value or amount of future awards or which individuals may receive them.</w:t>
      </w:r>
    </w:p>
    <w:p w:rsidR="00376768" w:rsidRDefault="00EC2B72">
      <w:pPr>
        <w:spacing w:before="160"/>
        <w:ind w:firstLine="360"/>
        <w:jc w:val="both"/>
        <w:rPr>
          <w:rFonts w:ascii="Arial" w:hAnsi="Arial" w:cs="Arial"/>
          <w:szCs w:val="20"/>
        </w:rPr>
      </w:pPr>
      <w:r>
        <w:rPr>
          <w:rFonts w:ascii="Arial" w:hAnsi="Arial" w:cs="Arial"/>
          <w:szCs w:val="20"/>
        </w:rPr>
        <w:t>Because our executive officers and non-employee directors are eligible to receive awards under the Amended Plan, they may be deemed to have a personal interest in the approval of this Proposal 4.</w:t>
      </w:r>
    </w:p>
    <w:p w:rsidR="00376768" w:rsidRDefault="00EC2B72">
      <w:pPr>
        <w:spacing w:before="160"/>
        <w:ind w:firstLine="360"/>
        <w:jc w:val="both"/>
        <w:rPr>
          <w:rFonts w:ascii="Arial" w:hAnsi="Arial" w:cs="Arial"/>
          <w:szCs w:val="20"/>
        </w:rPr>
      </w:pPr>
      <w:r>
        <w:rPr>
          <w:rFonts w:ascii="Arial" w:hAnsi="Arial" w:cs="Arial"/>
          <w:szCs w:val="20"/>
        </w:rPr>
        <w:t>Information regarding the shares of common stock and related securities previously authorized for issuance under the Current Plan is set forth under “Securities Authorized for Issuance under the Equity Compensation Plans” below.</w:t>
      </w:r>
    </w:p>
    <w:p w:rsidR="00376768" w:rsidRDefault="00EC2B72">
      <w:pPr>
        <w:spacing w:before="160" w:after="100"/>
        <w:jc w:val="center"/>
        <w:rPr>
          <w:rFonts w:ascii="Arial" w:hAnsi="Arial" w:cs="Arial"/>
          <w:b/>
          <w:szCs w:val="20"/>
        </w:rPr>
      </w:pPr>
      <w:r>
        <w:rPr>
          <w:rFonts w:ascii="Arial" w:hAnsi="Arial" w:cs="Arial"/>
          <w:b/>
          <w:szCs w:val="20"/>
        </w:rPr>
        <w:t>The Board of Directors recommends that you vote “FOR” approval of the 2006 Omnibus Incentive Plan (As Amended and Restated).</w:t>
      </w:r>
    </w:p>
    <w:p w:rsidR="00376768" w:rsidRDefault="00EC2B72">
      <w:pPr>
        <w:jc w:val="center"/>
        <w:rPr>
          <w:rFonts w:ascii="Arial" w:hAnsi="Arial" w:cs="Arial"/>
          <w:b/>
          <w:bCs/>
        </w:rPr>
      </w:pPr>
      <w:r>
        <w:rPr>
          <w:rFonts w:ascii="Arial" w:hAnsi="Arial" w:cs="Arial"/>
          <w:szCs w:val="20"/>
        </w:rPr>
        <w:br w:type="page"/>
      </w:r>
      <w:r>
        <w:rPr>
          <w:rFonts w:ascii="Arial" w:hAnsi="Arial" w:cs="Arial"/>
          <w:b/>
          <w:bCs/>
        </w:rPr>
        <w:lastRenderedPageBreak/>
        <w:t>SECURITIES AUTHORIZED FOR ISSUANCE UNDER THE EQUITY COMPENSATION PLAN AS OF DECEMBER 31, 2017</w:t>
      </w:r>
    </w:p>
    <w:p w:rsidR="00376768" w:rsidRDefault="00376768">
      <w:pPr>
        <w:rPr>
          <w:rFonts w:ascii="Arial" w:hAnsi="Arial" w:cs="Arial"/>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951"/>
        <w:gridCol w:w="2860"/>
        <w:gridCol w:w="2782"/>
        <w:gridCol w:w="3217"/>
      </w:tblGrid>
      <w:tr w:rsidR="00376768">
        <w:tc>
          <w:tcPr>
            <w:tcW w:w="902" w:type="pct"/>
            <w:tcBorders>
              <w:top w:val="single" w:sz="4" w:space="0" w:color="auto"/>
              <w:bottom w:val="single" w:sz="4" w:space="0" w:color="auto"/>
              <w:right w:val="single" w:sz="4" w:space="0" w:color="auto"/>
            </w:tcBorders>
            <w:vAlign w:val="bottom"/>
          </w:tcPr>
          <w:p w:rsidR="00376768" w:rsidRDefault="00EC2B72">
            <w:pPr>
              <w:spacing w:before="40" w:after="40"/>
              <w:ind w:left="60" w:right="60"/>
              <w:jc w:val="center"/>
              <w:rPr>
                <w:rFonts w:ascii="Arial" w:hAnsi="Arial" w:cs="Arial"/>
                <w:sz w:val="18"/>
                <w:szCs w:val="16"/>
              </w:rPr>
            </w:pPr>
            <w:r>
              <w:rPr>
                <w:rFonts w:ascii="Arial" w:hAnsi="Arial" w:cs="Arial"/>
                <w:sz w:val="18"/>
                <w:szCs w:val="16"/>
              </w:rPr>
              <w:t>Plan Category</w:t>
            </w:r>
          </w:p>
        </w:tc>
        <w:tc>
          <w:tcPr>
            <w:tcW w:w="1323" w:type="pct"/>
            <w:tcBorders>
              <w:top w:val="single" w:sz="4" w:space="0" w:color="auto"/>
              <w:left w:val="nil"/>
              <w:bottom w:val="single" w:sz="4" w:space="0" w:color="auto"/>
            </w:tcBorders>
            <w:vAlign w:val="bottom"/>
          </w:tcPr>
          <w:p w:rsidR="00376768" w:rsidRDefault="00EC2B72">
            <w:pPr>
              <w:spacing w:before="40" w:after="40"/>
              <w:ind w:left="60" w:right="60"/>
              <w:jc w:val="center"/>
              <w:rPr>
                <w:rFonts w:ascii="Arial" w:hAnsi="Arial" w:cs="Arial"/>
                <w:sz w:val="18"/>
                <w:szCs w:val="16"/>
              </w:rPr>
            </w:pPr>
            <w:r>
              <w:rPr>
                <w:rFonts w:ascii="Arial" w:hAnsi="Arial" w:cs="Arial"/>
                <w:sz w:val="18"/>
                <w:szCs w:val="16"/>
              </w:rPr>
              <w:t xml:space="preserve">Number of securities to be issued </w:t>
            </w:r>
            <w:r>
              <w:rPr>
                <w:rFonts w:ascii="Arial" w:hAnsi="Arial" w:cs="Arial"/>
                <w:sz w:val="18"/>
                <w:szCs w:val="16"/>
              </w:rPr>
              <w:br/>
              <w:t xml:space="preserve">upon exercise of outstanding </w:t>
            </w:r>
            <w:r>
              <w:rPr>
                <w:rFonts w:ascii="Arial" w:hAnsi="Arial" w:cs="Arial"/>
                <w:sz w:val="18"/>
                <w:szCs w:val="16"/>
              </w:rPr>
              <w:br/>
              <w:t>options, warrants, and rights (a)</w:t>
            </w:r>
          </w:p>
        </w:tc>
        <w:tc>
          <w:tcPr>
            <w:tcW w:w="1287" w:type="pct"/>
            <w:tcBorders>
              <w:top w:val="single" w:sz="4" w:space="0" w:color="auto"/>
              <w:left w:val="single" w:sz="4" w:space="0" w:color="auto"/>
              <w:bottom w:val="single" w:sz="4" w:space="0" w:color="auto"/>
              <w:right w:val="nil"/>
            </w:tcBorders>
            <w:vAlign w:val="bottom"/>
          </w:tcPr>
          <w:p w:rsidR="00376768" w:rsidRDefault="00EC2B72">
            <w:pPr>
              <w:spacing w:before="40" w:after="40"/>
              <w:ind w:left="60" w:right="60"/>
              <w:jc w:val="center"/>
              <w:rPr>
                <w:rFonts w:ascii="Arial" w:hAnsi="Arial" w:cs="Arial"/>
                <w:sz w:val="18"/>
                <w:szCs w:val="16"/>
              </w:rPr>
            </w:pPr>
            <w:r>
              <w:rPr>
                <w:rFonts w:ascii="Arial" w:hAnsi="Arial" w:cs="Arial"/>
                <w:sz w:val="18"/>
                <w:szCs w:val="16"/>
              </w:rPr>
              <w:t xml:space="preserve">Weighted-average exercise price </w:t>
            </w:r>
            <w:r>
              <w:rPr>
                <w:rFonts w:ascii="Arial" w:hAnsi="Arial" w:cs="Arial"/>
                <w:sz w:val="18"/>
                <w:szCs w:val="16"/>
              </w:rPr>
              <w:br/>
              <w:t xml:space="preserve">of outstanding options, warrants, </w:t>
            </w:r>
            <w:r>
              <w:rPr>
                <w:rFonts w:ascii="Arial" w:hAnsi="Arial" w:cs="Arial"/>
                <w:sz w:val="18"/>
                <w:szCs w:val="16"/>
              </w:rPr>
              <w:br/>
              <w:t>and rights (b)</w:t>
            </w:r>
          </w:p>
        </w:tc>
        <w:tc>
          <w:tcPr>
            <w:tcW w:w="1488" w:type="pct"/>
            <w:tcBorders>
              <w:top w:val="single" w:sz="4" w:space="0" w:color="auto"/>
              <w:left w:val="single" w:sz="4" w:space="0" w:color="auto"/>
              <w:bottom w:val="single" w:sz="4" w:space="0" w:color="auto"/>
            </w:tcBorders>
            <w:vAlign w:val="bottom"/>
          </w:tcPr>
          <w:p w:rsidR="00376768" w:rsidRDefault="00EC2B72">
            <w:pPr>
              <w:spacing w:before="40" w:after="40"/>
              <w:ind w:left="60" w:right="60"/>
              <w:jc w:val="center"/>
              <w:rPr>
                <w:rFonts w:ascii="Arial" w:hAnsi="Arial" w:cs="Arial"/>
                <w:sz w:val="18"/>
                <w:szCs w:val="16"/>
              </w:rPr>
            </w:pPr>
            <w:r>
              <w:rPr>
                <w:rFonts w:ascii="Arial" w:hAnsi="Arial" w:cs="Arial"/>
                <w:sz w:val="18"/>
                <w:szCs w:val="16"/>
              </w:rPr>
              <w:t xml:space="preserve">Number of securities remaining </w:t>
            </w:r>
            <w:r>
              <w:rPr>
                <w:rFonts w:ascii="Arial" w:hAnsi="Arial" w:cs="Arial"/>
                <w:sz w:val="18"/>
                <w:szCs w:val="16"/>
              </w:rPr>
              <w:br/>
              <w:t xml:space="preserve">available for future issuance under </w:t>
            </w:r>
            <w:r>
              <w:rPr>
                <w:rFonts w:ascii="Arial" w:hAnsi="Arial" w:cs="Arial"/>
                <w:sz w:val="18"/>
                <w:szCs w:val="16"/>
              </w:rPr>
              <w:br/>
              <w:t xml:space="preserve">equity compensation plans (excluding </w:t>
            </w:r>
            <w:r>
              <w:rPr>
                <w:rFonts w:ascii="Arial" w:hAnsi="Arial" w:cs="Arial"/>
                <w:sz w:val="18"/>
                <w:szCs w:val="16"/>
              </w:rPr>
              <w:br/>
              <w:t>securities reflected in column (a)) (c)</w:t>
            </w:r>
          </w:p>
        </w:tc>
      </w:tr>
      <w:tr w:rsidR="00376768">
        <w:tc>
          <w:tcPr>
            <w:tcW w:w="902" w:type="pct"/>
            <w:tcBorders>
              <w:top w:val="single" w:sz="4" w:space="0" w:color="auto"/>
              <w:bottom w:val="single" w:sz="4" w:space="0" w:color="auto"/>
              <w:right w:val="single" w:sz="4" w:space="0" w:color="auto"/>
            </w:tcBorders>
          </w:tcPr>
          <w:p w:rsidR="00376768" w:rsidRDefault="00EC2B72">
            <w:pPr>
              <w:spacing w:before="40" w:after="40"/>
              <w:ind w:left="173"/>
              <w:rPr>
                <w:rFonts w:ascii="Arial" w:hAnsi="Arial" w:cs="Arial"/>
                <w:sz w:val="18"/>
              </w:rPr>
            </w:pPr>
            <w:r>
              <w:rPr>
                <w:rFonts w:ascii="Arial" w:hAnsi="Arial" w:cs="Arial"/>
                <w:sz w:val="18"/>
              </w:rPr>
              <w:t>Equity compensation plans approved by shareholders</w:t>
            </w:r>
          </w:p>
        </w:tc>
        <w:tc>
          <w:tcPr>
            <w:tcW w:w="1323" w:type="pct"/>
            <w:tcBorders>
              <w:top w:val="single" w:sz="4" w:space="0" w:color="auto"/>
              <w:left w:val="nil"/>
              <w:bottom w:val="single" w:sz="4" w:space="0" w:color="auto"/>
            </w:tcBorders>
            <w:vAlign w:val="center"/>
          </w:tcPr>
          <w:p w:rsidR="00376768" w:rsidRDefault="00EC2B72">
            <w:pPr>
              <w:spacing w:before="40" w:after="40"/>
              <w:jc w:val="center"/>
              <w:rPr>
                <w:rFonts w:ascii="Arial" w:hAnsi="Arial" w:cs="Arial"/>
                <w:sz w:val="18"/>
              </w:rPr>
            </w:pPr>
            <w:r>
              <w:rPr>
                <w:rFonts w:ascii="Arial" w:hAnsi="Arial" w:cs="Arial"/>
                <w:sz w:val="18"/>
              </w:rPr>
              <w:t>476,933</w:t>
            </w:r>
            <w:r>
              <w:rPr>
                <w:rFonts w:ascii="Arial" w:hAnsi="Arial" w:cs="Arial"/>
                <w:sz w:val="18"/>
                <w:vertAlign w:val="superscript"/>
              </w:rPr>
              <w:t>(1)</w:t>
            </w:r>
          </w:p>
        </w:tc>
        <w:tc>
          <w:tcPr>
            <w:tcW w:w="1287" w:type="pct"/>
            <w:tcBorders>
              <w:top w:val="single" w:sz="4" w:space="0" w:color="auto"/>
              <w:left w:val="single" w:sz="4" w:space="0" w:color="auto"/>
              <w:bottom w:val="single" w:sz="4" w:space="0" w:color="auto"/>
              <w:right w:val="nil"/>
            </w:tcBorders>
            <w:vAlign w:val="center"/>
          </w:tcPr>
          <w:p w:rsidR="00376768" w:rsidRDefault="00EC2B72">
            <w:pPr>
              <w:spacing w:before="40" w:after="40"/>
              <w:jc w:val="center"/>
              <w:rPr>
                <w:rFonts w:ascii="Arial" w:hAnsi="Arial" w:cs="Arial"/>
                <w:sz w:val="18"/>
              </w:rPr>
            </w:pPr>
            <w:r>
              <w:rPr>
                <w:rFonts w:ascii="Arial" w:hAnsi="Arial" w:cs="Arial"/>
                <w:sz w:val="18"/>
              </w:rPr>
              <w:t>$-</w:t>
            </w:r>
            <w:r>
              <w:rPr>
                <w:rFonts w:ascii="Arial" w:hAnsi="Arial" w:cs="Arial"/>
                <w:sz w:val="18"/>
                <w:vertAlign w:val="superscript"/>
              </w:rPr>
              <w:t>(2)</w:t>
            </w:r>
          </w:p>
        </w:tc>
        <w:tc>
          <w:tcPr>
            <w:tcW w:w="1488" w:type="pct"/>
            <w:tcBorders>
              <w:top w:val="single" w:sz="4" w:space="0" w:color="auto"/>
              <w:left w:val="single" w:sz="4" w:space="0" w:color="auto"/>
              <w:bottom w:val="single" w:sz="4" w:space="0" w:color="auto"/>
            </w:tcBorders>
            <w:vAlign w:val="center"/>
          </w:tcPr>
          <w:p w:rsidR="00376768" w:rsidRDefault="00EC2B72">
            <w:pPr>
              <w:spacing w:before="40" w:after="40"/>
              <w:jc w:val="center"/>
              <w:rPr>
                <w:rFonts w:ascii="Arial" w:hAnsi="Arial" w:cs="Arial"/>
                <w:sz w:val="18"/>
              </w:rPr>
            </w:pPr>
            <w:r>
              <w:rPr>
                <w:rFonts w:ascii="Arial" w:hAnsi="Arial" w:cs="Arial"/>
                <w:sz w:val="18"/>
              </w:rPr>
              <w:t>55,352</w:t>
            </w:r>
            <w:r>
              <w:rPr>
                <w:rFonts w:ascii="Arial" w:hAnsi="Arial" w:cs="Arial"/>
                <w:sz w:val="18"/>
                <w:vertAlign w:val="superscript"/>
              </w:rPr>
              <w:t>(3)</w:t>
            </w:r>
          </w:p>
        </w:tc>
      </w:tr>
      <w:tr w:rsidR="00376768">
        <w:tc>
          <w:tcPr>
            <w:tcW w:w="902" w:type="pct"/>
            <w:tcBorders>
              <w:top w:val="single" w:sz="4" w:space="0" w:color="auto"/>
              <w:bottom w:val="single" w:sz="4" w:space="0" w:color="auto"/>
              <w:right w:val="single" w:sz="4" w:space="0" w:color="auto"/>
            </w:tcBorders>
          </w:tcPr>
          <w:p w:rsidR="00376768" w:rsidRDefault="00EC2B72">
            <w:pPr>
              <w:spacing w:before="40" w:after="40"/>
              <w:ind w:left="173"/>
              <w:rPr>
                <w:rFonts w:ascii="Arial" w:hAnsi="Arial" w:cs="Arial"/>
                <w:sz w:val="18"/>
              </w:rPr>
            </w:pPr>
            <w:r>
              <w:rPr>
                <w:rFonts w:ascii="Arial" w:hAnsi="Arial" w:cs="Arial"/>
                <w:sz w:val="18"/>
              </w:rPr>
              <w:t>Equity compensation plans not approved by shareholders</w:t>
            </w:r>
          </w:p>
        </w:tc>
        <w:tc>
          <w:tcPr>
            <w:tcW w:w="1323" w:type="pct"/>
            <w:tcBorders>
              <w:top w:val="single" w:sz="4" w:space="0" w:color="auto"/>
              <w:left w:val="nil"/>
              <w:bottom w:val="single" w:sz="4" w:space="0" w:color="auto"/>
            </w:tcBorders>
            <w:vAlign w:val="center"/>
          </w:tcPr>
          <w:p w:rsidR="00376768" w:rsidRDefault="00EC2B72">
            <w:pPr>
              <w:spacing w:before="40" w:after="40"/>
              <w:jc w:val="center"/>
              <w:rPr>
                <w:rFonts w:ascii="Arial" w:hAnsi="Arial" w:cs="Arial"/>
                <w:sz w:val="18"/>
              </w:rPr>
            </w:pPr>
            <w:r>
              <w:rPr>
                <w:rFonts w:ascii="Arial" w:hAnsi="Arial" w:cs="Arial"/>
                <w:sz w:val="18"/>
              </w:rPr>
              <w:t>-</w:t>
            </w:r>
          </w:p>
        </w:tc>
        <w:tc>
          <w:tcPr>
            <w:tcW w:w="1287" w:type="pct"/>
            <w:tcBorders>
              <w:top w:val="single" w:sz="4" w:space="0" w:color="auto"/>
              <w:left w:val="single" w:sz="4" w:space="0" w:color="auto"/>
              <w:bottom w:val="single" w:sz="4" w:space="0" w:color="auto"/>
              <w:right w:val="nil"/>
            </w:tcBorders>
            <w:vAlign w:val="center"/>
          </w:tcPr>
          <w:p w:rsidR="00376768" w:rsidRDefault="00EC2B72">
            <w:pPr>
              <w:spacing w:before="40" w:after="40"/>
              <w:jc w:val="center"/>
              <w:rPr>
                <w:rFonts w:ascii="Arial" w:hAnsi="Arial" w:cs="Arial"/>
                <w:sz w:val="18"/>
              </w:rPr>
            </w:pPr>
            <w:r>
              <w:rPr>
                <w:rFonts w:ascii="Arial" w:hAnsi="Arial" w:cs="Arial"/>
                <w:sz w:val="18"/>
              </w:rPr>
              <w:t>$-</w:t>
            </w:r>
          </w:p>
        </w:tc>
        <w:tc>
          <w:tcPr>
            <w:tcW w:w="1488" w:type="pct"/>
            <w:tcBorders>
              <w:top w:val="single" w:sz="4" w:space="0" w:color="auto"/>
              <w:left w:val="single" w:sz="4" w:space="0" w:color="auto"/>
              <w:bottom w:val="single" w:sz="4" w:space="0" w:color="auto"/>
            </w:tcBorders>
            <w:vAlign w:val="center"/>
          </w:tcPr>
          <w:p w:rsidR="00376768" w:rsidRDefault="00EC2B72">
            <w:pPr>
              <w:spacing w:before="40" w:after="40"/>
              <w:jc w:val="center"/>
              <w:rPr>
                <w:rFonts w:ascii="Arial" w:hAnsi="Arial" w:cs="Arial"/>
                <w:sz w:val="18"/>
              </w:rPr>
            </w:pPr>
            <w:r>
              <w:rPr>
                <w:rFonts w:ascii="Arial" w:hAnsi="Arial" w:cs="Arial"/>
                <w:sz w:val="18"/>
              </w:rPr>
              <w:t>-</w:t>
            </w:r>
          </w:p>
        </w:tc>
      </w:tr>
      <w:tr w:rsidR="00376768">
        <w:tc>
          <w:tcPr>
            <w:tcW w:w="902" w:type="pct"/>
            <w:tcBorders>
              <w:top w:val="single" w:sz="4" w:space="0" w:color="auto"/>
              <w:bottom w:val="single" w:sz="4" w:space="0" w:color="auto"/>
              <w:right w:val="single" w:sz="4" w:space="0" w:color="auto"/>
            </w:tcBorders>
          </w:tcPr>
          <w:p w:rsidR="00376768" w:rsidRDefault="00EC2B72">
            <w:pPr>
              <w:spacing w:before="40" w:after="40"/>
              <w:ind w:left="173"/>
              <w:rPr>
                <w:rFonts w:ascii="Arial" w:hAnsi="Arial" w:cs="Arial"/>
                <w:sz w:val="18"/>
              </w:rPr>
            </w:pPr>
            <w:r>
              <w:rPr>
                <w:rFonts w:ascii="Arial" w:hAnsi="Arial" w:cs="Arial"/>
                <w:sz w:val="18"/>
              </w:rPr>
              <w:t>Total</w:t>
            </w:r>
          </w:p>
        </w:tc>
        <w:tc>
          <w:tcPr>
            <w:tcW w:w="1323" w:type="pct"/>
            <w:tcBorders>
              <w:top w:val="single" w:sz="4" w:space="0" w:color="auto"/>
              <w:left w:val="nil"/>
              <w:bottom w:val="single" w:sz="4" w:space="0" w:color="auto"/>
            </w:tcBorders>
            <w:vAlign w:val="center"/>
          </w:tcPr>
          <w:p w:rsidR="00376768" w:rsidRDefault="00EC2B72">
            <w:pPr>
              <w:spacing w:before="40" w:after="40"/>
              <w:jc w:val="center"/>
              <w:rPr>
                <w:rFonts w:ascii="Arial" w:hAnsi="Arial" w:cs="Arial"/>
                <w:sz w:val="18"/>
              </w:rPr>
            </w:pPr>
            <w:r>
              <w:rPr>
                <w:rFonts w:ascii="Arial" w:hAnsi="Arial" w:cs="Arial"/>
                <w:sz w:val="18"/>
              </w:rPr>
              <w:t>476,933</w:t>
            </w:r>
            <w:r>
              <w:rPr>
                <w:rFonts w:ascii="Arial" w:hAnsi="Arial" w:cs="Arial"/>
                <w:sz w:val="18"/>
                <w:vertAlign w:val="superscript"/>
              </w:rPr>
              <w:t>(1)</w:t>
            </w:r>
          </w:p>
        </w:tc>
        <w:tc>
          <w:tcPr>
            <w:tcW w:w="1287" w:type="pct"/>
            <w:tcBorders>
              <w:top w:val="single" w:sz="4" w:space="0" w:color="auto"/>
              <w:left w:val="single" w:sz="4" w:space="0" w:color="auto"/>
              <w:bottom w:val="single" w:sz="4" w:space="0" w:color="auto"/>
              <w:right w:val="nil"/>
            </w:tcBorders>
            <w:vAlign w:val="center"/>
          </w:tcPr>
          <w:p w:rsidR="00376768" w:rsidRDefault="00EC2B72">
            <w:pPr>
              <w:spacing w:before="40" w:after="40"/>
              <w:jc w:val="center"/>
              <w:rPr>
                <w:rFonts w:ascii="Arial" w:hAnsi="Arial" w:cs="Arial"/>
                <w:sz w:val="18"/>
              </w:rPr>
            </w:pPr>
            <w:r>
              <w:rPr>
                <w:rFonts w:ascii="Arial" w:hAnsi="Arial" w:cs="Arial"/>
                <w:sz w:val="18"/>
              </w:rPr>
              <w:t>$-</w:t>
            </w:r>
            <w:r>
              <w:rPr>
                <w:rFonts w:ascii="Arial" w:hAnsi="Arial" w:cs="Arial"/>
                <w:sz w:val="18"/>
                <w:vertAlign w:val="superscript"/>
              </w:rPr>
              <w:t>(2)</w:t>
            </w:r>
          </w:p>
        </w:tc>
        <w:tc>
          <w:tcPr>
            <w:tcW w:w="1488" w:type="pct"/>
            <w:tcBorders>
              <w:top w:val="single" w:sz="4" w:space="0" w:color="auto"/>
              <w:left w:val="single" w:sz="4" w:space="0" w:color="auto"/>
            </w:tcBorders>
            <w:vAlign w:val="center"/>
          </w:tcPr>
          <w:p w:rsidR="00376768" w:rsidRDefault="00EC2B72">
            <w:pPr>
              <w:spacing w:before="40" w:after="40"/>
              <w:jc w:val="center"/>
              <w:rPr>
                <w:rFonts w:ascii="Arial" w:hAnsi="Arial" w:cs="Arial"/>
                <w:sz w:val="18"/>
              </w:rPr>
            </w:pPr>
            <w:r>
              <w:rPr>
                <w:rFonts w:ascii="Arial" w:hAnsi="Arial" w:cs="Arial"/>
                <w:sz w:val="18"/>
              </w:rPr>
              <w:t>55,352</w:t>
            </w:r>
            <w:r>
              <w:rPr>
                <w:rFonts w:ascii="Arial" w:hAnsi="Arial" w:cs="Arial"/>
                <w:sz w:val="18"/>
                <w:vertAlign w:val="superscript"/>
              </w:rPr>
              <w:t>(3)</w:t>
            </w:r>
          </w:p>
        </w:tc>
      </w:tr>
    </w:tbl>
    <w:p w:rsidR="00376768" w:rsidRDefault="00376768"/>
    <w:tbl>
      <w:tblPr>
        <w:tblW w:w="5000" w:type="pct"/>
        <w:tblLayout w:type="fixed"/>
        <w:tblCellMar>
          <w:left w:w="0" w:type="dxa"/>
          <w:right w:w="0" w:type="dxa"/>
        </w:tblCellMar>
        <w:tblLook w:val="0000" w:firstRow="0" w:lastRow="0" w:firstColumn="0" w:lastColumn="0" w:noHBand="0" w:noVBand="0"/>
      </w:tblPr>
      <w:tblGrid>
        <w:gridCol w:w="2160"/>
        <w:gridCol w:w="8640"/>
      </w:tblGrid>
      <w:tr w:rsidR="00376768">
        <w:tc>
          <w:tcPr>
            <w:tcW w:w="1000" w:type="pct"/>
            <w:tcBorders>
              <w:bottom w:val="single" w:sz="4" w:space="0" w:color="auto"/>
            </w:tcBorders>
          </w:tcPr>
          <w:p w:rsidR="00376768" w:rsidRDefault="00376768">
            <w:pPr>
              <w:rPr>
                <w:rFonts w:ascii="Arial" w:hAnsi="Arial" w:cs="Arial"/>
                <w:sz w:val="2"/>
                <w:szCs w:val="2"/>
              </w:rPr>
            </w:pPr>
          </w:p>
        </w:tc>
        <w:tc>
          <w:tcPr>
            <w:tcW w:w="4000" w:type="pct"/>
          </w:tcPr>
          <w:p w:rsidR="00376768" w:rsidRDefault="00376768">
            <w:pPr>
              <w:rPr>
                <w:rFonts w:ascii="Arial" w:hAnsi="Arial" w:cs="Arial"/>
                <w:sz w:val="2"/>
                <w:szCs w:val="2"/>
              </w:rPr>
            </w:pPr>
          </w:p>
        </w:tc>
      </w:tr>
    </w:tbl>
    <w:p w:rsidR="00376768" w:rsidRDefault="00EC2B72">
      <w:pPr>
        <w:spacing w:before="160"/>
        <w:ind w:left="360" w:hanging="360"/>
        <w:jc w:val="both"/>
        <w:rPr>
          <w:rFonts w:ascii="Arial" w:hAnsi="Arial" w:cs="Arial"/>
          <w:sz w:val="16"/>
          <w:szCs w:val="16"/>
        </w:rPr>
      </w:pPr>
      <w:r>
        <w:rPr>
          <w:rFonts w:ascii="Arial" w:hAnsi="Arial" w:cs="Arial"/>
          <w:sz w:val="16"/>
          <w:szCs w:val="16"/>
        </w:rPr>
        <w:t>(1)</w:t>
      </w:r>
      <w:r>
        <w:rPr>
          <w:rFonts w:ascii="Arial" w:hAnsi="Arial" w:cs="Arial"/>
          <w:sz w:val="16"/>
          <w:szCs w:val="16"/>
        </w:rPr>
        <w:tab/>
        <w:t>This number is comprised of (i) 450,073 performance share units (“PSUs”) and (ii) 26,860 deferred stock units (“DSUs”) all granted under the 2006 Omnibus Incentive Plan, which PSUs and DSUs were unvested and unearned as of December 31, 2017. The 450,073 PSUs included in this table reflect an assumed payout at maximum performance achievement for the 2016-2018 and 2017-2019 PSU awards, but excludes the 2015-2017 PSU awards for which performance metrics were not met as of December 31, 2017 and resulted in no payout. Based on the anticipated achievement of performance goals as of December 31, 2017, 0 shares are expected to be issued from the 2016-2018 award and only 180,944 shares are expected to be issued from the 2017-2019 award. The Company has not achieved target performance with respect to performance share units for the past 10 years, and the number in column (a) reflecting maximum performance overstates the expected payout of performance share unit awards.</w:t>
      </w:r>
    </w:p>
    <w:p w:rsidR="00376768" w:rsidRDefault="00EC2B72">
      <w:pPr>
        <w:spacing w:before="160"/>
        <w:ind w:left="360" w:hanging="360"/>
        <w:jc w:val="both"/>
        <w:rPr>
          <w:rFonts w:ascii="Arial" w:hAnsi="Arial" w:cs="Arial"/>
          <w:sz w:val="16"/>
          <w:szCs w:val="16"/>
        </w:rPr>
      </w:pPr>
      <w:r>
        <w:rPr>
          <w:rFonts w:ascii="Arial" w:hAnsi="Arial" w:cs="Arial"/>
          <w:sz w:val="16"/>
          <w:szCs w:val="16"/>
        </w:rPr>
        <w:t>(2)</w:t>
      </w:r>
      <w:r>
        <w:rPr>
          <w:rFonts w:ascii="Arial" w:hAnsi="Arial" w:cs="Arial"/>
          <w:sz w:val="16"/>
          <w:szCs w:val="16"/>
        </w:rPr>
        <w:tab/>
        <w:t>As of December 31, 2017, there were no outstanding awards with an exercise price. Weighted-average exercise price does not take into account PSUs or DSUs because they have no exercise price.</w:t>
      </w:r>
    </w:p>
    <w:p w:rsidR="00376768" w:rsidRDefault="00EC2B72">
      <w:pPr>
        <w:spacing w:before="160"/>
        <w:ind w:left="360" w:hanging="360"/>
        <w:jc w:val="both"/>
        <w:rPr>
          <w:rFonts w:ascii="Arial" w:hAnsi="Arial" w:cs="Arial"/>
          <w:sz w:val="16"/>
          <w:szCs w:val="16"/>
        </w:rPr>
      </w:pPr>
      <w:r>
        <w:rPr>
          <w:rFonts w:ascii="Arial" w:hAnsi="Arial" w:cs="Arial"/>
          <w:sz w:val="16"/>
          <w:szCs w:val="16"/>
        </w:rPr>
        <w:t>(3)</w:t>
      </w:r>
      <w:r>
        <w:rPr>
          <w:rFonts w:ascii="Arial" w:hAnsi="Arial" w:cs="Arial"/>
          <w:sz w:val="16"/>
          <w:szCs w:val="16"/>
        </w:rPr>
        <w:tab/>
        <w:t>Does not include the (i) 450,073 PSUs included in column (a), (ii) 26,860 deferred stock units included in column (a), and (iii)186,806 shares of restricted stock that were unvested as of December 31, 2017. As stated in footnote (1) above, the expected PSU payout in column (a) is less than maximum, and as of December 31, 2017, based on the anticipated achievement of performance goals, 0 shares and 180,944 shares are expected to be issued at the end of the 2016-2018 and 2017-2019 performance periods, respectively. The Company has not achieved target performance with respect to performance share units for the past 10 years. When adjusted for the anticipated return of 211,465 and 57,664 unearned PSUs from the 2016-2018 and 2017-2019 awards, respectively, to the shares available for grant, the number of shares remaining available for issuance is 324,481.</w:t>
      </w:r>
    </w:p>
    <w:p w:rsidR="00376768" w:rsidRDefault="00EC2B72">
      <w:pPr>
        <w:spacing w:before="160"/>
        <w:ind w:firstLine="360"/>
        <w:jc w:val="both"/>
        <w:rPr>
          <w:rFonts w:ascii="Arial" w:hAnsi="Arial" w:cs="Arial"/>
        </w:rPr>
      </w:pPr>
      <w:r>
        <w:rPr>
          <w:rFonts w:ascii="Arial" w:hAnsi="Arial" w:cs="Arial"/>
        </w:rPr>
        <w:t>The 55,352 securities remaining available for future issuance disclosed in column (c) of the table above reflects the deduction from the authorized Current Plan total of (i) the 450,073 performance share units assumed at maximum performance achievement that were outstanding as of December 31, 2017 as identified in column (a) of the table, (ii) 26,860 shares of deferred stock units that were outstanding and unvested as of December 31, 2017 as identified in column (a) of the table, and (iii)186,806 shares of restricted stock that were outstanding and unvested as of December 31, 2017.</w:t>
      </w:r>
    </w:p>
    <w:p w:rsidR="00376768" w:rsidRDefault="00EC2B72">
      <w:pPr>
        <w:spacing w:before="160"/>
        <w:ind w:firstLine="360"/>
        <w:jc w:val="both"/>
        <w:rPr>
          <w:rFonts w:ascii="Arial" w:hAnsi="Arial" w:cs="Arial"/>
        </w:rPr>
      </w:pPr>
      <w:r>
        <w:rPr>
          <w:rFonts w:ascii="Arial" w:hAnsi="Arial" w:cs="Arial"/>
        </w:rPr>
        <w:t>As noted in footnote (3) to column (c) of the above table, the 55,352 shares remaining available for future issuance reflects deduction from the authorized Current Plan total of performance share units assuming maximum performance. When adjusted to reflect anticipated performance of the outstanding performance share unit awards as of December 31, 2017 (which would result in the return to the Plan of 211,465 and 57,664 shares from the 2016-2018 and 2017-2019 awards, respectively), and with the number of shares of restricted stock and deferred stock units outstanding remaining unchanged at December 31, 2017 (186,806 shares and 26,860 shares, respectively), the number of securities remaining available for issuance is 324,481.</w:t>
      </w:r>
    </w:p>
    <w:p w:rsidR="00376768" w:rsidRDefault="00EC2B72">
      <w:pPr>
        <w:spacing w:before="160"/>
        <w:jc w:val="center"/>
        <w:rPr>
          <w:rFonts w:ascii="Arial" w:hAnsi="Arial" w:cs="Arial"/>
          <w:b/>
          <w:bCs/>
        </w:rPr>
      </w:pPr>
      <w:r>
        <w:rPr>
          <w:rFonts w:ascii="Arial" w:hAnsi="Arial" w:cs="Arial"/>
          <w:b/>
          <w:bCs/>
        </w:rPr>
        <w:br w:type="page"/>
      </w:r>
      <w:r>
        <w:rPr>
          <w:rFonts w:ascii="Arial" w:hAnsi="Arial" w:cs="Arial"/>
          <w:b/>
          <w:bCs/>
        </w:rPr>
        <w:lastRenderedPageBreak/>
        <w:t>The Board of Directors recommends you vote for “FOR” approval of the amendment of the 2006 Omnibus Incentive Plan (as Amended and Restated) to authorize additional shares for issuance on Proposal 4.</w:t>
      </w:r>
    </w:p>
    <w:p w:rsidR="00376768" w:rsidRDefault="00EC2B72">
      <w:pPr>
        <w:jc w:val="center"/>
        <w:rPr>
          <w:rFonts w:ascii="Arial" w:hAnsi="Arial" w:cs="Arial"/>
          <w:b/>
          <w:bCs/>
        </w:rPr>
      </w:pPr>
      <w:r>
        <w:rPr>
          <w:rFonts w:ascii="Arial" w:hAnsi="Arial" w:cs="Arial"/>
          <w:b/>
          <w:bCs/>
        </w:rPr>
        <w:br w:type="page"/>
      </w:r>
      <w:r>
        <w:rPr>
          <w:rFonts w:ascii="Arial" w:hAnsi="Arial" w:cs="Arial"/>
          <w:b/>
          <w:bCs/>
        </w:rPr>
        <w:lastRenderedPageBreak/>
        <w:t>ST</w:t>
      </w:r>
      <w:bookmarkStart w:id="6" w:name="a006_v1"/>
      <w:bookmarkEnd w:id="6"/>
      <w:r>
        <w:rPr>
          <w:rFonts w:ascii="Arial" w:hAnsi="Arial" w:cs="Arial"/>
          <w:b/>
          <w:bCs/>
        </w:rPr>
        <w:t>OCK OWNERSHIP</w:t>
      </w:r>
    </w:p>
    <w:p w:rsidR="00376768" w:rsidRDefault="00EC2B72">
      <w:pPr>
        <w:spacing w:before="160"/>
        <w:ind w:firstLine="360"/>
        <w:rPr>
          <w:rFonts w:ascii="Arial" w:hAnsi="Arial" w:cs="Arial"/>
        </w:rPr>
      </w:pPr>
      <w:r>
        <w:rPr>
          <w:rFonts w:ascii="Arial" w:hAnsi="Arial" w:cs="Arial"/>
        </w:rPr>
        <w:t>The following table shows the number of shares of common stock beneficially owned on the Record Date by:</w:t>
      </w:r>
    </w:p>
    <w:p w:rsidR="00376768" w:rsidRDefault="00EC2B72">
      <w:pPr>
        <w:spacing w:before="160"/>
        <w:ind w:left="720" w:hanging="360"/>
        <w:jc w:val="both"/>
        <w:rPr>
          <w:rFonts w:ascii="Arial" w:hAnsi="Arial" w:cs="Arial"/>
        </w:rPr>
      </w:pPr>
      <w:r>
        <w:rPr>
          <w:rFonts w:ascii="Arial" w:hAnsi="Arial" w:cs="Arial"/>
        </w:rPr>
        <w:t>•</w:t>
      </w:r>
      <w:r>
        <w:rPr>
          <w:rFonts w:ascii="Arial" w:hAnsi="Arial" w:cs="Arial"/>
        </w:rPr>
        <w:tab/>
      </w:r>
      <w:proofErr w:type="gramStart"/>
      <w:r>
        <w:rPr>
          <w:rFonts w:ascii="Arial" w:hAnsi="Arial" w:cs="Arial"/>
        </w:rPr>
        <w:t>each</w:t>
      </w:r>
      <w:proofErr w:type="gramEnd"/>
      <w:r>
        <w:rPr>
          <w:rFonts w:ascii="Arial" w:hAnsi="Arial" w:cs="Arial"/>
        </w:rPr>
        <w:t xml:space="preserve"> person who has reported beneficial ownership of more than 5% of the Company’s common stock;</w:t>
      </w:r>
    </w:p>
    <w:p w:rsidR="00376768" w:rsidRDefault="00EC2B72">
      <w:pPr>
        <w:spacing w:before="160"/>
        <w:ind w:left="720" w:hanging="360"/>
        <w:rPr>
          <w:rFonts w:ascii="Arial" w:hAnsi="Arial" w:cs="Arial"/>
        </w:rPr>
      </w:pPr>
      <w:r>
        <w:rPr>
          <w:rFonts w:ascii="Arial" w:hAnsi="Arial" w:cs="Arial"/>
        </w:rPr>
        <w:t>•</w:t>
      </w:r>
      <w:r>
        <w:rPr>
          <w:rFonts w:ascii="Arial" w:hAnsi="Arial" w:cs="Arial"/>
        </w:rPr>
        <w:tab/>
      </w:r>
      <w:proofErr w:type="gramStart"/>
      <w:r>
        <w:rPr>
          <w:rFonts w:ascii="Arial" w:hAnsi="Arial" w:cs="Arial"/>
        </w:rPr>
        <w:t>each</w:t>
      </w:r>
      <w:proofErr w:type="gramEnd"/>
      <w:r>
        <w:rPr>
          <w:rFonts w:ascii="Arial" w:hAnsi="Arial" w:cs="Arial"/>
        </w:rPr>
        <w:t xml:space="preserve"> current director and nominee for director;</w:t>
      </w:r>
    </w:p>
    <w:p w:rsidR="00376768" w:rsidRDefault="00EC2B72">
      <w:pPr>
        <w:spacing w:before="160"/>
        <w:ind w:left="720" w:hanging="360"/>
        <w:jc w:val="both"/>
        <w:rPr>
          <w:rFonts w:ascii="Arial" w:hAnsi="Arial" w:cs="Arial"/>
        </w:rPr>
      </w:pPr>
      <w:r>
        <w:rPr>
          <w:rFonts w:ascii="Arial" w:hAnsi="Arial" w:cs="Arial"/>
        </w:rPr>
        <w:t>•</w:t>
      </w:r>
      <w:r>
        <w:rPr>
          <w:rFonts w:ascii="Arial" w:hAnsi="Arial" w:cs="Arial"/>
        </w:rPr>
        <w:tab/>
      </w:r>
      <w:proofErr w:type="gramStart"/>
      <w:r>
        <w:rPr>
          <w:rFonts w:ascii="Arial" w:hAnsi="Arial" w:cs="Arial"/>
        </w:rPr>
        <w:t>each</w:t>
      </w:r>
      <w:proofErr w:type="gramEnd"/>
      <w:r>
        <w:rPr>
          <w:rFonts w:ascii="Arial" w:hAnsi="Arial" w:cs="Arial"/>
        </w:rPr>
        <w:t xml:space="preserve"> Named Executive Officer (“NEO”) included in the Summary Compensation Table on page 54; and</w:t>
      </w:r>
    </w:p>
    <w:p w:rsidR="00376768" w:rsidRDefault="00EC2B72">
      <w:pPr>
        <w:spacing w:before="160"/>
        <w:ind w:left="720" w:hanging="360"/>
        <w:rPr>
          <w:rFonts w:ascii="Arial" w:hAnsi="Arial" w:cs="Arial"/>
        </w:rPr>
      </w:pPr>
      <w:r>
        <w:rPr>
          <w:rFonts w:ascii="Arial" w:hAnsi="Arial" w:cs="Arial"/>
        </w:rPr>
        <w:t>•</w:t>
      </w:r>
      <w:r>
        <w:rPr>
          <w:rFonts w:ascii="Arial" w:hAnsi="Arial" w:cs="Arial"/>
        </w:rPr>
        <w:tab/>
      </w:r>
      <w:proofErr w:type="gramStart"/>
      <w:r>
        <w:rPr>
          <w:rFonts w:ascii="Arial" w:hAnsi="Arial" w:cs="Arial"/>
        </w:rPr>
        <w:t>all</w:t>
      </w:r>
      <w:proofErr w:type="gramEnd"/>
      <w:r>
        <w:rPr>
          <w:rFonts w:ascii="Arial" w:hAnsi="Arial" w:cs="Arial"/>
        </w:rPr>
        <w:t xml:space="preserve"> directors and executive officers as a group.</w:t>
      </w:r>
    </w:p>
    <w:p w:rsidR="00376768" w:rsidRDefault="00EC2B72">
      <w:pPr>
        <w:spacing w:before="160"/>
        <w:ind w:firstLine="360"/>
        <w:jc w:val="both"/>
        <w:rPr>
          <w:rFonts w:ascii="Arial" w:hAnsi="Arial" w:cs="Arial"/>
        </w:rPr>
      </w:pPr>
      <w:r>
        <w:rPr>
          <w:rFonts w:ascii="Arial" w:hAnsi="Arial" w:cs="Arial"/>
        </w:rPr>
        <w:t>Information concerning the owners of more than 5% of the Company’s outstanding common stock is based upon reports filed with the Securities and Exchange Commission (“SEC”).</w:t>
      </w:r>
    </w:p>
    <w:tbl>
      <w:tblPr>
        <w:tblW w:w="4250" w:type="pct"/>
        <w:jc w:val="center"/>
        <w:tblLayout w:type="fixed"/>
        <w:tblCellMar>
          <w:left w:w="0" w:type="dxa"/>
          <w:right w:w="0" w:type="dxa"/>
        </w:tblCellMar>
        <w:tblLook w:val="0000" w:firstRow="0" w:lastRow="0" w:firstColumn="0" w:lastColumn="0" w:noHBand="0" w:noVBand="0"/>
      </w:tblPr>
      <w:tblGrid>
        <w:gridCol w:w="5965"/>
        <w:gridCol w:w="189"/>
        <w:gridCol w:w="94"/>
        <w:gridCol w:w="97"/>
        <w:gridCol w:w="1269"/>
        <w:gridCol w:w="187"/>
        <w:gridCol w:w="94"/>
        <w:gridCol w:w="97"/>
        <w:gridCol w:w="584"/>
        <w:gridCol w:w="477"/>
        <w:gridCol w:w="127"/>
      </w:tblGrid>
      <w:tr w:rsidR="00376768">
        <w:trPr>
          <w:jc w:val="center"/>
        </w:trPr>
        <w:tc>
          <w:tcPr>
            <w:tcW w:w="3249" w:type="pct"/>
            <w:vAlign w:val="bottom"/>
          </w:tcPr>
          <w:p w:rsidR="00376768" w:rsidRDefault="00376768">
            <w:pPr>
              <w:tabs>
                <w:tab w:val="left" w:leader="dot" w:pos="7200"/>
              </w:tabs>
              <w:ind w:left="173"/>
              <w:rPr>
                <w:rFonts w:ascii="Arial" w:hAnsi="Arial" w:cs="Arial"/>
                <w:sz w:val="18"/>
              </w:rPr>
            </w:pPr>
          </w:p>
        </w:tc>
        <w:tc>
          <w:tcPr>
            <w:tcW w:w="103" w:type="pct"/>
            <w:vAlign w:val="bottom"/>
          </w:tcPr>
          <w:p w:rsidR="00376768" w:rsidRDefault="00376768">
            <w:pPr>
              <w:rPr>
                <w:rFonts w:ascii="Arial" w:hAnsi="Arial" w:cs="Arial"/>
                <w:sz w:val="18"/>
              </w:rPr>
            </w:pPr>
          </w:p>
        </w:tc>
        <w:tc>
          <w:tcPr>
            <w:tcW w:w="51" w:type="pct"/>
            <w:vAlign w:val="bottom"/>
          </w:tcPr>
          <w:p w:rsidR="00376768" w:rsidRDefault="00376768">
            <w:pPr>
              <w:rPr>
                <w:rFonts w:ascii="Arial" w:hAnsi="Arial" w:cs="Arial"/>
                <w:sz w:val="18"/>
              </w:rPr>
            </w:pPr>
          </w:p>
        </w:tc>
        <w:tc>
          <w:tcPr>
            <w:tcW w:w="53" w:type="pct"/>
            <w:vAlign w:val="bottom"/>
          </w:tcPr>
          <w:p w:rsidR="00376768" w:rsidRDefault="00376768">
            <w:pPr>
              <w:rPr>
                <w:rFonts w:ascii="Arial" w:hAnsi="Arial" w:cs="Arial"/>
                <w:sz w:val="18"/>
              </w:rPr>
            </w:pPr>
          </w:p>
        </w:tc>
        <w:tc>
          <w:tcPr>
            <w:tcW w:w="691" w:type="pct"/>
            <w:vAlign w:val="bottom"/>
          </w:tcPr>
          <w:p w:rsidR="00376768" w:rsidRDefault="00376768">
            <w:pPr>
              <w:jc w:val="right"/>
              <w:rPr>
                <w:rFonts w:ascii="Arial" w:hAnsi="Arial" w:cs="Arial"/>
                <w:sz w:val="18"/>
              </w:rPr>
            </w:pPr>
          </w:p>
        </w:tc>
        <w:tc>
          <w:tcPr>
            <w:tcW w:w="102" w:type="pct"/>
            <w:vAlign w:val="bottom"/>
          </w:tcPr>
          <w:p w:rsidR="00376768" w:rsidRDefault="00376768">
            <w:pPr>
              <w:rPr>
                <w:rFonts w:ascii="Arial" w:hAnsi="Arial" w:cs="Arial"/>
                <w:sz w:val="18"/>
              </w:rPr>
            </w:pPr>
          </w:p>
        </w:tc>
        <w:tc>
          <w:tcPr>
            <w:tcW w:w="51" w:type="pct"/>
            <w:vAlign w:val="bottom"/>
          </w:tcPr>
          <w:p w:rsidR="00376768" w:rsidRDefault="00376768">
            <w:pPr>
              <w:rPr>
                <w:rFonts w:ascii="Arial" w:hAnsi="Arial" w:cs="Arial"/>
                <w:sz w:val="18"/>
              </w:rPr>
            </w:pPr>
          </w:p>
        </w:tc>
        <w:tc>
          <w:tcPr>
            <w:tcW w:w="53" w:type="pct"/>
            <w:vAlign w:val="bottom"/>
          </w:tcPr>
          <w:p w:rsidR="00376768" w:rsidRDefault="00376768">
            <w:pPr>
              <w:rPr>
                <w:rFonts w:ascii="Arial" w:hAnsi="Arial" w:cs="Arial"/>
                <w:sz w:val="18"/>
              </w:rPr>
            </w:pPr>
          </w:p>
        </w:tc>
        <w:tc>
          <w:tcPr>
            <w:tcW w:w="318" w:type="pct"/>
            <w:vAlign w:val="bottom"/>
          </w:tcPr>
          <w:p w:rsidR="00376768" w:rsidRDefault="00376768">
            <w:pPr>
              <w:jc w:val="right"/>
              <w:rPr>
                <w:rFonts w:ascii="Arial" w:hAnsi="Arial" w:cs="Arial"/>
                <w:sz w:val="18"/>
              </w:rPr>
            </w:pPr>
          </w:p>
        </w:tc>
        <w:tc>
          <w:tcPr>
            <w:tcW w:w="260" w:type="pct"/>
            <w:vAlign w:val="bottom"/>
          </w:tcPr>
          <w:p w:rsidR="00376768" w:rsidRDefault="00376768">
            <w:pPr>
              <w:rPr>
                <w:rFonts w:ascii="Arial" w:hAnsi="Arial" w:cs="Arial"/>
                <w:sz w:val="18"/>
              </w:rPr>
            </w:pPr>
          </w:p>
        </w:tc>
        <w:tc>
          <w:tcPr>
            <w:tcW w:w="69" w:type="pct"/>
            <w:vAlign w:val="bottom"/>
          </w:tcPr>
          <w:p w:rsidR="00376768" w:rsidRDefault="00376768">
            <w:pPr>
              <w:rPr>
                <w:rFonts w:ascii="Arial" w:hAnsi="Arial" w:cs="Arial"/>
                <w:sz w:val="18"/>
              </w:rPr>
            </w:pPr>
          </w:p>
        </w:tc>
      </w:tr>
      <w:tr w:rsidR="00376768">
        <w:trPr>
          <w:cantSplit/>
          <w:jc w:val="center"/>
        </w:trPr>
        <w:tc>
          <w:tcPr>
            <w:tcW w:w="3249" w:type="pct"/>
            <w:tcBorders>
              <w:bottom w:val="single" w:sz="4" w:space="0" w:color="auto"/>
            </w:tcBorders>
            <w:vAlign w:val="bottom"/>
          </w:tcPr>
          <w:p w:rsidR="00376768" w:rsidRDefault="00EC2B72">
            <w:pPr>
              <w:tabs>
                <w:tab w:val="left" w:leader="dot" w:pos="7200"/>
              </w:tabs>
              <w:jc w:val="center"/>
              <w:rPr>
                <w:rFonts w:ascii="Arial" w:hAnsi="Arial" w:cs="Arial"/>
                <w:sz w:val="18"/>
              </w:rPr>
            </w:pPr>
            <w:r>
              <w:rPr>
                <w:rFonts w:ascii="Arial" w:hAnsi="Arial" w:cs="Arial"/>
                <w:b/>
                <w:sz w:val="18"/>
              </w:rPr>
              <w:t>Stock Ownership</w:t>
            </w:r>
          </w:p>
        </w:tc>
        <w:tc>
          <w:tcPr>
            <w:tcW w:w="103" w:type="pct"/>
            <w:vAlign w:val="bottom"/>
          </w:tcPr>
          <w:p w:rsidR="00376768" w:rsidRDefault="00376768">
            <w:pPr>
              <w:rPr>
                <w:rFonts w:ascii="Arial" w:hAnsi="Arial" w:cs="Arial"/>
                <w:sz w:val="18"/>
              </w:rPr>
            </w:pPr>
          </w:p>
        </w:tc>
        <w:tc>
          <w:tcPr>
            <w:tcW w:w="51" w:type="pct"/>
            <w:vAlign w:val="bottom"/>
          </w:tcPr>
          <w:p w:rsidR="00376768" w:rsidRDefault="00376768">
            <w:pPr>
              <w:rPr>
                <w:rFonts w:ascii="Arial" w:hAnsi="Arial" w:cs="Arial"/>
                <w:sz w:val="18"/>
              </w:rPr>
            </w:pPr>
          </w:p>
        </w:tc>
        <w:tc>
          <w:tcPr>
            <w:tcW w:w="744" w:type="pct"/>
            <w:gridSpan w:val="2"/>
            <w:tcBorders>
              <w:bottom w:val="single" w:sz="4" w:space="0" w:color="auto"/>
            </w:tcBorders>
            <w:vAlign w:val="bottom"/>
          </w:tcPr>
          <w:p w:rsidR="00376768" w:rsidRDefault="00EC2B72">
            <w:pPr>
              <w:jc w:val="center"/>
              <w:rPr>
                <w:rFonts w:ascii="Arial" w:hAnsi="Arial" w:cs="Arial"/>
                <w:sz w:val="18"/>
              </w:rPr>
            </w:pPr>
            <w:r>
              <w:rPr>
                <w:rFonts w:ascii="Arial" w:hAnsi="Arial" w:cs="Arial"/>
                <w:b/>
                <w:sz w:val="18"/>
              </w:rPr>
              <w:t>Number of Shares Owned</w:t>
            </w:r>
            <w:r>
              <w:rPr>
                <w:rFonts w:ascii="Arial" w:hAnsi="Arial" w:cs="Arial"/>
                <w:b/>
                <w:sz w:val="18"/>
                <w:vertAlign w:val="superscript"/>
              </w:rPr>
              <w:t>(a)</w:t>
            </w:r>
          </w:p>
        </w:tc>
        <w:tc>
          <w:tcPr>
            <w:tcW w:w="102" w:type="pct"/>
            <w:vAlign w:val="bottom"/>
          </w:tcPr>
          <w:p w:rsidR="00376768" w:rsidRDefault="00376768">
            <w:pPr>
              <w:rPr>
                <w:rFonts w:ascii="Arial" w:hAnsi="Arial" w:cs="Arial"/>
                <w:sz w:val="18"/>
              </w:rPr>
            </w:pPr>
          </w:p>
        </w:tc>
        <w:tc>
          <w:tcPr>
            <w:tcW w:w="51" w:type="pct"/>
            <w:vAlign w:val="bottom"/>
          </w:tcPr>
          <w:p w:rsidR="00376768" w:rsidRDefault="00376768">
            <w:pPr>
              <w:rPr>
                <w:rFonts w:ascii="Arial" w:hAnsi="Arial" w:cs="Arial"/>
                <w:sz w:val="18"/>
              </w:rPr>
            </w:pPr>
          </w:p>
        </w:tc>
        <w:tc>
          <w:tcPr>
            <w:tcW w:w="631" w:type="pct"/>
            <w:gridSpan w:val="3"/>
            <w:tcBorders>
              <w:bottom w:val="single" w:sz="4" w:space="0" w:color="auto"/>
            </w:tcBorders>
            <w:vAlign w:val="bottom"/>
          </w:tcPr>
          <w:p w:rsidR="00376768" w:rsidRDefault="00EC2B72">
            <w:pPr>
              <w:jc w:val="center"/>
              <w:rPr>
                <w:rFonts w:ascii="Arial" w:hAnsi="Arial" w:cs="Arial"/>
                <w:sz w:val="18"/>
              </w:rPr>
            </w:pPr>
            <w:r>
              <w:rPr>
                <w:rFonts w:ascii="Arial" w:hAnsi="Arial" w:cs="Arial"/>
                <w:b/>
                <w:sz w:val="18"/>
              </w:rPr>
              <w:t>Percent of Shares</w:t>
            </w:r>
            <w:r>
              <w:rPr>
                <w:rFonts w:ascii="Arial" w:hAnsi="Arial" w:cs="Arial"/>
                <w:b/>
                <w:sz w:val="18"/>
                <w:vertAlign w:val="superscript"/>
              </w:rPr>
              <w:t>(b)</w:t>
            </w:r>
          </w:p>
        </w:tc>
        <w:tc>
          <w:tcPr>
            <w:tcW w:w="69" w:type="pct"/>
            <w:vAlign w:val="bottom"/>
          </w:tcPr>
          <w:p w:rsidR="00376768" w:rsidRDefault="00376768">
            <w:pPr>
              <w:rPr>
                <w:rFonts w:ascii="Arial" w:hAnsi="Arial" w:cs="Arial"/>
                <w:sz w:val="18"/>
              </w:rPr>
            </w:pPr>
          </w:p>
        </w:tc>
      </w:tr>
      <w:tr w:rsidR="00376768">
        <w:trPr>
          <w:jc w:val="center"/>
        </w:trPr>
        <w:tc>
          <w:tcPr>
            <w:tcW w:w="3249" w:type="pct"/>
            <w:tcBorders>
              <w:top w:val="single" w:sz="4" w:space="0" w:color="auto"/>
            </w:tcBorders>
            <w:vAlign w:val="bottom"/>
          </w:tcPr>
          <w:p w:rsidR="00376768" w:rsidRDefault="00376768">
            <w:pPr>
              <w:tabs>
                <w:tab w:val="left" w:leader="dot" w:pos="7200"/>
              </w:tabs>
              <w:ind w:left="173"/>
              <w:rPr>
                <w:rFonts w:ascii="Arial" w:hAnsi="Arial" w:cs="Arial"/>
                <w:sz w:val="18"/>
              </w:rPr>
            </w:pPr>
          </w:p>
        </w:tc>
        <w:tc>
          <w:tcPr>
            <w:tcW w:w="103" w:type="pct"/>
            <w:vAlign w:val="bottom"/>
          </w:tcPr>
          <w:p w:rsidR="00376768" w:rsidRDefault="00376768">
            <w:pPr>
              <w:rPr>
                <w:rFonts w:ascii="Arial" w:hAnsi="Arial" w:cs="Arial"/>
                <w:sz w:val="18"/>
              </w:rPr>
            </w:pPr>
          </w:p>
        </w:tc>
        <w:tc>
          <w:tcPr>
            <w:tcW w:w="51" w:type="pct"/>
            <w:vAlign w:val="bottom"/>
          </w:tcPr>
          <w:p w:rsidR="00376768" w:rsidRDefault="00376768">
            <w:pPr>
              <w:rPr>
                <w:rFonts w:ascii="Arial" w:hAnsi="Arial" w:cs="Arial"/>
                <w:sz w:val="18"/>
              </w:rPr>
            </w:pPr>
          </w:p>
        </w:tc>
        <w:tc>
          <w:tcPr>
            <w:tcW w:w="53" w:type="pct"/>
            <w:tcBorders>
              <w:top w:val="single" w:sz="4" w:space="0" w:color="auto"/>
            </w:tcBorders>
            <w:vAlign w:val="bottom"/>
          </w:tcPr>
          <w:p w:rsidR="00376768" w:rsidRDefault="00376768">
            <w:pPr>
              <w:rPr>
                <w:rFonts w:ascii="Arial" w:hAnsi="Arial" w:cs="Arial"/>
                <w:sz w:val="18"/>
              </w:rPr>
            </w:pPr>
          </w:p>
        </w:tc>
        <w:tc>
          <w:tcPr>
            <w:tcW w:w="691" w:type="pct"/>
            <w:tcBorders>
              <w:top w:val="single" w:sz="4" w:space="0" w:color="auto"/>
            </w:tcBorders>
            <w:vAlign w:val="bottom"/>
          </w:tcPr>
          <w:p w:rsidR="00376768" w:rsidRDefault="00376768">
            <w:pPr>
              <w:jc w:val="right"/>
              <w:rPr>
                <w:rFonts w:ascii="Arial" w:hAnsi="Arial" w:cs="Arial"/>
                <w:sz w:val="18"/>
              </w:rPr>
            </w:pPr>
          </w:p>
        </w:tc>
        <w:tc>
          <w:tcPr>
            <w:tcW w:w="102" w:type="pct"/>
            <w:vAlign w:val="bottom"/>
          </w:tcPr>
          <w:p w:rsidR="00376768" w:rsidRDefault="00376768">
            <w:pPr>
              <w:rPr>
                <w:rFonts w:ascii="Arial" w:hAnsi="Arial" w:cs="Arial"/>
                <w:sz w:val="18"/>
              </w:rPr>
            </w:pPr>
          </w:p>
        </w:tc>
        <w:tc>
          <w:tcPr>
            <w:tcW w:w="51" w:type="pct"/>
            <w:vAlign w:val="bottom"/>
          </w:tcPr>
          <w:p w:rsidR="00376768" w:rsidRDefault="00376768">
            <w:pPr>
              <w:rPr>
                <w:rFonts w:ascii="Arial" w:hAnsi="Arial" w:cs="Arial"/>
                <w:sz w:val="18"/>
              </w:rPr>
            </w:pPr>
          </w:p>
        </w:tc>
        <w:tc>
          <w:tcPr>
            <w:tcW w:w="53" w:type="pct"/>
            <w:vAlign w:val="bottom"/>
          </w:tcPr>
          <w:p w:rsidR="00376768" w:rsidRDefault="00376768">
            <w:pPr>
              <w:rPr>
                <w:rFonts w:ascii="Arial" w:hAnsi="Arial" w:cs="Arial"/>
                <w:sz w:val="18"/>
              </w:rPr>
            </w:pPr>
          </w:p>
        </w:tc>
        <w:tc>
          <w:tcPr>
            <w:tcW w:w="318" w:type="pct"/>
            <w:vAlign w:val="bottom"/>
          </w:tcPr>
          <w:p w:rsidR="00376768" w:rsidRDefault="00376768">
            <w:pPr>
              <w:jc w:val="right"/>
              <w:rPr>
                <w:rFonts w:ascii="Arial" w:hAnsi="Arial" w:cs="Arial"/>
                <w:sz w:val="18"/>
              </w:rPr>
            </w:pPr>
          </w:p>
        </w:tc>
        <w:tc>
          <w:tcPr>
            <w:tcW w:w="260" w:type="pct"/>
            <w:vAlign w:val="bottom"/>
          </w:tcPr>
          <w:p w:rsidR="00376768" w:rsidRDefault="00376768">
            <w:pPr>
              <w:rPr>
                <w:rFonts w:ascii="Arial" w:hAnsi="Arial" w:cs="Arial"/>
                <w:sz w:val="18"/>
              </w:rPr>
            </w:pPr>
          </w:p>
        </w:tc>
        <w:tc>
          <w:tcPr>
            <w:tcW w:w="69" w:type="pct"/>
            <w:vAlign w:val="bottom"/>
          </w:tcPr>
          <w:p w:rsidR="00376768" w:rsidRDefault="00376768">
            <w:pPr>
              <w:rPr>
                <w:rFonts w:ascii="Arial" w:hAnsi="Arial" w:cs="Arial"/>
                <w:sz w:val="18"/>
              </w:rPr>
            </w:pPr>
          </w:p>
        </w:tc>
      </w:tr>
      <w:tr w:rsidR="00376768">
        <w:trPr>
          <w:jc w:val="center"/>
        </w:trPr>
        <w:tc>
          <w:tcPr>
            <w:tcW w:w="3249" w:type="pct"/>
            <w:vAlign w:val="bottom"/>
          </w:tcPr>
          <w:p w:rsidR="00376768" w:rsidRDefault="00EC2B72">
            <w:pPr>
              <w:tabs>
                <w:tab w:val="left" w:leader="dot" w:pos="7200"/>
              </w:tabs>
              <w:rPr>
                <w:rFonts w:ascii="Arial" w:hAnsi="Arial" w:cs="Arial"/>
                <w:sz w:val="18"/>
              </w:rPr>
            </w:pPr>
            <w:r>
              <w:rPr>
                <w:rFonts w:ascii="Arial" w:hAnsi="Arial" w:cs="Arial"/>
                <w:b/>
                <w:bCs/>
                <w:sz w:val="18"/>
              </w:rPr>
              <w:t>More Than 5% Shareholders:</w:t>
            </w:r>
          </w:p>
        </w:tc>
        <w:tc>
          <w:tcPr>
            <w:tcW w:w="103" w:type="pct"/>
            <w:vAlign w:val="bottom"/>
          </w:tcPr>
          <w:p w:rsidR="00376768" w:rsidRDefault="00376768">
            <w:pPr>
              <w:rPr>
                <w:rFonts w:ascii="Arial" w:hAnsi="Arial" w:cs="Arial"/>
                <w:sz w:val="18"/>
              </w:rPr>
            </w:pPr>
          </w:p>
        </w:tc>
        <w:tc>
          <w:tcPr>
            <w:tcW w:w="51" w:type="pct"/>
            <w:vAlign w:val="bottom"/>
          </w:tcPr>
          <w:p w:rsidR="00376768" w:rsidRDefault="00376768">
            <w:pPr>
              <w:rPr>
                <w:rFonts w:ascii="Arial" w:hAnsi="Arial" w:cs="Arial"/>
                <w:sz w:val="18"/>
              </w:rPr>
            </w:pPr>
          </w:p>
        </w:tc>
        <w:tc>
          <w:tcPr>
            <w:tcW w:w="53" w:type="pct"/>
            <w:vAlign w:val="bottom"/>
          </w:tcPr>
          <w:p w:rsidR="00376768" w:rsidRDefault="00376768">
            <w:pPr>
              <w:rPr>
                <w:rFonts w:ascii="Arial" w:hAnsi="Arial" w:cs="Arial"/>
                <w:sz w:val="18"/>
              </w:rPr>
            </w:pPr>
          </w:p>
        </w:tc>
        <w:tc>
          <w:tcPr>
            <w:tcW w:w="691" w:type="pct"/>
            <w:vAlign w:val="bottom"/>
          </w:tcPr>
          <w:p w:rsidR="00376768" w:rsidRDefault="00376768">
            <w:pPr>
              <w:jc w:val="right"/>
              <w:rPr>
                <w:rFonts w:ascii="Arial" w:hAnsi="Arial" w:cs="Arial"/>
                <w:sz w:val="18"/>
              </w:rPr>
            </w:pPr>
          </w:p>
        </w:tc>
        <w:tc>
          <w:tcPr>
            <w:tcW w:w="102" w:type="pct"/>
            <w:vAlign w:val="bottom"/>
          </w:tcPr>
          <w:p w:rsidR="00376768" w:rsidRDefault="00376768">
            <w:pPr>
              <w:rPr>
                <w:rFonts w:ascii="Arial" w:hAnsi="Arial" w:cs="Arial"/>
                <w:sz w:val="18"/>
              </w:rPr>
            </w:pPr>
          </w:p>
        </w:tc>
        <w:tc>
          <w:tcPr>
            <w:tcW w:w="51" w:type="pct"/>
            <w:vAlign w:val="bottom"/>
          </w:tcPr>
          <w:p w:rsidR="00376768" w:rsidRDefault="00376768">
            <w:pPr>
              <w:rPr>
                <w:rFonts w:ascii="Arial" w:hAnsi="Arial" w:cs="Arial"/>
                <w:sz w:val="18"/>
              </w:rPr>
            </w:pPr>
          </w:p>
        </w:tc>
        <w:tc>
          <w:tcPr>
            <w:tcW w:w="53" w:type="pct"/>
            <w:vAlign w:val="bottom"/>
          </w:tcPr>
          <w:p w:rsidR="00376768" w:rsidRDefault="00376768">
            <w:pPr>
              <w:rPr>
                <w:rFonts w:ascii="Arial" w:hAnsi="Arial" w:cs="Arial"/>
                <w:sz w:val="18"/>
              </w:rPr>
            </w:pPr>
          </w:p>
        </w:tc>
        <w:tc>
          <w:tcPr>
            <w:tcW w:w="318" w:type="pct"/>
            <w:vAlign w:val="bottom"/>
          </w:tcPr>
          <w:p w:rsidR="00376768" w:rsidRDefault="00376768">
            <w:pPr>
              <w:jc w:val="right"/>
              <w:rPr>
                <w:rFonts w:ascii="Arial" w:hAnsi="Arial" w:cs="Arial"/>
                <w:sz w:val="18"/>
              </w:rPr>
            </w:pPr>
          </w:p>
        </w:tc>
        <w:tc>
          <w:tcPr>
            <w:tcW w:w="260" w:type="pct"/>
            <w:vAlign w:val="bottom"/>
          </w:tcPr>
          <w:p w:rsidR="00376768" w:rsidRDefault="00376768">
            <w:pPr>
              <w:rPr>
                <w:rFonts w:ascii="Arial" w:hAnsi="Arial" w:cs="Arial"/>
                <w:sz w:val="18"/>
              </w:rPr>
            </w:pPr>
          </w:p>
        </w:tc>
        <w:tc>
          <w:tcPr>
            <w:tcW w:w="69" w:type="pct"/>
            <w:vAlign w:val="bottom"/>
          </w:tcPr>
          <w:p w:rsidR="00376768" w:rsidRDefault="00376768">
            <w:pPr>
              <w:rPr>
                <w:rFonts w:ascii="Arial" w:hAnsi="Arial" w:cs="Arial"/>
                <w:sz w:val="18"/>
              </w:rPr>
            </w:pPr>
          </w:p>
        </w:tc>
      </w:tr>
      <w:tr w:rsidR="00376768">
        <w:trPr>
          <w:jc w:val="center"/>
        </w:trPr>
        <w:tc>
          <w:tcPr>
            <w:tcW w:w="3249" w:type="pct"/>
            <w:vAlign w:val="bottom"/>
          </w:tcPr>
          <w:p w:rsidR="00376768" w:rsidRDefault="00EC2B72">
            <w:pPr>
              <w:tabs>
                <w:tab w:val="left" w:leader="dot" w:pos="7200"/>
              </w:tabs>
              <w:ind w:left="173"/>
              <w:rPr>
                <w:rFonts w:ascii="Arial" w:hAnsi="Arial" w:cs="Arial"/>
                <w:sz w:val="18"/>
              </w:rPr>
            </w:pPr>
            <w:r>
              <w:rPr>
                <w:rFonts w:ascii="Arial" w:hAnsi="Arial" w:cs="Arial"/>
                <w:sz w:val="18"/>
              </w:rPr>
              <w:t>Legion Group</w:t>
            </w:r>
            <w:r>
              <w:rPr>
                <w:rFonts w:ascii="Arial" w:hAnsi="Arial" w:cs="Arial"/>
                <w:sz w:val="18"/>
                <w:vertAlign w:val="superscript"/>
              </w:rPr>
              <w:t>(c)(d)</w:t>
            </w:r>
          </w:p>
        </w:tc>
        <w:tc>
          <w:tcPr>
            <w:tcW w:w="103" w:type="pct"/>
            <w:vAlign w:val="bottom"/>
          </w:tcPr>
          <w:p w:rsidR="00376768" w:rsidRDefault="00376768">
            <w:pPr>
              <w:rPr>
                <w:rFonts w:ascii="Arial" w:hAnsi="Arial" w:cs="Arial"/>
                <w:sz w:val="18"/>
              </w:rPr>
            </w:pPr>
          </w:p>
        </w:tc>
        <w:tc>
          <w:tcPr>
            <w:tcW w:w="51" w:type="pct"/>
            <w:vAlign w:val="bottom"/>
          </w:tcPr>
          <w:p w:rsidR="00376768" w:rsidRDefault="00376768">
            <w:pPr>
              <w:rPr>
                <w:rFonts w:ascii="Arial" w:hAnsi="Arial" w:cs="Arial"/>
                <w:sz w:val="18"/>
              </w:rPr>
            </w:pPr>
          </w:p>
        </w:tc>
        <w:tc>
          <w:tcPr>
            <w:tcW w:w="53" w:type="pct"/>
            <w:vAlign w:val="bottom"/>
          </w:tcPr>
          <w:p w:rsidR="00376768" w:rsidRDefault="00376768">
            <w:pPr>
              <w:rPr>
                <w:rFonts w:ascii="Arial" w:hAnsi="Arial" w:cs="Arial"/>
                <w:sz w:val="18"/>
              </w:rPr>
            </w:pPr>
          </w:p>
        </w:tc>
        <w:tc>
          <w:tcPr>
            <w:tcW w:w="691" w:type="pct"/>
            <w:vAlign w:val="bottom"/>
          </w:tcPr>
          <w:p w:rsidR="00376768" w:rsidRDefault="00EC2B72">
            <w:pPr>
              <w:jc w:val="right"/>
              <w:rPr>
                <w:rFonts w:ascii="Arial" w:hAnsi="Arial" w:cs="Arial"/>
                <w:sz w:val="18"/>
              </w:rPr>
            </w:pPr>
            <w:r>
              <w:rPr>
                <w:rFonts w:ascii="Arial" w:hAnsi="Arial" w:cs="Arial"/>
                <w:sz w:val="18"/>
              </w:rPr>
              <w:t>1,595,621</w:t>
            </w:r>
          </w:p>
        </w:tc>
        <w:tc>
          <w:tcPr>
            <w:tcW w:w="102" w:type="pct"/>
            <w:vAlign w:val="bottom"/>
          </w:tcPr>
          <w:p w:rsidR="00376768" w:rsidRDefault="00376768">
            <w:pPr>
              <w:rPr>
                <w:rFonts w:ascii="Arial" w:hAnsi="Arial" w:cs="Arial"/>
                <w:sz w:val="18"/>
              </w:rPr>
            </w:pPr>
          </w:p>
        </w:tc>
        <w:tc>
          <w:tcPr>
            <w:tcW w:w="51" w:type="pct"/>
            <w:vAlign w:val="bottom"/>
          </w:tcPr>
          <w:p w:rsidR="00376768" w:rsidRDefault="00376768">
            <w:pPr>
              <w:rPr>
                <w:rFonts w:ascii="Arial" w:hAnsi="Arial" w:cs="Arial"/>
                <w:sz w:val="18"/>
              </w:rPr>
            </w:pPr>
          </w:p>
        </w:tc>
        <w:tc>
          <w:tcPr>
            <w:tcW w:w="53" w:type="pct"/>
            <w:vAlign w:val="bottom"/>
          </w:tcPr>
          <w:p w:rsidR="00376768" w:rsidRDefault="00376768">
            <w:pPr>
              <w:rPr>
                <w:rFonts w:ascii="Arial" w:hAnsi="Arial" w:cs="Arial"/>
                <w:sz w:val="18"/>
              </w:rPr>
            </w:pPr>
          </w:p>
        </w:tc>
        <w:tc>
          <w:tcPr>
            <w:tcW w:w="318" w:type="pct"/>
            <w:vAlign w:val="bottom"/>
          </w:tcPr>
          <w:p w:rsidR="00376768" w:rsidRDefault="00EC2B72">
            <w:pPr>
              <w:jc w:val="right"/>
              <w:rPr>
                <w:rFonts w:ascii="Arial" w:hAnsi="Arial" w:cs="Arial"/>
                <w:sz w:val="18"/>
              </w:rPr>
            </w:pPr>
            <w:r>
              <w:rPr>
                <w:rFonts w:ascii="Arial" w:hAnsi="Arial" w:cs="Arial"/>
                <w:sz w:val="18"/>
              </w:rPr>
              <w:t>15.1</w:t>
            </w:r>
          </w:p>
        </w:tc>
        <w:tc>
          <w:tcPr>
            <w:tcW w:w="260" w:type="pct"/>
            <w:vAlign w:val="bottom"/>
          </w:tcPr>
          <w:p w:rsidR="00376768" w:rsidRDefault="00EC2B72">
            <w:pPr>
              <w:rPr>
                <w:rFonts w:ascii="Arial" w:hAnsi="Arial" w:cs="Arial"/>
                <w:sz w:val="18"/>
              </w:rPr>
            </w:pPr>
            <w:r>
              <w:rPr>
                <w:rFonts w:ascii="Arial" w:hAnsi="Arial" w:cs="Arial"/>
                <w:sz w:val="18"/>
              </w:rPr>
              <w:t>%</w:t>
            </w:r>
          </w:p>
        </w:tc>
        <w:tc>
          <w:tcPr>
            <w:tcW w:w="69" w:type="pct"/>
            <w:vAlign w:val="bottom"/>
          </w:tcPr>
          <w:p w:rsidR="00376768" w:rsidRDefault="00376768">
            <w:pPr>
              <w:rPr>
                <w:rFonts w:ascii="Arial" w:hAnsi="Arial" w:cs="Arial"/>
                <w:sz w:val="18"/>
              </w:rPr>
            </w:pPr>
          </w:p>
        </w:tc>
      </w:tr>
      <w:tr w:rsidR="00376768">
        <w:trPr>
          <w:jc w:val="center"/>
        </w:trPr>
        <w:tc>
          <w:tcPr>
            <w:tcW w:w="3249" w:type="pct"/>
            <w:vAlign w:val="bottom"/>
          </w:tcPr>
          <w:p w:rsidR="00376768" w:rsidRDefault="00376768">
            <w:pPr>
              <w:tabs>
                <w:tab w:val="left" w:leader="dot" w:pos="7200"/>
              </w:tabs>
              <w:rPr>
                <w:rFonts w:ascii="Arial" w:hAnsi="Arial" w:cs="Arial"/>
                <w:sz w:val="18"/>
              </w:rPr>
            </w:pPr>
          </w:p>
        </w:tc>
        <w:tc>
          <w:tcPr>
            <w:tcW w:w="103" w:type="pct"/>
            <w:vAlign w:val="bottom"/>
          </w:tcPr>
          <w:p w:rsidR="00376768" w:rsidRDefault="00376768">
            <w:pPr>
              <w:rPr>
                <w:rFonts w:ascii="Arial" w:hAnsi="Arial" w:cs="Arial"/>
                <w:sz w:val="18"/>
              </w:rPr>
            </w:pPr>
          </w:p>
        </w:tc>
        <w:tc>
          <w:tcPr>
            <w:tcW w:w="51" w:type="pct"/>
            <w:vAlign w:val="bottom"/>
          </w:tcPr>
          <w:p w:rsidR="00376768" w:rsidRDefault="00376768">
            <w:pPr>
              <w:rPr>
                <w:rFonts w:ascii="Arial" w:hAnsi="Arial" w:cs="Arial"/>
                <w:sz w:val="18"/>
              </w:rPr>
            </w:pPr>
          </w:p>
        </w:tc>
        <w:tc>
          <w:tcPr>
            <w:tcW w:w="53" w:type="pct"/>
            <w:vAlign w:val="bottom"/>
          </w:tcPr>
          <w:p w:rsidR="00376768" w:rsidRDefault="00376768">
            <w:pPr>
              <w:rPr>
                <w:rFonts w:ascii="Arial" w:hAnsi="Arial" w:cs="Arial"/>
                <w:sz w:val="18"/>
              </w:rPr>
            </w:pPr>
          </w:p>
        </w:tc>
        <w:tc>
          <w:tcPr>
            <w:tcW w:w="691" w:type="pct"/>
            <w:vAlign w:val="bottom"/>
          </w:tcPr>
          <w:p w:rsidR="00376768" w:rsidRDefault="00376768">
            <w:pPr>
              <w:jc w:val="right"/>
              <w:rPr>
                <w:rFonts w:ascii="Arial" w:hAnsi="Arial" w:cs="Arial"/>
                <w:sz w:val="18"/>
              </w:rPr>
            </w:pPr>
          </w:p>
        </w:tc>
        <w:tc>
          <w:tcPr>
            <w:tcW w:w="102" w:type="pct"/>
            <w:vAlign w:val="bottom"/>
          </w:tcPr>
          <w:p w:rsidR="00376768" w:rsidRDefault="00376768">
            <w:pPr>
              <w:rPr>
                <w:rFonts w:ascii="Arial" w:hAnsi="Arial" w:cs="Arial"/>
                <w:sz w:val="18"/>
              </w:rPr>
            </w:pPr>
          </w:p>
        </w:tc>
        <w:tc>
          <w:tcPr>
            <w:tcW w:w="51" w:type="pct"/>
            <w:vAlign w:val="bottom"/>
          </w:tcPr>
          <w:p w:rsidR="00376768" w:rsidRDefault="00376768">
            <w:pPr>
              <w:rPr>
                <w:rFonts w:ascii="Arial" w:hAnsi="Arial" w:cs="Arial"/>
                <w:sz w:val="18"/>
              </w:rPr>
            </w:pPr>
          </w:p>
        </w:tc>
        <w:tc>
          <w:tcPr>
            <w:tcW w:w="53" w:type="pct"/>
            <w:vAlign w:val="bottom"/>
          </w:tcPr>
          <w:p w:rsidR="00376768" w:rsidRDefault="00376768">
            <w:pPr>
              <w:rPr>
                <w:rFonts w:ascii="Arial" w:hAnsi="Arial" w:cs="Arial"/>
                <w:sz w:val="18"/>
              </w:rPr>
            </w:pPr>
          </w:p>
        </w:tc>
        <w:tc>
          <w:tcPr>
            <w:tcW w:w="318" w:type="pct"/>
            <w:vAlign w:val="bottom"/>
          </w:tcPr>
          <w:p w:rsidR="00376768" w:rsidRDefault="00376768">
            <w:pPr>
              <w:jc w:val="right"/>
              <w:rPr>
                <w:rFonts w:ascii="Arial" w:hAnsi="Arial" w:cs="Arial"/>
                <w:sz w:val="18"/>
              </w:rPr>
            </w:pPr>
          </w:p>
        </w:tc>
        <w:tc>
          <w:tcPr>
            <w:tcW w:w="260" w:type="pct"/>
            <w:vAlign w:val="bottom"/>
          </w:tcPr>
          <w:p w:rsidR="00376768" w:rsidRDefault="00376768">
            <w:pPr>
              <w:rPr>
                <w:rFonts w:ascii="Arial" w:hAnsi="Arial" w:cs="Arial"/>
                <w:sz w:val="18"/>
              </w:rPr>
            </w:pPr>
          </w:p>
        </w:tc>
        <w:tc>
          <w:tcPr>
            <w:tcW w:w="69" w:type="pct"/>
            <w:vAlign w:val="bottom"/>
          </w:tcPr>
          <w:p w:rsidR="00376768" w:rsidRDefault="00376768">
            <w:pPr>
              <w:rPr>
                <w:rFonts w:ascii="Arial" w:hAnsi="Arial" w:cs="Arial"/>
                <w:sz w:val="18"/>
              </w:rPr>
            </w:pPr>
          </w:p>
        </w:tc>
      </w:tr>
      <w:tr w:rsidR="00376768">
        <w:trPr>
          <w:jc w:val="center"/>
        </w:trPr>
        <w:tc>
          <w:tcPr>
            <w:tcW w:w="3249" w:type="pct"/>
            <w:vAlign w:val="bottom"/>
          </w:tcPr>
          <w:p w:rsidR="00376768" w:rsidRDefault="00EC2B72">
            <w:pPr>
              <w:tabs>
                <w:tab w:val="left" w:leader="dot" w:pos="7200"/>
              </w:tabs>
              <w:rPr>
                <w:rFonts w:ascii="Arial" w:hAnsi="Arial" w:cs="Arial"/>
                <w:b/>
                <w:bCs/>
                <w:sz w:val="18"/>
              </w:rPr>
            </w:pPr>
            <w:r>
              <w:rPr>
                <w:rFonts w:ascii="Arial" w:hAnsi="Arial" w:cs="Arial"/>
                <w:b/>
                <w:bCs/>
                <w:sz w:val="18"/>
              </w:rPr>
              <w:t>Nominees for Director:</w:t>
            </w:r>
          </w:p>
        </w:tc>
        <w:tc>
          <w:tcPr>
            <w:tcW w:w="103" w:type="pct"/>
            <w:vAlign w:val="bottom"/>
          </w:tcPr>
          <w:p w:rsidR="00376768" w:rsidRDefault="00376768">
            <w:pPr>
              <w:rPr>
                <w:rFonts w:ascii="Arial" w:hAnsi="Arial" w:cs="Arial"/>
                <w:sz w:val="18"/>
              </w:rPr>
            </w:pPr>
          </w:p>
        </w:tc>
        <w:tc>
          <w:tcPr>
            <w:tcW w:w="51" w:type="pct"/>
            <w:vAlign w:val="bottom"/>
          </w:tcPr>
          <w:p w:rsidR="00376768" w:rsidRDefault="00376768">
            <w:pPr>
              <w:rPr>
                <w:rFonts w:ascii="Arial" w:hAnsi="Arial" w:cs="Arial"/>
                <w:sz w:val="18"/>
              </w:rPr>
            </w:pPr>
          </w:p>
        </w:tc>
        <w:tc>
          <w:tcPr>
            <w:tcW w:w="53" w:type="pct"/>
            <w:vAlign w:val="bottom"/>
          </w:tcPr>
          <w:p w:rsidR="00376768" w:rsidRDefault="00376768">
            <w:pPr>
              <w:rPr>
                <w:rFonts w:ascii="Arial" w:hAnsi="Arial" w:cs="Arial"/>
                <w:sz w:val="18"/>
              </w:rPr>
            </w:pPr>
          </w:p>
        </w:tc>
        <w:tc>
          <w:tcPr>
            <w:tcW w:w="691" w:type="pct"/>
            <w:vAlign w:val="bottom"/>
          </w:tcPr>
          <w:p w:rsidR="00376768" w:rsidRDefault="00376768">
            <w:pPr>
              <w:jc w:val="right"/>
              <w:rPr>
                <w:rFonts w:ascii="Arial" w:hAnsi="Arial" w:cs="Arial"/>
                <w:sz w:val="18"/>
              </w:rPr>
            </w:pPr>
          </w:p>
        </w:tc>
        <w:tc>
          <w:tcPr>
            <w:tcW w:w="102" w:type="pct"/>
            <w:vAlign w:val="bottom"/>
          </w:tcPr>
          <w:p w:rsidR="00376768" w:rsidRDefault="00376768">
            <w:pPr>
              <w:rPr>
                <w:rFonts w:ascii="Arial" w:hAnsi="Arial" w:cs="Arial"/>
                <w:sz w:val="18"/>
              </w:rPr>
            </w:pPr>
          </w:p>
        </w:tc>
        <w:tc>
          <w:tcPr>
            <w:tcW w:w="51" w:type="pct"/>
            <w:vAlign w:val="bottom"/>
          </w:tcPr>
          <w:p w:rsidR="00376768" w:rsidRDefault="00376768">
            <w:pPr>
              <w:rPr>
                <w:rFonts w:ascii="Arial" w:hAnsi="Arial" w:cs="Arial"/>
                <w:sz w:val="18"/>
              </w:rPr>
            </w:pPr>
          </w:p>
        </w:tc>
        <w:tc>
          <w:tcPr>
            <w:tcW w:w="53" w:type="pct"/>
            <w:vAlign w:val="bottom"/>
          </w:tcPr>
          <w:p w:rsidR="00376768" w:rsidRDefault="00376768">
            <w:pPr>
              <w:rPr>
                <w:rFonts w:ascii="Arial" w:hAnsi="Arial" w:cs="Arial"/>
                <w:sz w:val="18"/>
              </w:rPr>
            </w:pPr>
          </w:p>
        </w:tc>
        <w:tc>
          <w:tcPr>
            <w:tcW w:w="318" w:type="pct"/>
            <w:vAlign w:val="bottom"/>
          </w:tcPr>
          <w:p w:rsidR="00376768" w:rsidRDefault="00376768">
            <w:pPr>
              <w:jc w:val="right"/>
              <w:rPr>
                <w:rFonts w:ascii="Arial" w:hAnsi="Arial" w:cs="Arial"/>
                <w:sz w:val="18"/>
              </w:rPr>
            </w:pPr>
          </w:p>
        </w:tc>
        <w:tc>
          <w:tcPr>
            <w:tcW w:w="260" w:type="pct"/>
            <w:vAlign w:val="bottom"/>
          </w:tcPr>
          <w:p w:rsidR="00376768" w:rsidRDefault="00376768">
            <w:pPr>
              <w:rPr>
                <w:rFonts w:ascii="Arial" w:hAnsi="Arial" w:cs="Arial"/>
                <w:sz w:val="18"/>
              </w:rPr>
            </w:pPr>
          </w:p>
        </w:tc>
        <w:tc>
          <w:tcPr>
            <w:tcW w:w="69" w:type="pct"/>
            <w:vAlign w:val="bottom"/>
          </w:tcPr>
          <w:p w:rsidR="00376768" w:rsidRDefault="00376768">
            <w:pPr>
              <w:rPr>
                <w:rFonts w:ascii="Arial" w:hAnsi="Arial" w:cs="Arial"/>
                <w:sz w:val="18"/>
              </w:rPr>
            </w:pPr>
          </w:p>
        </w:tc>
      </w:tr>
      <w:tr w:rsidR="00376768">
        <w:trPr>
          <w:jc w:val="center"/>
        </w:trPr>
        <w:tc>
          <w:tcPr>
            <w:tcW w:w="3249" w:type="pct"/>
            <w:vAlign w:val="bottom"/>
          </w:tcPr>
          <w:p w:rsidR="00376768" w:rsidRDefault="00EC2B72">
            <w:pPr>
              <w:tabs>
                <w:tab w:val="left" w:leader="dot" w:pos="7200"/>
              </w:tabs>
              <w:ind w:left="173"/>
              <w:rPr>
                <w:rFonts w:ascii="Arial" w:hAnsi="Arial" w:cs="Arial"/>
                <w:sz w:val="18"/>
              </w:rPr>
            </w:pPr>
            <w:r>
              <w:rPr>
                <w:rFonts w:ascii="Arial" w:hAnsi="Arial" w:cs="Arial"/>
                <w:sz w:val="18"/>
              </w:rPr>
              <w:t>Robert P. Bauer (CEO)</w:t>
            </w:r>
          </w:p>
        </w:tc>
        <w:tc>
          <w:tcPr>
            <w:tcW w:w="103" w:type="pct"/>
            <w:vAlign w:val="bottom"/>
          </w:tcPr>
          <w:p w:rsidR="00376768" w:rsidRDefault="00376768">
            <w:pPr>
              <w:rPr>
                <w:rFonts w:ascii="Arial" w:hAnsi="Arial" w:cs="Arial"/>
                <w:sz w:val="18"/>
              </w:rPr>
            </w:pPr>
          </w:p>
        </w:tc>
        <w:tc>
          <w:tcPr>
            <w:tcW w:w="51" w:type="pct"/>
            <w:vAlign w:val="bottom"/>
          </w:tcPr>
          <w:p w:rsidR="00376768" w:rsidRDefault="00376768">
            <w:pPr>
              <w:rPr>
                <w:rFonts w:ascii="Arial" w:hAnsi="Arial" w:cs="Arial"/>
                <w:sz w:val="18"/>
              </w:rPr>
            </w:pPr>
          </w:p>
        </w:tc>
        <w:tc>
          <w:tcPr>
            <w:tcW w:w="53" w:type="pct"/>
            <w:vAlign w:val="bottom"/>
          </w:tcPr>
          <w:p w:rsidR="00376768" w:rsidRDefault="00376768">
            <w:pPr>
              <w:rPr>
                <w:rFonts w:ascii="Arial" w:hAnsi="Arial" w:cs="Arial"/>
                <w:sz w:val="18"/>
              </w:rPr>
            </w:pPr>
          </w:p>
        </w:tc>
        <w:tc>
          <w:tcPr>
            <w:tcW w:w="691" w:type="pct"/>
            <w:vAlign w:val="bottom"/>
          </w:tcPr>
          <w:p w:rsidR="00376768" w:rsidRDefault="00EC2B72">
            <w:pPr>
              <w:jc w:val="right"/>
              <w:rPr>
                <w:rFonts w:ascii="Arial" w:hAnsi="Arial" w:cs="Arial"/>
                <w:sz w:val="18"/>
              </w:rPr>
            </w:pPr>
            <w:r>
              <w:rPr>
                <w:rFonts w:ascii="Arial" w:hAnsi="Arial" w:cs="Arial"/>
                <w:sz w:val="18"/>
              </w:rPr>
              <w:t>96,778</w:t>
            </w:r>
          </w:p>
        </w:tc>
        <w:tc>
          <w:tcPr>
            <w:tcW w:w="102" w:type="pct"/>
            <w:vAlign w:val="bottom"/>
          </w:tcPr>
          <w:p w:rsidR="00376768" w:rsidRDefault="00376768">
            <w:pPr>
              <w:rPr>
                <w:rFonts w:ascii="Arial" w:hAnsi="Arial" w:cs="Arial"/>
                <w:sz w:val="18"/>
              </w:rPr>
            </w:pPr>
          </w:p>
        </w:tc>
        <w:tc>
          <w:tcPr>
            <w:tcW w:w="51" w:type="pct"/>
            <w:vAlign w:val="bottom"/>
          </w:tcPr>
          <w:p w:rsidR="00376768" w:rsidRDefault="00376768">
            <w:pPr>
              <w:rPr>
                <w:rFonts w:ascii="Arial" w:hAnsi="Arial" w:cs="Arial"/>
                <w:sz w:val="18"/>
              </w:rPr>
            </w:pPr>
          </w:p>
        </w:tc>
        <w:tc>
          <w:tcPr>
            <w:tcW w:w="53" w:type="pct"/>
            <w:vAlign w:val="bottom"/>
          </w:tcPr>
          <w:p w:rsidR="00376768" w:rsidRDefault="00376768">
            <w:pPr>
              <w:rPr>
                <w:rFonts w:ascii="Arial" w:hAnsi="Arial" w:cs="Arial"/>
                <w:sz w:val="18"/>
              </w:rPr>
            </w:pPr>
          </w:p>
        </w:tc>
        <w:tc>
          <w:tcPr>
            <w:tcW w:w="318" w:type="pct"/>
            <w:vAlign w:val="bottom"/>
          </w:tcPr>
          <w:p w:rsidR="00376768" w:rsidRDefault="00EC2B72">
            <w:pPr>
              <w:jc w:val="right"/>
              <w:rPr>
                <w:rFonts w:ascii="Arial" w:hAnsi="Arial" w:cs="Arial"/>
                <w:sz w:val="18"/>
              </w:rPr>
            </w:pPr>
            <w:r>
              <w:rPr>
                <w:rFonts w:ascii="Arial" w:hAnsi="Arial" w:cs="Arial"/>
                <w:sz w:val="18"/>
              </w:rPr>
              <w:t>*</w:t>
            </w:r>
          </w:p>
        </w:tc>
        <w:tc>
          <w:tcPr>
            <w:tcW w:w="260" w:type="pct"/>
            <w:vAlign w:val="bottom"/>
          </w:tcPr>
          <w:p w:rsidR="00376768" w:rsidRDefault="00376768">
            <w:pPr>
              <w:rPr>
                <w:rFonts w:ascii="Arial" w:hAnsi="Arial" w:cs="Arial"/>
                <w:sz w:val="18"/>
              </w:rPr>
            </w:pPr>
          </w:p>
        </w:tc>
        <w:tc>
          <w:tcPr>
            <w:tcW w:w="69" w:type="pct"/>
            <w:vAlign w:val="bottom"/>
          </w:tcPr>
          <w:p w:rsidR="00376768" w:rsidRDefault="00376768">
            <w:pPr>
              <w:rPr>
                <w:rFonts w:ascii="Arial" w:hAnsi="Arial" w:cs="Arial"/>
                <w:sz w:val="18"/>
              </w:rPr>
            </w:pPr>
          </w:p>
        </w:tc>
      </w:tr>
      <w:tr w:rsidR="00376768">
        <w:trPr>
          <w:jc w:val="center"/>
        </w:trPr>
        <w:tc>
          <w:tcPr>
            <w:tcW w:w="3249" w:type="pct"/>
            <w:vAlign w:val="bottom"/>
          </w:tcPr>
          <w:p w:rsidR="00376768" w:rsidRDefault="00EC2B72">
            <w:pPr>
              <w:tabs>
                <w:tab w:val="left" w:leader="dot" w:pos="7200"/>
              </w:tabs>
              <w:ind w:left="173"/>
              <w:rPr>
                <w:rFonts w:ascii="Arial" w:hAnsi="Arial" w:cs="Arial"/>
                <w:sz w:val="18"/>
              </w:rPr>
            </w:pPr>
            <w:r>
              <w:rPr>
                <w:rFonts w:ascii="Arial" w:hAnsi="Arial" w:cs="Arial"/>
                <w:sz w:val="18"/>
              </w:rPr>
              <w:t>Lee B. Foster II</w:t>
            </w:r>
          </w:p>
        </w:tc>
        <w:tc>
          <w:tcPr>
            <w:tcW w:w="103" w:type="pct"/>
            <w:vAlign w:val="bottom"/>
          </w:tcPr>
          <w:p w:rsidR="00376768" w:rsidRDefault="00376768">
            <w:pPr>
              <w:rPr>
                <w:rFonts w:ascii="Arial" w:hAnsi="Arial" w:cs="Arial"/>
                <w:sz w:val="18"/>
              </w:rPr>
            </w:pPr>
          </w:p>
        </w:tc>
        <w:tc>
          <w:tcPr>
            <w:tcW w:w="51" w:type="pct"/>
            <w:vAlign w:val="bottom"/>
          </w:tcPr>
          <w:p w:rsidR="00376768" w:rsidRDefault="00376768">
            <w:pPr>
              <w:rPr>
                <w:rFonts w:ascii="Arial" w:hAnsi="Arial" w:cs="Arial"/>
                <w:sz w:val="18"/>
              </w:rPr>
            </w:pPr>
          </w:p>
        </w:tc>
        <w:tc>
          <w:tcPr>
            <w:tcW w:w="53" w:type="pct"/>
            <w:vAlign w:val="bottom"/>
          </w:tcPr>
          <w:p w:rsidR="00376768" w:rsidRDefault="00376768">
            <w:pPr>
              <w:rPr>
                <w:rFonts w:ascii="Arial" w:hAnsi="Arial" w:cs="Arial"/>
                <w:sz w:val="18"/>
              </w:rPr>
            </w:pPr>
          </w:p>
        </w:tc>
        <w:tc>
          <w:tcPr>
            <w:tcW w:w="691" w:type="pct"/>
            <w:vAlign w:val="bottom"/>
          </w:tcPr>
          <w:p w:rsidR="00376768" w:rsidRDefault="00EC2B72">
            <w:pPr>
              <w:jc w:val="right"/>
              <w:rPr>
                <w:rFonts w:ascii="Arial" w:hAnsi="Arial" w:cs="Arial"/>
                <w:sz w:val="18"/>
              </w:rPr>
            </w:pPr>
            <w:r>
              <w:rPr>
                <w:rFonts w:ascii="Arial" w:hAnsi="Arial" w:cs="Arial"/>
                <w:sz w:val="18"/>
              </w:rPr>
              <w:t>202,614</w:t>
            </w:r>
          </w:p>
        </w:tc>
        <w:tc>
          <w:tcPr>
            <w:tcW w:w="102" w:type="pct"/>
            <w:vAlign w:val="bottom"/>
          </w:tcPr>
          <w:p w:rsidR="00376768" w:rsidRDefault="00376768">
            <w:pPr>
              <w:rPr>
                <w:rFonts w:ascii="Arial" w:hAnsi="Arial" w:cs="Arial"/>
                <w:sz w:val="18"/>
              </w:rPr>
            </w:pPr>
          </w:p>
        </w:tc>
        <w:tc>
          <w:tcPr>
            <w:tcW w:w="51" w:type="pct"/>
            <w:vAlign w:val="bottom"/>
          </w:tcPr>
          <w:p w:rsidR="00376768" w:rsidRDefault="00376768">
            <w:pPr>
              <w:rPr>
                <w:rFonts w:ascii="Arial" w:hAnsi="Arial" w:cs="Arial"/>
                <w:sz w:val="18"/>
              </w:rPr>
            </w:pPr>
          </w:p>
        </w:tc>
        <w:tc>
          <w:tcPr>
            <w:tcW w:w="53" w:type="pct"/>
            <w:vAlign w:val="bottom"/>
          </w:tcPr>
          <w:p w:rsidR="00376768" w:rsidRDefault="00376768">
            <w:pPr>
              <w:rPr>
                <w:rFonts w:ascii="Arial" w:hAnsi="Arial" w:cs="Arial"/>
                <w:sz w:val="18"/>
              </w:rPr>
            </w:pPr>
          </w:p>
        </w:tc>
        <w:tc>
          <w:tcPr>
            <w:tcW w:w="318" w:type="pct"/>
            <w:vAlign w:val="bottom"/>
          </w:tcPr>
          <w:p w:rsidR="00376768" w:rsidRDefault="00EC2B72">
            <w:pPr>
              <w:jc w:val="right"/>
              <w:rPr>
                <w:rFonts w:ascii="Arial" w:hAnsi="Arial" w:cs="Arial"/>
                <w:sz w:val="18"/>
              </w:rPr>
            </w:pPr>
            <w:r>
              <w:rPr>
                <w:rFonts w:ascii="Arial" w:hAnsi="Arial" w:cs="Arial"/>
                <w:sz w:val="18"/>
              </w:rPr>
              <w:t>1.9</w:t>
            </w:r>
          </w:p>
        </w:tc>
        <w:tc>
          <w:tcPr>
            <w:tcW w:w="260" w:type="pct"/>
            <w:vAlign w:val="bottom"/>
          </w:tcPr>
          <w:p w:rsidR="00376768" w:rsidRDefault="00EC2B72">
            <w:pPr>
              <w:rPr>
                <w:rFonts w:ascii="Arial" w:hAnsi="Arial" w:cs="Arial"/>
                <w:sz w:val="18"/>
              </w:rPr>
            </w:pPr>
            <w:r>
              <w:rPr>
                <w:rFonts w:ascii="Arial" w:hAnsi="Arial" w:cs="Arial"/>
                <w:sz w:val="18"/>
              </w:rPr>
              <w:t>%</w:t>
            </w:r>
          </w:p>
        </w:tc>
        <w:tc>
          <w:tcPr>
            <w:tcW w:w="69" w:type="pct"/>
            <w:vAlign w:val="bottom"/>
          </w:tcPr>
          <w:p w:rsidR="00376768" w:rsidRDefault="00376768">
            <w:pPr>
              <w:rPr>
                <w:rFonts w:ascii="Arial" w:hAnsi="Arial" w:cs="Arial"/>
                <w:sz w:val="18"/>
              </w:rPr>
            </w:pPr>
          </w:p>
        </w:tc>
      </w:tr>
      <w:tr w:rsidR="00376768">
        <w:trPr>
          <w:jc w:val="center"/>
        </w:trPr>
        <w:tc>
          <w:tcPr>
            <w:tcW w:w="3249" w:type="pct"/>
            <w:vAlign w:val="bottom"/>
          </w:tcPr>
          <w:p w:rsidR="00376768" w:rsidRDefault="00EC2B72">
            <w:pPr>
              <w:tabs>
                <w:tab w:val="left" w:leader="dot" w:pos="7200"/>
              </w:tabs>
              <w:ind w:left="173"/>
              <w:rPr>
                <w:rFonts w:ascii="Arial" w:hAnsi="Arial" w:cs="Arial"/>
                <w:sz w:val="18"/>
              </w:rPr>
            </w:pPr>
            <w:r>
              <w:rPr>
                <w:rFonts w:ascii="Arial" w:hAnsi="Arial" w:cs="Arial"/>
                <w:sz w:val="18"/>
              </w:rPr>
              <w:t xml:space="preserve">Dirk </w:t>
            </w:r>
            <w:proofErr w:type="spellStart"/>
            <w:r>
              <w:rPr>
                <w:rFonts w:ascii="Arial" w:hAnsi="Arial" w:cs="Arial"/>
                <w:sz w:val="18"/>
              </w:rPr>
              <w:t>Jungé</w:t>
            </w:r>
            <w:proofErr w:type="spellEnd"/>
          </w:p>
        </w:tc>
        <w:tc>
          <w:tcPr>
            <w:tcW w:w="103" w:type="pct"/>
            <w:vAlign w:val="bottom"/>
          </w:tcPr>
          <w:p w:rsidR="00376768" w:rsidRDefault="00376768">
            <w:pPr>
              <w:rPr>
                <w:rFonts w:ascii="Arial" w:hAnsi="Arial" w:cs="Arial"/>
                <w:sz w:val="18"/>
              </w:rPr>
            </w:pPr>
          </w:p>
        </w:tc>
        <w:tc>
          <w:tcPr>
            <w:tcW w:w="51" w:type="pct"/>
            <w:vAlign w:val="bottom"/>
          </w:tcPr>
          <w:p w:rsidR="00376768" w:rsidRDefault="00376768">
            <w:pPr>
              <w:rPr>
                <w:rFonts w:ascii="Arial" w:hAnsi="Arial" w:cs="Arial"/>
                <w:sz w:val="18"/>
              </w:rPr>
            </w:pPr>
          </w:p>
        </w:tc>
        <w:tc>
          <w:tcPr>
            <w:tcW w:w="53" w:type="pct"/>
            <w:vAlign w:val="bottom"/>
          </w:tcPr>
          <w:p w:rsidR="00376768" w:rsidRDefault="00376768">
            <w:pPr>
              <w:rPr>
                <w:rFonts w:ascii="Arial" w:hAnsi="Arial" w:cs="Arial"/>
                <w:sz w:val="18"/>
              </w:rPr>
            </w:pPr>
          </w:p>
        </w:tc>
        <w:tc>
          <w:tcPr>
            <w:tcW w:w="691" w:type="pct"/>
            <w:vAlign w:val="bottom"/>
          </w:tcPr>
          <w:p w:rsidR="00376768" w:rsidRDefault="00EC2B72">
            <w:pPr>
              <w:jc w:val="right"/>
              <w:rPr>
                <w:rFonts w:ascii="Arial" w:hAnsi="Arial" w:cs="Arial"/>
                <w:sz w:val="18"/>
              </w:rPr>
            </w:pPr>
            <w:r>
              <w:rPr>
                <w:rFonts w:ascii="Arial" w:hAnsi="Arial" w:cs="Arial"/>
                <w:sz w:val="18"/>
              </w:rPr>
              <w:t>10,516</w:t>
            </w:r>
          </w:p>
        </w:tc>
        <w:tc>
          <w:tcPr>
            <w:tcW w:w="102" w:type="pct"/>
            <w:vAlign w:val="bottom"/>
          </w:tcPr>
          <w:p w:rsidR="00376768" w:rsidRDefault="00376768">
            <w:pPr>
              <w:rPr>
                <w:rFonts w:ascii="Arial" w:hAnsi="Arial" w:cs="Arial"/>
                <w:sz w:val="18"/>
              </w:rPr>
            </w:pPr>
          </w:p>
        </w:tc>
        <w:tc>
          <w:tcPr>
            <w:tcW w:w="51" w:type="pct"/>
            <w:vAlign w:val="bottom"/>
          </w:tcPr>
          <w:p w:rsidR="00376768" w:rsidRDefault="00376768">
            <w:pPr>
              <w:rPr>
                <w:rFonts w:ascii="Arial" w:hAnsi="Arial" w:cs="Arial"/>
                <w:sz w:val="18"/>
              </w:rPr>
            </w:pPr>
          </w:p>
        </w:tc>
        <w:tc>
          <w:tcPr>
            <w:tcW w:w="53" w:type="pct"/>
            <w:vAlign w:val="bottom"/>
          </w:tcPr>
          <w:p w:rsidR="00376768" w:rsidRDefault="00376768">
            <w:pPr>
              <w:rPr>
                <w:rFonts w:ascii="Arial" w:hAnsi="Arial" w:cs="Arial"/>
                <w:sz w:val="18"/>
              </w:rPr>
            </w:pPr>
          </w:p>
        </w:tc>
        <w:tc>
          <w:tcPr>
            <w:tcW w:w="318" w:type="pct"/>
            <w:vAlign w:val="bottom"/>
          </w:tcPr>
          <w:p w:rsidR="00376768" w:rsidRDefault="00EC2B72">
            <w:pPr>
              <w:jc w:val="right"/>
              <w:rPr>
                <w:rFonts w:ascii="Arial" w:hAnsi="Arial" w:cs="Arial"/>
                <w:sz w:val="18"/>
              </w:rPr>
            </w:pPr>
            <w:r>
              <w:rPr>
                <w:rFonts w:ascii="Arial" w:hAnsi="Arial" w:cs="Arial"/>
                <w:sz w:val="18"/>
              </w:rPr>
              <w:t>*</w:t>
            </w:r>
          </w:p>
        </w:tc>
        <w:tc>
          <w:tcPr>
            <w:tcW w:w="260" w:type="pct"/>
            <w:vAlign w:val="bottom"/>
          </w:tcPr>
          <w:p w:rsidR="00376768" w:rsidRDefault="00376768">
            <w:pPr>
              <w:rPr>
                <w:rFonts w:ascii="Arial" w:hAnsi="Arial" w:cs="Arial"/>
                <w:sz w:val="18"/>
              </w:rPr>
            </w:pPr>
          </w:p>
        </w:tc>
        <w:tc>
          <w:tcPr>
            <w:tcW w:w="69" w:type="pct"/>
            <w:vAlign w:val="bottom"/>
          </w:tcPr>
          <w:p w:rsidR="00376768" w:rsidRDefault="00376768">
            <w:pPr>
              <w:rPr>
                <w:rFonts w:ascii="Arial" w:hAnsi="Arial" w:cs="Arial"/>
                <w:sz w:val="18"/>
              </w:rPr>
            </w:pPr>
          </w:p>
        </w:tc>
      </w:tr>
      <w:tr w:rsidR="00376768">
        <w:trPr>
          <w:jc w:val="center"/>
        </w:trPr>
        <w:tc>
          <w:tcPr>
            <w:tcW w:w="3249" w:type="pct"/>
            <w:vAlign w:val="bottom"/>
          </w:tcPr>
          <w:p w:rsidR="00376768" w:rsidRDefault="00EC2B72">
            <w:pPr>
              <w:tabs>
                <w:tab w:val="left" w:leader="dot" w:pos="7200"/>
              </w:tabs>
              <w:ind w:left="173"/>
              <w:rPr>
                <w:rFonts w:ascii="Arial" w:hAnsi="Arial" w:cs="Arial"/>
                <w:sz w:val="18"/>
              </w:rPr>
            </w:pPr>
            <w:r>
              <w:rPr>
                <w:rFonts w:ascii="Arial" w:hAnsi="Arial" w:cs="Arial"/>
                <w:sz w:val="18"/>
              </w:rPr>
              <w:t>Diane B. Owen</w:t>
            </w:r>
          </w:p>
        </w:tc>
        <w:tc>
          <w:tcPr>
            <w:tcW w:w="103" w:type="pct"/>
            <w:vAlign w:val="bottom"/>
          </w:tcPr>
          <w:p w:rsidR="00376768" w:rsidRDefault="00376768">
            <w:pPr>
              <w:rPr>
                <w:rFonts w:ascii="Arial" w:hAnsi="Arial" w:cs="Arial"/>
                <w:sz w:val="18"/>
              </w:rPr>
            </w:pPr>
          </w:p>
        </w:tc>
        <w:tc>
          <w:tcPr>
            <w:tcW w:w="51" w:type="pct"/>
            <w:vAlign w:val="bottom"/>
          </w:tcPr>
          <w:p w:rsidR="00376768" w:rsidRDefault="00376768">
            <w:pPr>
              <w:rPr>
                <w:rFonts w:ascii="Arial" w:hAnsi="Arial" w:cs="Arial"/>
                <w:sz w:val="18"/>
              </w:rPr>
            </w:pPr>
          </w:p>
        </w:tc>
        <w:tc>
          <w:tcPr>
            <w:tcW w:w="53" w:type="pct"/>
            <w:vAlign w:val="bottom"/>
          </w:tcPr>
          <w:p w:rsidR="00376768" w:rsidRDefault="00376768">
            <w:pPr>
              <w:rPr>
                <w:rFonts w:ascii="Arial" w:hAnsi="Arial" w:cs="Arial"/>
                <w:sz w:val="18"/>
              </w:rPr>
            </w:pPr>
          </w:p>
        </w:tc>
        <w:tc>
          <w:tcPr>
            <w:tcW w:w="691" w:type="pct"/>
            <w:vAlign w:val="bottom"/>
          </w:tcPr>
          <w:p w:rsidR="00376768" w:rsidRDefault="00EC2B72">
            <w:pPr>
              <w:jc w:val="right"/>
              <w:rPr>
                <w:rFonts w:ascii="Arial" w:hAnsi="Arial" w:cs="Arial"/>
                <w:sz w:val="18"/>
              </w:rPr>
            </w:pPr>
            <w:r>
              <w:rPr>
                <w:rFonts w:ascii="Arial" w:hAnsi="Arial" w:cs="Arial"/>
                <w:sz w:val="18"/>
              </w:rPr>
              <w:t>40,598</w:t>
            </w:r>
          </w:p>
        </w:tc>
        <w:tc>
          <w:tcPr>
            <w:tcW w:w="102" w:type="pct"/>
            <w:vAlign w:val="bottom"/>
          </w:tcPr>
          <w:p w:rsidR="00376768" w:rsidRDefault="00376768">
            <w:pPr>
              <w:rPr>
                <w:rFonts w:ascii="Arial" w:hAnsi="Arial" w:cs="Arial"/>
                <w:sz w:val="18"/>
              </w:rPr>
            </w:pPr>
          </w:p>
        </w:tc>
        <w:tc>
          <w:tcPr>
            <w:tcW w:w="51" w:type="pct"/>
            <w:vAlign w:val="bottom"/>
          </w:tcPr>
          <w:p w:rsidR="00376768" w:rsidRDefault="00376768">
            <w:pPr>
              <w:rPr>
                <w:rFonts w:ascii="Arial" w:hAnsi="Arial" w:cs="Arial"/>
                <w:sz w:val="18"/>
              </w:rPr>
            </w:pPr>
          </w:p>
        </w:tc>
        <w:tc>
          <w:tcPr>
            <w:tcW w:w="53" w:type="pct"/>
            <w:vAlign w:val="bottom"/>
          </w:tcPr>
          <w:p w:rsidR="00376768" w:rsidRDefault="00376768">
            <w:pPr>
              <w:rPr>
                <w:rFonts w:ascii="Arial" w:hAnsi="Arial" w:cs="Arial"/>
                <w:sz w:val="18"/>
              </w:rPr>
            </w:pPr>
          </w:p>
        </w:tc>
        <w:tc>
          <w:tcPr>
            <w:tcW w:w="318" w:type="pct"/>
            <w:vAlign w:val="bottom"/>
          </w:tcPr>
          <w:p w:rsidR="00376768" w:rsidRDefault="00EC2B72">
            <w:pPr>
              <w:jc w:val="right"/>
              <w:rPr>
                <w:rFonts w:ascii="Arial" w:hAnsi="Arial" w:cs="Arial"/>
                <w:sz w:val="18"/>
              </w:rPr>
            </w:pPr>
            <w:r>
              <w:rPr>
                <w:rFonts w:ascii="Arial" w:hAnsi="Arial" w:cs="Arial"/>
                <w:sz w:val="18"/>
              </w:rPr>
              <w:t>*</w:t>
            </w:r>
          </w:p>
        </w:tc>
        <w:tc>
          <w:tcPr>
            <w:tcW w:w="260" w:type="pct"/>
            <w:vAlign w:val="bottom"/>
          </w:tcPr>
          <w:p w:rsidR="00376768" w:rsidRDefault="00376768">
            <w:pPr>
              <w:rPr>
                <w:rFonts w:ascii="Arial" w:hAnsi="Arial" w:cs="Arial"/>
                <w:sz w:val="18"/>
              </w:rPr>
            </w:pPr>
          </w:p>
        </w:tc>
        <w:tc>
          <w:tcPr>
            <w:tcW w:w="69" w:type="pct"/>
            <w:vAlign w:val="bottom"/>
          </w:tcPr>
          <w:p w:rsidR="00376768" w:rsidRDefault="00376768">
            <w:pPr>
              <w:rPr>
                <w:rFonts w:ascii="Arial" w:hAnsi="Arial" w:cs="Arial"/>
                <w:sz w:val="18"/>
              </w:rPr>
            </w:pPr>
          </w:p>
        </w:tc>
      </w:tr>
      <w:tr w:rsidR="00376768">
        <w:trPr>
          <w:jc w:val="center"/>
        </w:trPr>
        <w:tc>
          <w:tcPr>
            <w:tcW w:w="3249" w:type="pct"/>
            <w:vAlign w:val="bottom"/>
          </w:tcPr>
          <w:p w:rsidR="00376768" w:rsidRDefault="00EC2B72">
            <w:pPr>
              <w:tabs>
                <w:tab w:val="left" w:leader="dot" w:pos="7200"/>
              </w:tabs>
              <w:ind w:left="173"/>
              <w:rPr>
                <w:rFonts w:ascii="Arial" w:hAnsi="Arial" w:cs="Arial"/>
                <w:sz w:val="18"/>
              </w:rPr>
            </w:pPr>
            <w:r>
              <w:rPr>
                <w:rFonts w:ascii="Arial" w:hAnsi="Arial" w:cs="Arial"/>
                <w:sz w:val="18"/>
              </w:rPr>
              <w:t xml:space="preserve">Robert S. </w:t>
            </w:r>
            <w:proofErr w:type="spellStart"/>
            <w:r>
              <w:rPr>
                <w:rFonts w:ascii="Arial" w:hAnsi="Arial" w:cs="Arial"/>
                <w:sz w:val="18"/>
              </w:rPr>
              <w:t>Purgason</w:t>
            </w:r>
            <w:proofErr w:type="spellEnd"/>
          </w:p>
        </w:tc>
        <w:tc>
          <w:tcPr>
            <w:tcW w:w="103" w:type="pct"/>
            <w:vAlign w:val="bottom"/>
          </w:tcPr>
          <w:p w:rsidR="00376768" w:rsidRDefault="00376768">
            <w:pPr>
              <w:rPr>
                <w:rFonts w:ascii="Arial" w:hAnsi="Arial" w:cs="Arial"/>
                <w:sz w:val="18"/>
              </w:rPr>
            </w:pPr>
          </w:p>
        </w:tc>
        <w:tc>
          <w:tcPr>
            <w:tcW w:w="51" w:type="pct"/>
            <w:vAlign w:val="bottom"/>
          </w:tcPr>
          <w:p w:rsidR="00376768" w:rsidRDefault="00376768">
            <w:pPr>
              <w:rPr>
                <w:rFonts w:ascii="Arial" w:hAnsi="Arial" w:cs="Arial"/>
                <w:sz w:val="18"/>
              </w:rPr>
            </w:pPr>
          </w:p>
        </w:tc>
        <w:tc>
          <w:tcPr>
            <w:tcW w:w="53" w:type="pct"/>
            <w:vAlign w:val="bottom"/>
          </w:tcPr>
          <w:p w:rsidR="00376768" w:rsidRDefault="00376768">
            <w:pPr>
              <w:rPr>
                <w:rFonts w:ascii="Arial" w:hAnsi="Arial" w:cs="Arial"/>
                <w:sz w:val="18"/>
              </w:rPr>
            </w:pPr>
          </w:p>
        </w:tc>
        <w:tc>
          <w:tcPr>
            <w:tcW w:w="691" w:type="pct"/>
            <w:vAlign w:val="bottom"/>
          </w:tcPr>
          <w:p w:rsidR="00376768" w:rsidRDefault="00EC2B72">
            <w:pPr>
              <w:jc w:val="right"/>
              <w:rPr>
                <w:rFonts w:ascii="Arial" w:hAnsi="Arial" w:cs="Arial"/>
                <w:sz w:val="18"/>
              </w:rPr>
            </w:pPr>
            <w:r>
              <w:rPr>
                <w:rFonts w:ascii="Arial" w:hAnsi="Arial" w:cs="Arial"/>
                <w:sz w:val="18"/>
              </w:rPr>
              <w:t>35,169</w:t>
            </w:r>
          </w:p>
        </w:tc>
        <w:tc>
          <w:tcPr>
            <w:tcW w:w="102" w:type="pct"/>
            <w:vAlign w:val="bottom"/>
          </w:tcPr>
          <w:p w:rsidR="00376768" w:rsidRDefault="00376768">
            <w:pPr>
              <w:rPr>
                <w:rFonts w:ascii="Arial" w:hAnsi="Arial" w:cs="Arial"/>
                <w:sz w:val="18"/>
              </w:rPr>
            </w:pPr>
          </w:p>
        </w:tc>
        <w:tc>
          <w:tcPr>
            <w:tcW w:w="51" w:type="pct"/>
            <w:vAlign w:val="bottom"/>
          </w:tcPr>
          <w:p w:rsidR="00376768" w:rsidRDefault="00376768">
            <w:pPr>
              <w:rPr>
                <w:rFonts w:ascii="Arial" w:hAnsi="Arial" w:cs="Arial"/>
                <w:sz w:val="18"/>
              </w:rPr>
            </w:pPr>
          </w:p>
        </w:tc>
        <w:tc>
          <w:tcPr>
            <w:tcW w:w="53" w:type="pct"/>
            <w:vAlign w:val="bottom"/>
          </w:tcPr>
          <w:p w:rsidR="00376768" w:rsidRDefault="00376768">
            <w:pPr>
              <w:rPr>
                <w:rFonts w:ascii="Arial" w:hAnsi="Arial" w:cs="Arial"/>
                <w:sz w:val="18"/>
              </w:rPr>
            </w:pPr>
          </w:p>
        </w:tc>
        <w:tc>
          <w:tcPr>
            <w:tcW w:w="318" w:type="pct"/>
            <w:vAlign w:val="bottom"/>
          </w:tcPr>
          <w:p w:rsidR="00376768" w:rsidRDefault="00EC2B72">
            <w:pPr>
              <w:jc w:val="right"/>
              <w:rPr>
                <w:rFonts w:ascii="Arial" w:hAnsi="Arial" w:cs="Arial"/>
                <w:sz w:val="18"/>
              </w:rPr>
            </w:pPr>
            <w:r>
              <w:rPr>
                <w:rFonts w:ascii="Arial" w:hAnsi="Arial" w:cs="Arial"/>
                <w:sz w:val="18"/>
              </w:rPr>
              <w:t>*</w:t>
            </w:r>
          </w:p>
        </w:tc>
        <w:tc>
          <w:tcPr>
            <w:tcW w:w="260" w:type="pct"/>
            <w:vAlign w:val="bottom"/>
          </w:tcPr>
          <w:p w:rsidR="00376768" w:rsidRDefault="00376768">
            <w:pPr>
              <w:rPr>
                <w:rFonts w:ascii="Arial" w:hAnsi="Arial" w:cs="Arial"/>
                <w:sz w:val="18"/>
              </w:rPr>
            </w:pPr>
          </w:p>
        </w:tc>
        <w:tc>
          <w:tcPr>
            <w:tcW w:w="69" w:type="pct"/>
            <w:vAlign w:val="bottom"/>
          </w:tcPr>
          <w:p w:rsidR="00376768" w:rsidRDefault="00376768">
            <w:pPr>
              <w:rPr>
                <w:rFonts w:ascii="Arial" w:hAnsi="Arial" w:cs="Arial"/>
                <w:sz w:val="18"/>
              </w:rPr>
            </w:pPr>
          </w:p>
        </w:tc>
      </w:tr>
      <w:tr w:rsidR="00376768">
        <w:trPr>
          <w:jc w:val="center"/>
        </w:trPr>
        <w:tc>
          <w:tcPr>
            <w:tcW w:w="3249" w:type="pct"/>
            <w:vAlign w:val="bottom"/>
          </w:tcPr>
          <w:p w:rsidR="00376768" w:rsidRDefault="00EC2B72">
            <w:pPr>
              <w:tabs>
                <w:tab w:val="left" w:leader="dot" w:pos="7200"/>
              </w:tabs>
              <w:ind w:left="173"/>
              <w:rPr>
                <w:rFonts w:ascii="Arial" w:hAnsi="Arial" w:cs="Arial"/>
                <w:sz w:val="18"/>
              </w:rPr>
            </w:pPr>
            <w:r>
              <w:rPr>
                <w:rFonts w:ascii="Arial" w:hAnsi="Arial" w:cs="Arial"/>
                <w:sz w:val="18"/>
              </w:rPr>
              <w:t xml:space="preserve">William H. </w:t>
            </w:r>
            <w:proofErr w:type="spellStart"/>
            <w:r>
              <w:rPr>
                <w:rFonts w:ascii="Arial" w:hAnsi="Arial" w:cs="Arial"/>
                <w:sz w:val="18"/>
              </w:rPr>
              <w:t>Rackoff</w:t>
            </w:r>
            <w:proofErr w:type="spellEnd"/>
          </w:p>
        </w:tc>
        <w:tc>
          <w:tcPr>
            <w:tcW w:w="103" w:type="pct"/>
            <w:vAlign w:val="bottom"/>
          </w:tcPr>
          <w:p w:rsidR="00376768" w:rsidRDefault="00376768">
            <w:pPr>
              <w:rPr>
                <w:rFonts w:ascii="Arial" w:hAnsi="Arial" w:cs="Arial"/>
                <w:sz w:val="18"/>
              </w:rPr>
            </w:pPr>
          </w:p>
        </w:tc>
        <w:tc>
          <w:tcPr>
            <w:tcW w:w="51" w:type="pct"/>
            <w:vAlign w:val="bottom"/>
          </w:tcPr>
          <w:p w:rsidR="00376768" w:rsidRDefault="00376768">
            <w:pPr>
              <w:rPr>
                <w:rFonts w:ascii="Arial" w:hAnsi="Arial" w:cs="Arial"/>
                <w:sz w:val="18"/>
              </w:rPr>
            </w:pPr>
          </w:p>
        </w:tc>
        <w:tc>
          <w:tcPr>
            <w:tcW w:w="53" w:type="pct"/>
            <w:vAlign w:val="bottom"/>
          </w:tcPr>
          <w:p w:rsidR="00376768" w:rsidRDefault="00376768">
            <w:pPr>
              <w:rPr>
                <w:rFonts w:ascii="Arial" w:hAnsi="Arial" w:cs="Arial"/>
                <w:sz w:val="18"/>
              </w:rPr>
            </w:pPr>
          </w:p>
        </w:tc>
        <w:tc>
          <w:tcPr>
            <w:tcW w:w="691" w:type="pct"/>
            <w:vAlign w:val="bottom"/>
          </w:tcPr>
          <w:p w:rsidR="00376768" w:rsidRDefault="00EC2B72">
            <w:pPr>
              <w:jc w:val="right"/>
              <w:rPr>
                <w:rFonts w:ascii="Arial" w:hAnsi="Arial" w:cs="Arial"/>
                <w:sz w:val="18"/>
              </w:rPr>
            </w:pPr>
            <w:r>
              <w:rPr>
                <w:rFonts w:ascii="Arial" w:hAnsi="Arial" w:cs="Arial"/>
                <w:sz w:val="18"/>
              </w:rPr>
              <w:t>64,263</w:t>
            </w:r>
          </w:p>
        </w:tc>
        <w:tc>
          <w:tcPr>
            <w:tcW w:w="102" w:type="pct"/>
            <w:vAlign w:val="bottom"/>
          </w:tcPr>
          <w:p w:rsidR="00376768" w:rsidRDefault="00376768">
            <w:pPr>
              <w:rPr>
                <w:rFonts w:ascii="Arial" w:hAnsi="Arial" w:cs="Arial"/>
                <w:sz w:val="18"/>
              </w:rPr>
            </w:pPr>
          </w:p>
        </w:tc>
        <w:tc>
          <w:tcPr>
            <w:tcW w:w="51" w:type="pct"/>
            <w:vAlign w:val="bottom"/>
          </w:tcPr>
          <w:p w:rsidR="00376768" w:rsidRDefault="00376768">
            <w:pPr>
              <w:rPr>
                <w:rFonts w:ascii="Arial" w:hAnsi="Arial" w:cs="Arial"/>
                <w:sz w:val="18"/>
              </w:rPr>
            </w:pPr>
          </w:p>
        </w:tc>
        <w:tc>
          <w:tcPr>
            <w:tcW w:w="53" w:type="pct"/>
            <w:vAlign w:val="bottom"/>
          </w:tcPr>
          <w:p w:rsidR="00376768" w:rsidRDefault="00376768">
            <w:pPr>
              <w:rPr>
                <w:rFonts w:ascii="Arial" w:hAnsi="Arial" w:cs="Arial"/>
                <w:sz w:val="18"/>
              </w:rPr>
            </w:pPr>
          </w:p>
        </w:tc>
        <w:tc>
          <w:tcPr>
            <w:tcW w:w="318" w:type="pct"/>
            <w:vAlign w:val="bottom"/>
          </w:tcPr>
          <w:p w:rsidR="00376768" w:rsidRDefault="00EC2B72">
            <w:pPr>
              <w:jc w:val="right"/>
              <w:rPr>
                <w:rFonts w:ascii="Arial" w:hAnsi="Arial" w:cs="Arial"/>
                <w:sz w:val="18"/>
              </w:rPr>
            </w:pPr>
            <w:r>
              <w:rPr>
                <w:rFonts w:ascii="Arial" w:hAnsi="Arial" w:cs="Arial"/>
                <w:sz w:val="18"/>
              </w:rPr>
              <w:t>*</w:t>
            </w:r>
          </w:p>
        </w:tc>
        <w:tc>
          <w:tcPr>
            <w:tcW w:w="260" w:type="pct"/>
            <w:vAlign w:val="bottom"/>
          </w:tcPr>
          <w:p w:rsidR="00376768" w:rsidRDefault="00376768">
            <w:pPr>
              <w:rPr>
                <w:rFonts w:ascii="Arial" w:hAnsi="Arial" w:cs="Arial"/>
                <w:sz w:val="18"/>
              </w:rPr>
            </w:pPr>
          </w:p>
        </w:tc>
        <w:tc>
          <w:tcPr>
            <w:tcW w:w="69" w:type="pct"/>
            <w:vAlign w:val="bottom"/>
          </w:tcPr>
          <w:p w:rsidR="00376768" w:rsidRDefault="00376768">
            <w:pPr>
              <w:rPr>
                <w:rFonts w:ascii="Arial" w:hAnsi="Arial" w:cs="Arial"/>
                <w:sz w:val="18"/>
              </w:rPr>
            </w:pPr>
          </w:p>
        </w:tc>
      </w:tr>
      <w:tr w:rsidR="00376768">
        <w:trPr>
          <w:jc w:val="center"/>
        </w:trPr>
        <w:tc>
          <w:tcPr>
            <w:tcW w:w="3249" w:type="pct"/>
            <w:vAlign w:val="bottom"/>
          </w:tcPr>
          <w:p w:rsidR="00376768" w:rsidRDefault="00EC2B72">
            <w:pPr>
              <w:tabs>
                <w:tab w:val="left" w:leader="dot" w:pos="7200"/>
              </w:tabs>
              <w:ind w:left="173"/>
              <w:rPr>
                <w:rFonts w:ascii="Arial" w:hAnsi="Arial" w:cs="Arial"/>
                <w:sz w:val="18"/>
              </w:rPr>
            </w:pPr>
            <w:r>
              <w:rPr>
                <w:rFonts w:ascii="Arial" w:hAnsi="Arial" w:cs="Arial"/>
                <w:sz w:val="18"/>
              </w:rPr>
              <w:t>Suzanne B. Rowland</w:t>
            </w:r>
          </w:p>
        </w:tc>
        <w:tc>
          <w:tcPr>
            <w:tcW w:w="103" w:type="pct"/>
            <w:vAlign w:val="bottom"/>
          </w:tcPr>
          <w:p w:rsidR="00376768" w:rsidRDefault="00376768">
            <w:pPr>
              <w:rPr>
                <w:rFonts w:ascii="Arial" w:hAnsi="Arial" w:cs="Arial"/>
                <w:sz w:val="18"/>
              </w:rPr>
            </w:pPr>
          </w:p>
        </w:tc>
        <w:tc>
          <w:tcPr>
            <w:tcW w:w="51" w:type="pct"/>
            <w:vAlign w:val="bottom"/>
          </w:tcPr>
          <w:p w:rsidR="00376768" w:rsidRDefault="00376768">
            <w:pPr>
              <w:rPr>
                <w:rFonts w:ascii="Arial" w:hAnsi="Arial" w:cs="Arial"/>
                <w:sz w:val="18"/>
              </w:rPr>
            </w:pPr>
          </w:p>
        </w:tc>
        <w:tc>
          <w:tcPr>
            <w:tcW w:w="53" w:type="pct"/>
            <w:vAlign w:val="bottom"/>
          </w:tcPr>
          <w:p w:rsidR="00376768" w:rsidRDefault="00376768">
            <w:pPr>
              <w:rPr>
                <w:rFonts w:ascii="Arial" w:hAnsi="Arial" w:cs="Arial"/>
                <w:sz w:val="18"/>
              </w:rPr>
            </w:pPr>
          </w:p>
        </w:tc>
        <w:tc>
          <w:tcPr>
            <w:tcW w:w="691" w:type="pct"/>
            <w:vAlign w:val="bottom"/>
          </w:tcPr>
          <w:p w:rsidR="00376768" w:rsidRDefault="00EC2B72">
            <w:pPr>
              <w:jc w:val="right"/>
              <w:rPr>
                <w:rFonts w:ascii="Arial" w:hAnsi="Arial" w:cs="Arial"/>
                <w:sz w:val="18"/>
              </w:rPr>
            </w:pPr>
            <w:r>
              <w:rPr>
                <w:rFonts w:ascii="Arial" w:hAnsi="Arial" w:cs="Arial"/>
                <w:sz w:val="18"/>
              </w:rPr>
              <w:t>22,517</w:t>
            </w:r>
          </w:p>
        </w:tc>
        <w:tc>
          <w:tcPr>
            <w:tcW w:w="102" w:type="pct"/>
            <w:vAlign w:val="bottom"/>
          </w:tcPr>
          <w:p w:rsidR="00376768" w:rsidRDefault="00376768">
            <w:pPr>
              <w:rPr>
                <w:rFonts w:ascii="Arial" w:hAnsi="Arial" w:cs="Arial"/>
                <w:sz w:val="18"/>
              </w:rPr>
            </w:pPr>
          </w:p>
        </w:tc>
        <w:tc>
          <w:tcPr>
            <w:tcW w:w="51" w:type="pct"/>
            <w:vAlign w:val="bottom"/>
          </w:tcPr>
          <w:p w:rsidR="00376768" w:rsidRDefault="00376768">
            <w:pPr>
              <w:rPr>
                <w:rFonts w:ascii="Arial" w:hAnsi="Arial" w:cs="Arial"/>
                <w:sz w:val="18"/>
              </w:rPr>
            </w:pPr>
          </w:p>
        </w:tc>
        <w:tc>
          <w:tcPr>
            <w:tcW w:w="53" w:type="pct"/>
            <w:vAlign w:val="bottom"/>
          </w:tcPr>
          <w:p w:rsidR="00376768" w:rsidRDefault="00376768">
            <w:pPr>
              <w:rPr>
                <w:rFonts w:ascii="Arial" w:hAnsi="Arial" w:cs="Arial"/>
                <w:sz w:val="18"/>
              </w:rPr>
            </w:pPr>
          </w:p>
        </w:tc>
        <w:tc>
          <w:tcPr>
            <w:tcW w:w="318" w:type="pct"/>
            <w:vAlign w:val="bottom"/>
          </w:tcPr>
          <w:p w:rsidR="00376768" w:rsidRDefault="00EC2B72">
            <w:pPr>
              <w:jc w:val="right"/>
              <w:rPr>
                <w:rFonts w:ascii="Arial" w:hAnsi="Arial" w:cs="Arial"/>
                <w:sz w:val="18"/>
              </w:rPr>
            </w:pPr>
            <w:r>
              <w:rPr>
                <w:rFonts w:ascii="Arial" w:hAnsi="Arial" w:cs="Arial"/>
                <w:sz w:val="18"/>
              </w:rPr>
              <w:t>*</w:t>
            </w:r>
          </w:p>
        </w:tc>
        <w:tc>
          <w:tcPr>
            <w:tcW w:w="260" w:type="pct"/>
            <w:vAlign w:val="bottom"/>
          </w:tcPr>
          <w:p w:rsidR="00376768" w:rsidRDefault="00376768">
            <w:pPr>
              <w:rPr>
                <w:rFonts w:ascii="Arial" w:hAnsi="Arial" w:cs="Arial"/>
                <w:sz w:val="18"/>
              </w:rPr>
            </w:pPr>
          </w:p>
        </w:tc>
        <w:tc>
          <w:tcPr>
            <w:tcW w:w="69" w:type="pct"/>
            <w:vAlign w:val="bottom"/>
          </w:tcPr>
          <w:p w:rsidR="00376768" w:rsidRDefault="00376768">
            <w:pPr>
              <w:rPr>
                <w:rFonts w:ascii="Arial" w:hAnsi="Arial" w:cs="Arial"/>
                <w:sz w:val="18"/>
              </w:rPr>
            </w:pPr>
          </w:p>
        </w:tc>
      </w:tr>
      <w:tr w:rsidR="00376768">
        <w:trPr>
          <w:jc w:val="center"/>
        </w:trPr>
        <w:tc>
          <w:tcPr>
            <w:tcW w:w="3249" w:type="pct"/>
            <w:vAlign w:val="bottom"/>
          </w:tcPr>
          <w:p w:rsidR="00376768" w:rsidRDefault="00EC2B72">
            <w:pPr>
              <w:tabs>
                <w:tab w:val="left" w:leader="dot" w:pos="7200"/>
              </w:tabs>
              <w:ind w:left="173"/>
              <w:rPr>
                <w:rFonts w:ascii="Arial" w:hAnsi="Arial" w:cs="Arial"/>
                <w:sz w:val="18"/>
              </w:rPr>
            </w:pPr>
            <w:r>
              <w:rPr>
                <w:rFonts w:ascii="Arial" w:hAnsi="Arial" w:cs="Arial"/>
                <w:sz w:val="18"/>
              </w:rPr>
              <w:t xml:space="preserve">Bradley S. </w:t>
            </w:r>
            <w:proofErr w:type="spellStart"/>
            <w:r>
              <w:rPr>
                <w:rFonts w:ascii="Arial" w:hAnsi="Arial" w:cs="Arial"/>
                <w:sz w:val="18"/>
              </w:rPr>
              <w:t>Vizi</w:t>
            </w:r>
            <w:proofErr w:type="spellEnd"/>
            <w:r>
              <w:rPr>
                <w:rFonts w:ascii="Arial" w:hAnsi="Arial" w:cs="Arial"/>
                <w:sz w:val="18"/>
                <w:vertAlign w:val="superscript"/>
              </w:rPr>
              <w:t>(d)(e)</w:t>
            </w:r>
            <w:r>
              <w:rPr>
                <w:rFonts w:ascii="Arial" w:hAnsi="Arial" w:cs="Arial"/>
                <w:spacing w:val="26"/>
                <w:sz w:val="18"/>
              </w:rPr>
              <w:t xml:space="preserve"> </w:t>
            </w:r>
          </w:p>
        </w:tc>
        <w:tc>
          <w:tcPr>
            <w:tcW w:w="103" w:type="pct"/>
            <w:vAlign w:val="bottom"/>
          </w:tcPr>
          <w:p w:rsidR="00376768" w:rsidRDefault="00376768">
            <w:pPr>
              <w:rPr>
                <w:rFonts w:ascii="Arial" w:hAnsi="Arial" w:cs="Arial"/>
                <w:sz w:val="18"/>
              </w:rPr>
            </w:pPr>
          </w:p>
        </w:tc>
        <w:tc>
          <w:tcPr>
            <w:tcW w:w="51" w:type="pct"/>
            <w:vAlign w:val="bottom"/>
          </w:tcPr>
          <w:p w:rsidR="00376768" w:rsidRDefault="00376768">
            <w:pPr>
              <w:rPr>
                <w:rFonts w:ascii="Arial" w:hAnsi="Arial" w:cs="Arial"/>
                <w:sz w:val="18"/>
              </w:rPr>
            </w:pPr>
          </w:p>
        </w:tc>
        <w:tc>
          <w:tcPr>
            <w:tcW w:w="53" w:type="pct"/>
            <w:vAlign w:val="bottom"/>
          </w:tcPr>
          <w:p w:rsidR="00376768" w:rsidRDefault="00376768">
            <w:pPr>
              <w:rPr>
                <w:rFonts w:ascii="Arial" w:hAnsi="Arial" w:cs="Arial"/>
                <w:sz w:val="18"/>
              </w:rPr>
            </w:pPr>
          </w:p>
        </w:tc>
        <w:tc>
          <w:tcPr>
            <w:tcW w:w="691" w:type="pct"/>
            <w:vAlign w:val="bottom"/>
          </w:tcPr>
          <w:p w:rsidR="00376768" w:rsidRDefault="00EC2B72">
            <w:pPr>
              <w:jc w:val="right"/>
              <w:rPr>
                <w:rFonts w:ascii="Arial" w:hAnsi="Arial" w:cs="Arial"/>
                <w:sz w:val="18"/>
              </w:rPr>
            </w:pPr>
            <w:r>
              <w:rPr>
                <w:rFonts w:ascii="Arial" w:hAnsi="Arial" w:cs="Arial"/>
                <w:sz w:val="18"/>
              </w:rPr>
              <w:t>0</w:t>
            </w:r>
          </w:p>
        </w:tc>
        <w:tc>
          <w:tcPr>
            <w:tcW w:w="102" w:type="pct"/>
            <w:vAlign w:val="bottom"/>
          </w:tcPr>
          <w:p w:rsidR="00376768" w:rsidRDefault="00376768">
            <w:pPr>
              <w:rPr>
                <w:rFonts w:ascii="Arial" w:hAnsi="Arial" w:cs="Arial"/>
                <w:sz w:val="18"/>
              </w:rPr>
            </w:pPr>
          </w:p>
        </w:tc>
        <w:tc>
          <w:tcPr>
            <w:tcW w:w="51" w:type="pct"/>
            <w:vAlign w:val="bottom"/>
          </w:tcPr>
          <w:p w:rsidR="00376768" w:rsidRDefault="00376768">
            <w:pPr>
              <w:rPr>
                <w:rFonts w:ascii="Arial" w:hAnsi="Arial" w:cs="Arial"/>
                <w:sz w:val="18"/>
              </w:rPr>
            </w:pPr>
          </w:p>
        </w:tc>
        <w:tc>
          <w:tcPr>
            <w:tcW w:w="53" w:type="pct"/>
            <w:vAlign w:val="bottom"/>
          </w:tcPr>
          <w:p w:rsidR="00376768" w:rsidRDefault="00376768">
            <w:pPr>
              <w:rPr>
                <w:rFonts w:ascii="Arial" w:hAnsi="Arial" w:cs="Arial"/>
                <w:sz w:val="18"/>
              </w:rPr>
            </w:pPr>
          </w:p>
        </w:tc>
        <w:tc>
          <w:tcPr>
            <w:tcW w:w="318" w:type="pct"/>
            <w:vAlign w:val="bottom"/>
          </w:tcPr>
          <w:p w:rsidR="00376768" w:rsidRDefault="00EC2B72">
            <w:pPr>
              <w:jc w:val="right"/>
              <w:rPr>
                <w:rFonts w:ascii="Arial" w:hAnsi="Arial" w:cs="Arial"/>
                <w:sz w:val="18"/>
              </w:rPr>
            </w:pPr>
            <w:r>
              <w:rPr>
                <w:rFonts w:ascii="Arial" w:hAnsi="Arial" w:cs="Arial"/>
                <w:sz w:val="18"/>
              </w:rPr>
              <w:t>*</w:t>
            </w:r>
          </w:p>
        </w:tc>
        <w:tc>
          <w:tcPr>
            <w:tcW w:w="260" w:type="pct"/>
            <w:vAlign w:val="bottom"/>
          </w:tcPr>
          <w:p w:rsidR="00376768" w:rsidRDefault="00376768">
            <w:pPr>
              <w:rPr>
                <w:rFonts w:ascii="Arial" w:hAnsi="Arial" w:cs="Arial"/>
                <w:sz w:val="18"/>
              </w:rPr>
            </w:pPr>
          </w:p>
        </w:tc>
        <w:tc>
          <w:tcPr>
            <w:tcW w:w="69" w:type="pct"/>
            <w:vAlign w:val="bottom"/>
          </w:tcPr>
          <w:p w:rsidR="00376768" w:rsidRDefault="00376768">
            <w:pPr>
              <w:rPr>
                <w:rFonts w:ascii="Arial" w:hAnsi="Arial" w:cs="Arial"/>
                <w:sz w:val="18"/>
              </w:rPr>
            </w:pPr>
          </w:p>
        </w:tc>
      </w:tr>
      <w:tr w:rsidR="00376768">
        <w:trPr>
          <w:jc w:val="center"/>
        </w:trPr>
        <w:tc>
          <w:tcPr>
            <w:tcW w:w="3249" w:type="pct"/>
            <w:vAlign w:val="bottom"/>
          </w:tcPr>
          <w:p w:rsidR="00376768" w:rsidRDefault="00376768">
            <w:pPr>
              <w:tabs>
                <w:tab w:val="left" w:leader="dot" w:pos="7200"/>
              </w:tabs>
              <w:ind w:left="7200" w:hanging="7200"/>
              <w:rPr>
                <w:rFonts w:ascii="Arial" w:hAnsi="Arial" w:cs="Arial"/>
                <w:sz w:val="18"/>
              </w:rPr>
            </w:pPr>
          </w:p>
        </w:tc>
        <w:tc>
          <w:tcPr>
            <w:tcW w:w="103" w:type="pct"/>
            <w:vAlign w:val="bottom"/>
          </w:tcPr>
          <w:p w:rsidR="00376768" w:rsidRDefault="00376768">
            <w:pPr>
              <w:rPr>
                <w:rFonts w:ascii="Arial" w:hAnsi="Arial" w:cs="Arial"/>
                <w:sz w:val="18"/>
              </w:rPr>
            </w:pPr>
          </w:p>
        </w:tc>
        <w:tc>
          <w:tcPr>
            <w:tcW w:w="51" w:type="pct"/>
            <w:vAlign w:val="bottom"/>
          </w:tcPr>
          <w:p w:rsidR="00376768" w:rsidRDefault="00376768">
            <w:pPr>
              <w:rPr>
                <w:rFonts w:ascii="Arial" w:hAnsi="Arial" w:cs="Arial"/>
                <w:sz w:val="18"/>
              </w:rPr>
            </w:pPr>
          </w:p>
        </w:tc>
        <w:tc>
          <w:tcPr>
            <w:tcW w:w="53" w:type="pct"/>
            <w:vAlign w:val="bottom"/>
          </w:tcPr>
          <w:p w:rsidR="00376768" w:rsidRDefault="00376768">
            <w:pPr>
              <w:rPr>
                <w:rFonts w:ascii="Arial" w:hAnsi="Arial" w:cs="Arial"/>
                <w:sz w:val="18"/>
              </w:rPr>
            </w:pPr>
          </w:p>
        </w:tc>
        <w:tc>
          <w:tcPr>
            <w:tcW w:w="691" w:type="pct"/>
            <w:vAlign w:val="bottom"/>
          </w:tcPr>
          <w:p w:rsidR="00376768" w:rsidRDefault="00376768">
            <w:pPr>
              <w:jc w:val="right"/>
              <w:rPr>
                <w:rFonts w:ascii="Arial" w:hAnsi="Arial" w:cs="Arial"/>
                <w:sz w:val="18"/>
              </w:rPr>
            </w:pPr>
          </w:p>
        </w:tc>
        <w:tc>
          <w:tcPr>
            <w:tcW w:w="102" w:type="pct"/>
            <w:vAlign w:val="bottom"/>
          </w:tcPr>
          <w:p w:rsidR="00376768" w:rsidRDefault="00376768">
            <w:pPr>
              <w:rPr>
                <w:rFonts w:ascii="Arial" w:hAnsi="Arial" w:cs="Arial"/>
                <w:sz w:val="18"/>
              </w:rPr>
            </w:pPr>
          </w:p>
        </w:tc>
        <w:tc>
          <w:tcPr>
            <w:tcW w:w="51" w:type="pct"/>
            <w:vAlign w:val="bottom"/>
          </w:tcPr>
          <w:p w:rsidR="00376768" w:rsidRDefault="00376768">
            <w:pPr>
              <w:rPr>
                <w:rFonts w:ascii="Arial" w:hAnsi="Arial" w:cs="Arial"/>
                <w:sz w:val="18"/>
              </w:rPr>
            </w:pPr>
          </w:p>
        </w:tc>
        <w:tc>
          <w:tcPr>
            <w:tcW w:w="53" w:type="pct"/>
            <w:vAlign w:val="bottom"/>
          </w:tcPr>
          <w:p w:rsidR="00376768" w:rsidRDefault="00376768">
            <w:pPr>
              <w:rPr>
                <w:rFonts w:ascii="Arial" w:hAnsi="Arial" w:cs="Arial"/>
                <w:sz w:val="18"/>
              </w:rPr>
            </w:pPr>
          </w:p>
        </w:tc>
        <w:tc>
          <w:tcPr>
            <w:tcW w:w="318" w:type="pct"/>
            <w:vAlign w:val="bottom"/>
          </w:tcPr>
          <w:p w:rsidR="00376768" w:rsidRDefault="00376768">
            <w:pPr>
              <w:jc w:val="right"/>
              <w:rPr>
                <w:rFonts w:ascii="Arial" w:hAnsi="Arial" w:cs="Arial"/>
                <w:sz w:val="18"/>
              </w:rPr>
            </w:pPr>
          </w:p>
        </w:tc>
        <w:tc>
          <w:tcPr>
            <w:tcW w:w="260" w:type="pct"/>
            <w:vAlign w:val="bottom"/>
          </w:tcPr>
          <w:p w:rsidR="00376768" w:rsidRDefault="00376768">
            <w:pPr>
              <w:rPr>
                <w:rFonts w:ascii="Arial" w:hAnsi="Arial" w:cs="Arial"/>
                <w:sz w:val="18"/>
              </w:rPr>
            </w:pPr>
          </w:p>
        </w:tc>
        <w:tc>
          <w:tcPr>
            <w:tcW w:w="69" w:type="pct"/>
            <w:vAlign w:val="bottom"/>
          </w:tcPr>
          <w:p w:rsidR="00376768" w:rsidRDefault="00376768">
            <w:pPr>
              <w:rPr>
                <w:rFonts w:ascii="Arial" w:hAnsi="Arial" w:cs="Arial"/>
                <w:sz w:val="18"/>
              </w:rPr>
            </w:pPr>
          </w:p>
        </w:tc>
      </w:tr>
      <w:tr w:rsidR="00376768">
        <w:trPr>
          <w:jc w:val="center"/>
        </w:trPr>
        <w:tc>
          <w:tcPr>
            <w:tcW w:w="3249" w:type="pct"/>
            <w:vAlign w:val="bottom"/>
          </w:tcPr>
          <w:p w:rsidR="00376768" w:rsidRDefault="00EC2B72">
            <w:pPr>
              <w:tabs>
                <w:tab w:val="left" w:leader="dot" w:pos="7200"/>
              </w:tabs>
              <w:rPr>
                <w:rFonts w:ascii="Arial" w:hAnsi="Arial" w:cs="Arial"/>
                <w:b/>
                <w:bCs/>
                <w:sz w:val="18"/>
              </w:rPr>
            </w:pPr>
            <w:r>
              <w:rPr>
                <w:rFonts w:ascii="Arial" w:hAnsi="Arial" w:cs="Arial"/>
                <w:b/>
                <w:bCs/>
                <w:sz w:val="18"/>
              </w:rPr>
              <w:t>Named Executive Officers (other than CEO):</w:t>
            </w:r>
          </w:p>
        </w:tc>
        <w:tc>
          <w:tcPr>
            <w:tcW w:w="103" w:type="pct"/>
            <w:vAlign w:val="bottom"/>
          </w:tcPr>
          <w:p w:rsidR="00376768" w:rsidRDefault="00376768">
            <w:pPr>
              <w:rPr>
                <w:rFonts w:ascii="Arial" w:hAnsi="Arial" w:cs="Arial"/>
                <w:sz w:val="18"/>
              </w:rPr>
            </w:pPr>
          </w:p>
        </w:tc>
        <w:tc>
          <w:tcPr>
            <w:tcW w:w="51" w:type="pct"/>
            <w:vAlign w:val="bottom"/>
          </w:tcPr>
          <w:p w:rsidR="00376768" w:rsidRDefault="00376768">
            <w:pPr>
              <w:rPr>
                <w:rFonts w:ascii="Arial" w:hAnsi="Arial" w:cs="Arial"/>
                <w:sz w:val="18"/>
              </w:rPr>
            </w:pPr>
          </w:p>
        </w:tc>
        <w:tc>
          <w:tcPr>
            <w:tcW w:w="53" w:type="pct"/>
            <w:vAlign w:val="bottom"/>
          </w:tcPr>
          <w:p w:rsidR="00376768" w:rsidRDefault="00376768">
            <w:pPr>
              <w:rPr>
                <w:rFonts w:ascii="Arial" w:hAnsi="Arial" w:cs="Arial"/>
                <w:sz w:val="18"/>
              </w:rPr>
            </w:pPr>
          </w:p>
        </w:tc>
        <w:tc>
          <w:tcPr>
            <w:tcW w:w="691" w:type="pct"/>
            <w:vAlign w:val="bottom"/>
          </w:tcPr>
          <w:p w:rsidR="00376768" w:rsidRDefault="00376768">
            <w:pPr>
              <w:jc w:val="right"/>
              <w:rPr>
                <w:rFonts w:ascii="Arial" w:hAnsi="Arial" w:cs="Arial"/>
                <w:sz w:val="18"/>
              </w:rPr>
            </w:pPr>
          </w:p>
        </w:tc>
        <w:tc>
          <w:tcPr>
            <w:tcW w:w="102" w:type="pct"/>
            <w:vAlign w:val="bottom"/>
          </w:tcPr>
          <w:p w:rsidR="00376768" w:rsidRDefault="00376768">
            <w:pPr>
              <w:rPr>
                <w:rFonts w:ascii="Arial" w:hAnsi="Arial" w:cs="Arial"/>
                <w:sz w:val="18"/>
              </w:rPr>
            </w:pPr>
          </w:p>
        </w:tc>
        <w:tc>
          <w:tcPr>
            <w:tcW w:w="51" w:type="pct"/>
            <w:vAlign w:val="bottom"/>
          </w:tcPr>
          <w:p w:rsidR="00376768" w:rsidRDefault="00376768">
            <w:pPr>
              <w:rPr>
                <w:rFonts w:ascii="Arial" w:hAnsi="Arial" w:cs="Arial"/>
                <w:sz w:val="18"/>
              </w:rPr>
            </w:pPr>
          </w:p>
        </w:tc>
        <w:tc>
          <w:tcPr>
            <w:tcW w:w="53" w:type="pct"/>
            <w:vAlign w:val="bottom"/>
          </w:tcPr>
          <w:p w:rsidR="00376768" w:rsidRDefault="00376768">
            <w:pPr>
              <w:rPr>
                <w:rFonts w:ascii="Arial" w:hAnsi="Arial" w:cs="Arial"/>
                <w:sz w:val="18"/>
              </w:rPr>
            </w:pPr>
          </w:p>
        </w:tc>
        <w:tc>
          <w:tcPr>
            <w:tcW w:w="318" w:type="pct"/>
            <w:vAlign w:val="bottom"/>
          </w:tcPr>
          <w:p w:rsidR="00376768" w:rsidRDefault="00376768">
            <w:pPr>
              <w:jc w:val="right"/>
              <w:rPr>
                <w:rFonts w:ascii="Arial" w:hAnsi="Arial" w:cs="Arial"/>
                <w:sz w:val="18"/>
              </w:rPr>
            </w:pPr>
          </w:p>
        </w:tc>
        <w:tc>
          <w:tcPr>
            <w:tcW w:w="260" w:type="pct"/>
            <w:vAlign w:val="bottom"/>
          </w:tcPr>
          <w:p w:rsidR="00376768" w:rsidRDefault="00376768">
            <w:pPr>
              <w:rPr>
                <w:rFonts w:ascii="Arial" w:hAnsi="Arial" w:cs="Arial"/>
                <w:sz w:val="18"/>
              </w:rPr>
            </w:pPr>
          </w:p>
        </w:tc>
        <w:tc>
          <w:tcPr>
            <w:tcW w:w="69" w:type="pct"/>
            <w:vAlign w:val="bottom"/>
          </w:tcPr>
          <w:p w:rsidR="00376768" w:rsidRDefault="00376768">
            <w:pPr>
              <w:rPr>
                <w:rFonts w:ascii="Arial" w:hAnsi="Arial" w:cs="Arial"/>
                <w:sz w:val="18"/>
              </w:rPr>
            </w:pPr>
          </w:p>
        </w:tc>
      </w:tr>
      <w:tr w:rsidR="00376768">
        <w:trPr>
          <w:jc w:val="center"/>
        </w:trPr>
        <w:tc>
          <w:tcPr>
            <w:tcW w:w="3249" w:type="pct"/>
            <w:vAlign w:val="bottom"/>
          </w:tcPr>
          <w:p w:rsidR="00376768" w:rsidRDefault="00EC2B72">
            <w:pPr>
              <w:tabs>
                <w:tab w:val="left" w:leader="dot" w:pos="7200"/>
              </w:tabs>
              <w:ind w:left="173"/>
              <w:rPr>
                <w:rFonts w:ascii="Arial" w:hAnsi="Arial" w:cs="Arial"/>
                <w:sz w:val="18"/>
              </w:rPr>
            </w:pPr>
            <w:r>
              <w:rPr>
                <w:rFonts w:ascii="Arial" w:hAnsi="Arial" w:cs="Arial"/>
                <w:sz w:val="18"/>
              </w:rPr>
              <w:t>James P. Maloney</w:t>
            </w:r>
          </w:p>
        </w:tc>
        <w:tc>
          <w:tcPr>
            <w:tcW w:w="103" w:type="pct"/>
            <w:vAlign w:val="bottom"/>
          </w:tcPr>
          <w:p w:rsidR="00376768" w:rsidRDefault="00376768">
            <w:pPr>
              <w:rPr>
                <w:rFonts w:ascii="Arial" w:hAnsi="Arial" w:cs="Arial"/>
                <w:sz w:val="18"/>
              </w:rPr>
            </w:pPr>
          </w:p>
        </w:tc>
        <w:tc>
          <w:tcPr>
            <w:tcW w:w="51" w:type="pct"/>
            <w:vAlign w:val="bottom"/>
          </w:tcPr>
          <w:p w:rsidR="00376768" w:rsidRDefault="00376768">
            <w:pPr>
              <w:rPr>
                <w:rFonts w:ascii="Arial" w:hAnsi="Arial" w:cs="Arial"/>
                <w:sz w:val="18"/>
              </w:rPr>
            </w:pPr>
          </w:p>
        </w:tc>
        <w:tc>
          <w:tcPr>
            <w:tcW w:w="53" w:type="pct"/>
            <w:vAlign w:val="bottom"/>
          </w:tcPr>
          <w:p w:rsidR="00376768" w:rsidRDefault="00376768">
            <w:pPr>
              <w:rPr>
                <w:rFonts w:ascii="Arial" w:hAnsi="Arial" w:cs="Arial"/>
                <w:sz w:val="18"/>
              </w:rPr>
            </w:pPr>
          </w:p>
        </w:tc>
        <w:tc>
          <w:tcPr>
            <w:tcW w:w="691" w:type="pct"/>
            <w:vAlign w:val="bottom"/>
          </w:tcPr>
          <w:p w:rsidR="00376768" w:rsidRDefault="00EC2B72">
            <w:pPr>
              <w:jc w:val="right"/>
              <w:rPr>
                <w:rFonts w:ascii="Arial" w:hAnsi="Arial" w:cs="Arial"/>
                <w:sz w:val="18"/>
              </w:rPr>
            </w:pPr>
            <w:r>
              <w:rPr>
                <w:rFonts w:ascii="Arial" w:hAnsi="Arial" w:cs="Arial"/>
                <w:sz w:val="18"/>
              </w:rPr>
              <w:t>5,189</w:t>
            </w:r>
          </w:p>
        </w:tc>
        <w:tc>
          <w:tcPr>
            <w:tcW w:w="102" w:type="pct"/>
            <w:vAlign w:val="bottom"/>
          </w:tcPr>
          <w:p w:rsidR="00376768" w:rsidRDefault="00376768">
            <w:pPr>
              <w:rPr>
                <w:rFonts w:ascii="Arial" w:hAnsi="Arial" w:cs="Arial"/>
                <w:sz w:val="18"/>
              </w:rPr>
            </w:pPr>
          </w:p>
        </w:tc>
        <w:tc>
          <w:tcPr>
            <w:tcW w:w="51" w:type="pct"/>
            <w:vAlign w:val="bottom"/>
          </w:tcPr>
          <w:p w:rsidR="00376768" w:rsidRDefault="00376768">
            <w:pPr>
              <w:rPr>
                <w:rFonts w:ascii="Arial" w:hAnsi="Arial" w:cs="Arial"/>
                <w:sz w:val="18"/>
              </w:rPr>
            </w:pPr>
          </w:p>
        </w:tc>
        <w:tc>
          <w:tcPr>
            <w:tcW w:w="53" w:type="pct"/>
            <w:vAlign w:val="bottom"/>
          </w:tcPr>
          <w:p w:rsidR="00376768" w:rsidRDefault="00376768">
            <w:pPr>
              <w:rPr>
                <w:rFonts w:ascii="Arial" w:hAnsi="Arial" w:cs="Arial"/>
                <w:sz w:val="18"/>
              </w:rPr>
            </w:pPr>
          </w:p>
        </w:tc>
        <w:tc>
          <w:tcPr>
            <w:tcW w:w="318" w:type="pct"/>
            <w:vAlign w:val="bottom"/>
          </w:tcPr>
          <w:p w:rsidR="00376768" w:rsidRDefault="00EC2B72">
            <w:pPr>
              <w:jc w:val="right"/>
              <w:rPr>
                <w:rFonts w:ascii="Arial" w:hAnsi="Arial" w:cs="Arial"/>
                <w:sz w:val="18"/>
              </w:rPr>
            </w:pPr>
            <w:r>
              <w:rPr>
                <w:rFonts w:ascii="Arial" w:hAnsi="Arial" w:cs="Arial"/>
                <w:sz w:val="18"/>
              </w:rPr>
              <w:t>*</w:t>
            </w:r>
          </w:p>
        </w:tc>
        <w:tc>
          <w:tcPr>
            <w:tcW w:w="260" w:type="pct"/>
            <w:vAlign w:val="bottom"/>
          </w:tcPr>
          <w:p w:rsidR="00376768" w:rsidRDefault="00376768">
            <w:pPr>
              <w:rPr>
                <w:rFonts w:ascii="Arial" w:hAnsi="Arial" w:cs="Arial"/>
                <w:sz w:val="18"/>
              </w:rPr>
            </w:pPr>
          </w:p>
        </w:tc>
        <w:tc>
          <w:tcPr>
            <w:tcW w:w="69" w:type="pct"/>
            <w:vAlign w:val="bottom"/>
          </w:tcPr>
          <w:p w:rsidR="00376768" w:rsidRDefault="00376768">
            <w:pPr>
              <w:rPr>
                <w:rFonts w:ascii="Arial" w:hAnsi="Arial" w:cs="Arial"/>
                <w:sz w:val="18"/>
              </w:rPr>
            </w:pPr>
          </w:p>
        </w:tc>
      </w:tr>
      <w:tr w:rsidR="00376768">
        <w:trPr>
          <w:jc w:val="center"/>
        </w:trPr>
        <w:tc>
          <w:tcPr>
            <w:tcW w:w="3249" w:type="pct"/>
            <w:vAlign w:val="bottom"/>
          </w:tcPr>
          <w:p w:rsidR="00376768" w:rsidRDefault="00EC2B72">
            <w:pPr>
              <w:tabs>
                <w:tab w:val="left" w:leader="dot" w:pos="7200"/>
              </w:tabs>
              <w:ind w:left="173"/>
              <w:rPr>
                <w:rFonts w:ascii="Arial" w:hAnsi="Arial" w:cs="Arial"/>
                <w:sz w:val="18"/>
              </w:rPr>
            </w:pPr>
            <w:r>
              <w:rPr>
                <w:rFonts w:ascii="Arial" w:hAnsi="Arial" w:cs="Arial"/>
                <w:sz w:val="18"/>
              </w:rPr>
              <w:t>David J. Russo</w:t>
            </w:r>
          </w:p>
        </w:tc>
        <w:tc>
          <w:tcPr>
            <w:tcW w:w="103" w:type="pct"/>
            <w:vAlign w:val="bottom"/>
          </w:tcPr>
          <w:p w:rsidR="00376768" w:rsidRDefault="00376768">
            <w:pPr>
              <w:rPr>
                <w:rFonts w:ascii="Arial" w:hAnsi="Arial" w:cs="Arial"/>
                <w:sz w:val="18"/>
              </w:rPr>
            </w:pPr>
          </w:p>
        </w:tc>
        <w:tc>
          <w:tcPr>
            <w:tcW w:w="51" w:type="pct"/>
            <w:vAlign w:val="bottom"/>
          </w:tcPr>
          <w:p w:rsidR="00376768" w:rsidRDefault="00376768">
            <w:pPr>
              <w:rPr>
                <w:rFonts w:ascii="Arial" w:hAnsi="Arial" w:cs="Arial"/>
                <w:sz w:val="18"/>
              </w:rPr>
            </w:pPr>
          </w:p>
        </w:tc>
        <w:tc>
          <w:tcPr>
            <w:tcW w:w="53" w:type="pct"/>
            <w:vAlign w:val="bottom"/>
          </w:tcPr>
          <w:p w:rsidR="00376768" w:rsidRDefault="00376768">
            <w:pPr>
              <w:rPr>
                <w:rFonts w:ascii="Arial" w:hAnsi="Arial" w:cs="Arial"/>
                <w:sz w:val="18"/>
              </w:rPr>
            </w:pPr>
          </w:p>
        </w:tc>
        <w:tc>
          <w:tcPr>
            <w:tcW w:w="691" w:type="pct"/>
            <w:vAlign w:val="bottom"/>
          </w:tcPr>
          <w:p w:rsidR="00376768" w:rsidRDefault="00EC2B72">
            <w:pPr>
              <w:jc w:val="right"/>
              <w:rPr>
                <w:rFonts w:ascii="Arial" w:hAnsi="Arial" w:cs="Arial"/>
                <w:sz w:val="18"/>
              </w:rPr>
            </w:pPr>
            <w:r>
              <w:rPr>
                <w:rFonts w:ascii="Arial" w:hAnsi="Arial" w:cs="Arial"/>
                <w:sz w:val="18"/>
              </w:rPr>
              <w:t>32,513</w:t>
            </w:r>
          </w:p>
        </w:tc>
        <w:tc>
          <w:tcPr>
            <w:tcW w:w="102" w:type="pct"/>
            <w:vAlign w:val="bottom"/>
          </w:tcPr>
          <w:p w:rsidR="00376768" w:rsidRDefault="00376768">
            <w:pPr>
              <w:rPr>
                <w:rFonts w:ascii="Arial" w:hAnsi="Arial" w:cs="Arial"/>
                <w:sz w:val="18"/>
              </w:rPr>
            </w:pPr>
          </w:p>
        </w:tc>
        <w:tc>
          <w:tcPr>
            <w:tcW w:w="51" w:type="pct"/>
            <w:vAlign w:val="bottom"/>
          </w:tcPr>
          <w:p w:rsidR="00376768" w:rsidRDefault="00376768">
            <w:pPr>
              <w:rPr>
                <w:rFonts w:ascii="Arial" w:hAnsi="Arial" w:cs="Arial"/>
                <w:sz w:val="18"/>
              </w:rPr>
            </w:pPr>
          </w:p>
        </w:tc>
        <w:tc>
          <w:tcPr>
            <w:tcW w:w="53" w:type="pct"/>
            <w:vAlign w:val="bottom"/>
          </w:tcPr>
          <w:p w:rsidR="00376768" w:rsidRDefault="00376768">
            <w:pPr>
              <w:rPr>
                <w:rFonts w:ascii="Arial" w:hAnsi="Arial" w:cs="Arial"/>
                <w:sz w:val="18"/>
              </w:rPr>
            </w:pPr>
          </w:p>
        </w:tc>
        <w:tc>
          <w:tcPr>
            <w:tcW w:w="318" w:type="pct"/>
            <w:vAlign w:val="bottom"/>
          </w:tcPr>
          <w:p w:rsidR="00376768" w:rsidRDefault="00EC2B72">
            <w:pPr>
              <w:jc w:val="right"/>
              <w:rPr>
                <w:rFonts w:ascii="Arial" w:hAnsi="Arial" w:cs="Arial"/>
                <w:sz w:val="18"/>
              </w:rPr>
            </w:pPr>
            <w:r>
              <w:rPr>
                <w:rFonts w:ascii="Arial" w:hAnsi="Arial" w:cs="Arial"/>
                <w:sz w:val="18"/>
              </w:rPr>
              <w:t>*</w:t>
            </w:r>
          </w:p>
        </w:tc>
        <w:tc>
          <w:tcPr>
            <w:tcW w:w="260" w:type="pct"/>
            <w:vAlign w:val="bottom"/>
          </w:tcPr>
          <w:p w:rsidR="00376768" w:rsidRDefault="00376768">
            <w:pPr>
              <w:rPr>
                <w:rFonts w:ascii="Arial" w:hAnsi="Arial" w:cs="Arial"/>
                <w:sz w:val="18"/>
              </w:rPr>
            </w:pPr>
          </w:p>
        </w:tc>
        <w:tc>
          <w:tcPr>
            <w:tcW w:w="69" w:type="pct"/>
            <w:vAlign w:val="bottom"/>
          </w:tcPr>
          <w:p w:rsidR="00376768" w:rsidRDefault="00376768">
            <w:pPr>
              <w:rPr>
                <w:rFonts w:ascii="Arial" w:hAnsi="Arial" w:cs="Arial"/>
                <w:sz w:val="18"/>
              </w:rPr>
            </w:pPr>
          </w:p>
        </w:tc>
      </w:tr>
      <w:tr w:rsidR="00376768">
        <w:trPr>
          <w:jc w:val="center"/>
        </w:trPr>
        <w:tc>
          <w:tcPr>
            <w:tcW w:w="3249" w:type="pct"/>
            <w:vAlign w:val="bottom"/>
          </w:tcPr>
          <w:p w:rsidR="00376768" w:rsidRDefault="00EC2B72">
            <w:pPr>
              <w:tabs>
                <w:tab w:val="left" w:leader="dot" w:pos="7200"/>
              </w:tabs>
              <w:ind w:left="173"/>
              <w:rPr>
                <w:rFonts w:ascii="Arial" w:hAnsi="Arial" w:cs="Arial"/>
                <w:sz w:val="18"/>
              </w:rPr>
            </w:pPr>
            <w:r>
              <w:rPr>
                <w:rFonts w:ascii="Arial" w:hAnsi="Arial" w:cs="Arial"/>
                <w:sz w:val="18"/>
              </w:rPr>
              <w:t>Christopher T. Scanlon</w:t>
            </w:r>
          </w:p>
        </w:tc>
        <w:tc>
          <w:tcPr>
            <w:tcW w:w="103" w:type="pct"/>
            <w:vAlign w:val="bottom"/>
          </w:tcPr>
          <w:p w:rsidR="00376768" w:rsidRDefault="00376768">
            <w:pPr>
              <w:rPr>
                <w:rFonts w:ascii="Arial" w:hAnsi="Arial" w:cs="Arial"/>
                <w:sz w:val="18"/>
              </w:rPr>
            </w:pPr>
          </w:p>
        </w:tc>
        <w:tc>
          <w:tcPr>
            <w:tcW w:w="51" w:type="pct"/>
            <w:vAlign w:val="bottom"/>
          </w:tcPr>
          <w:p w:rsidR="00376768" w:rsidRDefault="00376768">
            <w:pPr>
              <w:rPr>
                <w:rFonts w:ascii="Arial" w:hAnsi="Arial" w:cs="Arial"/>
                <w:sz w:val="18"/>
              </w:rPr>
            </w:pPr>
          </w:p>
        </w:tc>
        <w:tc>
          <w:tcPr>
            <w:tcW w:w="53" w:type="pct"/>
            <w:vAlign w:val="bottom"/>
          </w:tcPr>
          <w:p w:rsidR="00376768" w:rsidRDefault="00376768">
            <w:pPr>
              <w:rPr>
                <w:rFonts w:ascii="Arial" w:hAnsi="Arial" w:cs="Arial"/>
                <w:sz w:val="18"/>
              </w:rPr>
            </w:pPr>
          </w:p>
        </w:tc>
        <w:tc>
          <w:tcPr>
            <w:tcW w:w="691" w:type="pct"/>
            <w:vAlign w:val="bottom"/>
          </w:tcPr>
          <w:p w:rsidR="00376768" w:rsidRDefault="00EC2B72">
            <w:pPr>
              <w:jc w:val="right"/>
              <w:rPr>
                <w:rFonts w:ascii="Arial" w:hAnsi="Arial" w:cs="Arial"/>
                <w:sz w:val="18"/>
              </w:rPr>
            </w:pPr>
            <w:r>
              <w:rPr>
                <w:rFonts w:ascii="Arial" w:hAnsi="Arial" w:cs="Arial"/>
                <w:sz w:val="18"/>
              </w:rPr>
              <w:t>13,941</w:t>
            </w:r>
          </w:p>
        </w:tc>
        <w:tc>
          <w:tcPr>
            <w:tcW w:w="102" w:type="pct"/>
            <w:vAlign w:val="bottom"/>
          </w:tcPr>
          <w:p w:rsidR="00376768" w:rsidRDefault="00376768">
            <w:pPr>
              <w:rPr>
                <w:rFonts w:ascii="Arial" w:hAnsi="Arial" w:cs="Arial"/>
                <w:sz w:val="18"/>
              </w:rPr>
            </w:pPr>
          </w:p>
        </w:tc>
        <w:tc>
          <w:tcPr>
            <w:tcW w:w="51" w:type="pct"/>
            <w:vAlign w:val="bottom"/>
          </w:tcPr>
          <w:p w:rsidR="00376768" w:rsidRDefault="00376768">
            <w:pPr>
              <w:rPr>
                <w:rFonts w:ascii="Arial" w:hAnsi="Arial" w:cs="Arial"/>
                <w:sz w:val="18"/>
              </w:rPr>
            </w:pPr>
          </w:p>
        </w:tc>
        <w:tc>
          <w:tcPr>
            <w:tcW w:w="53" w:type="pct"/>
            <w:vAlign w:val="bottom"/>
          </w:tcPr>
          <w:p w:rsidR="00376768" w:rsidRDefault="00376768">
            <w:pPr>
              <w:rPr>
                <w:rFonts w:ascii="Arial" w:hAnsi="Arial" w:cs="Arial"/>
                <w:sz w:val="18"/>
              </w:rPr>
            </w:pPr>
          </w:p>
        </w:tc>
        <w:tc>
          <w:tcPr>
            <w:tcW w:w="318" w:type="pct"/>
            <w:vAlign w:val="bottom"/>
          </w:tcPr>
          <w:p w:rsidR="00376768" w:rsidRDefault="00EC2B72">
            <w:pPr>
              <w:jc w:val="right"/>
              <w:rPr>
                <w:rFonts w:ascii="Arial" w:hAnsi="Arial" w:cs="Arial"/>
                <w:sz w:val="18"/>
              </w:rPr>
            </w:pPr>
            <w:r>
              <w:rPr>
                <w:rFonts w:ascii="Arial" w:hAnsi="Arial" w:cs="Arial"/>
                <w:sz w:val="18"/>
              </w:rPr>
              <w:t>*</w:t>
            </w:r>
          </w:p>
        </w:tc>
        <w:tc>
          <w:tcPr>
            <w:tcW w:w="260" w:type="pct"/>
            <w:vAlign w:val="bottom"/>
          </w:tcPr>
          <w:p w:rsidR="00376768" w:rsidRDefault="00376768">
            <w:pPr>
              <w:rPr>
                <w:rFonts w:ascii="Arial" w:hAnsi="Arial" w:cs="Arial"/>
                <w:sz w:val="18"/>
              </w:rPr>
            </w:pPr>
          </w:p>
        </w:tc>
        <w:tc>
          <w:tcPr>
            <w:tcW w:w="69" w:type="pct"/>
            <w:vAlign w:val="bottom"/>
          </w:tcPr>
          <w:p w:rsidR="00376768" w:rsidRDefault="00376768">
            <w:pPr>
              <w:rPr>
                <w:rFonts w:ascii="Arial" w:hAnsi="Arial" w:cs="Arial"/>
                <w:sz w:val="18"/>
              </w:rPr>
            </w:pPr>
          </w:p>
        </w:tc>
      </w:tr>
      <w:tr w:rsidR="00376768">
        <w:trPr>
          <w:jc w:val="center"/>
        </w:trPr>
        <w:tc>
          <w:tcPr>
            <w:tcW w:w="3249" w:type="pct"/>
            <w:vAlign w:val="bottom"/>
          </w:tcPr>
          <w:p w:rsidR="00376768" w:rsidRDefault="00EC2B72">
            <w:pPr>
              <w:tabs>
                <w:tab w:val="left" w:leader="dot" w:pos="7200"/>
              </w:tabs>
              <w:ind w:left="173"/>
              <w:rPr>
                <w:rFonts w:ascii="Arial" w:hAnsi="Arial" w:cs="Arial"/>
                <w:sz w:val="18"/>
              </w:rPr>
            </w:pPr>
            <w:r>
              <w:rPr>
                <w:rFonts w:ascii="Arial" w:hAnsi="Arial" w:cs="Arial"/>
                <w:sz w:val="18"/>
              </w:rPr>
              <w:t xml:space="preserve">John F. </w:t>
            </w:r>
            <w:proofErr w:type="spellStart"/>
            <w:r>
              <w:rPr>
                <w:rFonts w:ascii="Arial" w:hAnsi="Arial" w:cs="Arial"/>
                <w:sz w:val="18"/>
              </w:rPr>
              <w:t>Kasel</w:t>
            </w:r>
            <w:proofErr w:type="spellEnd"/>
          </w:p>
        </w:tc>
        <w:tc>
          <w:tcPr>
            <w:tcW w:w="103" w:type="pct"/>
            <w:vAlign w:val="bottom"/>
          </w:tcPr>
          <w:p w:rsidR="00376768" w:rsidRDefault="00376768">
            <w:pPr>
              <w:rPr>
                <w:rFonts w:ascii="Arial" w:hAnsi="Arial" w:cs="Arial"/>
                <w:sz w:val="18"/>
              </w:rPr>
            </w:pPr>
          </w:p>
        </w:tc>
        <w:tc>
          <w:tcPr>
            <w:tcW w:w="51" w:type="pct"/>
            <w:vAlign w:val="bottom"/>
          </w:tcPr>
          <w:p w:rsidR="00376768" w:rsidRDefault="00376768">
            <w:pPr>
              <w:rPr>
                <w:rFonts w:ascii="Arial" w:hAnsi="Arial" w:cs="Arial"/>
                <w:sz w:val="18"/>
              </w:rPr>
            </w:pPr>
          </w:p>
        </w:tc>
        <w:tc>
          <w:tcPr>
            <w:tcW w:w="53" w:type="pct"/>
            <w:vAlign w:val="bottom"/>
          </w:tcPr>
          <w:p w:rsidR="00376768" w:rsidRDefault="00376768">
            <w:pPr>
              <w:rPr>
                <w:rFonts w:ascii="Arial" w:hAnsi="Arial" w:cs="Arial"/>
                <w:sz w:val="18"/>
              </w:rPr>
            </w:pPr>
          </w:p>
        </w:tc>
        <w:tc>
          <w:tcPr>
            <w:tcW w:w="691" w:type="pct"/>
            <w:vAlign w:val="bottom"/>
          </w:tcPr>
          <w:p w:rsidR="00376768" w:rsidRDefault="00EC2B72">
            <w:pPr>
              <w:jc w:val="right"/>
              <w:rPr>
                <w:rFonts w:ascii="Arial" w:hAnsi="Arial" w:cs="Arial"/>
                <w:sz w:val="18"/>
              </w:rPr>
            </w:pPr>
            <w:r>
              <w:rPr>
                <w:rFonts w:ascii="Arial" w:hAnsi="Arial" w:cs="Arial"/>
                <w:sz w:val="18"/>
              </w:rPr>
              <w:t>50,668</w:t>
            </w:r>
          </w:p>
        </w:tc>
        <w:tc>
          <w:tcPr>
            <w:tcW w:w="102" w:type="pct"/>
            <w:vAlign w:val="bottom"/>
          </w:tcPr>
          <w:p w:rsidR="00376768" w:rsidRDefault="00376768">
            <w:pPr>
              <w:rPr>
                <w:rFonts w:ascii="Arial" w:hAnsi="Arial" w:cs="Arial"/>
                <w:sz w:val="18"/>
              </w:rPr>
            </w:pPr>
          </w:p>
        </w:tc>
        <w:tc>
          <w:tcPr>
            <w:tcW w:w="51" w:type="pct"/>
            <w:vAlign w:val="bottom"/>
          </w:tcPr>
          <w:p w:rsidR="00376768" w:rsidRDefault="00376768">
            <w:pPr>
              <w:rPr>
                <w:rFonts w:ascii="Arial" w:hAnsi="Arial" w:cs="Arial"/>
                <w:sz w:val="18"/>
              </w:rPr>
            </w:pPr>
          </w:p>
        </w:tc>
        <w:tc>
          <w:tcPr>
            <w:tcW w:w="53" w:type="pct"/>
            <w:vAlign w:val="bottom"/>
          </w:tcPr>
          <w:p w:rsidR="00376768" w:rsidRDefault="00376768">
            <w:pPr>
              <w:rPr>
                <w:rFonts w:ascii="Arial" w:hAnsi="Arial" w:cs="Arial"/>
                <w:sz w:val="18"/>
              </w:rPr>
            </w:pPr>
          </w:p>
        </w:tc>
        <w:tc>
          <w:tcPr>
            <w:tcW w:w="318" w:type="pct"/>
            <w:vAlign w:val="bottom"/>
          </w:tcPr>
          <w:p w:rsidR="00376768" w:rsidRDefault="00EC2B72">
            <w:pPr>
              <w:jc w:val="right"/>
              <w:rPr>
                <w:rFonts w:ascii="Arial" w:hAnsi="Arial" w:cs="Arial"/>
                <w:sz w:val="18"/>
              </w:rPr>
            </w:pPr>
            <w:r>
              <w:rPr>
                <w:rFonts w:ascii="Arial" w:hAnsi="Arial" w:cs="Arial"/>
                <w:sz w:val="18"/>
              </w:rPr>
              <w:t>*</w:t>
            </w:r>
          </w:p>
        </w:tc>
        <w:tc>
          <w:tcPr>
            <w:tcW w:w="260" w:type="pct"/>
            <w:vAlign w:val="bottom"/>
          </w:tcPr>
          <w:p w:rsidR="00376768" w:rsidRDefault="00376768">
            <w:pPr>
              <w:rPr>
                <w:rFonts w:ascii="Arial" w:hAnsi="Arial" w:cs="Arial"/>
                <w:sz w:val="18"/>
              </w:rPr>
            </w:pPr>
          </w:p>
        </w:tc>
        <w:tc>
          <w:tcPr>
            <w:tcW w:w="69" w:type="pct"/>
            <w:vAlign w:val="bottom"/>
          </w:tcPr>
          <w:p w:rsidR="00376768" w:rsidRDefault="00376768">
            <w:pPr>
              <w:rPr>
                <w:rFonts w:ascii="Arial" w:hAnsi="Arial" w:cs="Arial"/>
                <w:sz w:val="18"/>
              </w:rPr>
            </w:pPr>
          </w:p>
        </w:tc>
      </w:tr>
      <w:tr w:rsidR="00376768">
        <w:trPr>
          <w:jc w:val="center"/>
        </w:trPr>
        <w:tc>
          <w:tcPr>
            <w:tcW w:w="3249" w:type="pct"/>
            <w:vAlign w:val="bottom"/>
          </w:tcPr>
          <w:p w:rsidR="00376768" w:rsidRDefault="00EC2B72">
            <w:pPr>
              <w:tabs>
                <w:tab w:val="left" w:leader="dot" w:pos="7200"/>
              </w:tabs>
              <w:ind w:left="173"/>
              <w:rPr>
                <w:rFonts w:ascii="Arial" w:hAnsi="Arial" w:cs="Arial"/>
                <w:sz w:val="18"/>
              </w:rPr>
            </w:pPr>
            <w:r>
              <w:rPr>
                <w:rFonts w:ascii="Arial" w:hAnsi="Arial" w:cs="Arial"/>
                <w:sz w:val="18"/>
              </w:rPr>
              <w:t xml:space="preserve">Patrick J. </w:t>
            </w:r>
            <w:proofErr w:type="spellStart"/>
            <w:r>
              <w:rPr>
                <w:rFonts w:ascii="Arial" w:hAnsi="Arial" w:cs="Arial"/>
                <w:sz w:val="18"/>
              </w:rPr>
              <w:t>Guinee</w:t>
            </w:r>
            <w:proofErr w:type="spellEnd"/>
          </w:p>
        </w:tc>
        <w:tc>
          <w:tcPr>
            <w:tcW w:w="103" w:type="pct"/>
            <w:vAlign w:val="bottom"/>
          </w:tcPr>
          <w:p w:rsidR="00376768" w:rsidRDefault="00376768">
            <w:pPr>
              <w:rPr>
                <w:rFonts w:ascii="Arial" w:hAnsi="Arial" w:cs="Arial"/>
                <w:sz w:val="18"/>
              </w:rPr>
            </w:pPr>
          </w:p>
        </w:tc>
        <w:tc>
          <w:tcPr>
            <w:tcW w:w="51" w:type="pct"/>
            <w:vAlign w:val="bottom"/>
          </w:tcPr>
          <w:p w:rsidR="00376768" w:rsidRDefault="00376768">
            <w:pPr>
              <w:rPr>
                <w:rFonts w:ascii="Arial" w:hAnsi="Arial" w:cs="Arial"/>
                <w:sz w:val="18"/>
              </w:rPr>
            </w:pPr>
          </w:p>
        </w:tc>
        <w:tc>
          <w:tcPr>
            <w:tcW w:w="53" w:type="pct"/>
            <w:vAlign w:val="bottom"/>
          </w:tcPr>
          <w:p w:rsidR="00376768" w:rsidRDefault="00376768">
            <w:pPr>
              <w:rPr>
                <w:rFonts w:ascii="Arial" w:hAnsi="Arial" w:cs="Arial"/>
                <w:sz w:val="18"/>
              </w:rPr>
            </w:pPr>
          </w:p>
        </w:tc>
        <w:tc>
          <w:tcPr>
            <w:tcW w:w="691" w:type="pct"/>
            <w:vAlign w:val="bottom"/>
          </w:tcPr>
          <w:p w:rsidR="00376768" w:rsidRDefault="00EC2B72">
            <w:pPr>
              <w:jc w:val="right"/>
              <w:rPr>
                <w:rFonts w:ascii="Arial" w:hAnsi="Arial" w:cs="Arial"/>
                <w:sz w:val="18"/>
              </w:rPr>
            </w:pPr>
            <w:r>
              <w:rPr>
                <w:rFonts w:ascii="Arial" w:hAnsi="Arial" w:cs="Arial"/>
                <w:sz w:val="18"/>
              </w:rPr>
              <w:t>26,217</w:t>
            </w:r>
          </w:p>
        </w:tc>
        <w:tc>
          <w:tcPr>
            <w:tcW w:w="102" w:type="pct"/>
            <w:vAlign w:val="bottom"/>
          </w:tcPr>
          <w:p w:rsidR="00376768" w:rsidRDefault="00376768">
            <w:pPr>
              <w:rPr>
                <w:rFonts w:ascii="Arial" w:hAnsi="Arial" w:cs="Arial"/>
                <w:sz w:val="18"/>
              </w:rPr>
            </w:pPr>
          </w:p>
        </w:tc>
        <w:tc>
          <w:tcPr>
            <w:tcW w:w="51" w:type="pct"/>
            <w:vAlign w:val="bottom"/>
          </w:tcPr>
          <w:p w:rsidR="00376768" w:rsidRDefault="00376768">
            <w:pPr>
              <w:rPr>
                <w:rFonts w:ascii="Arial" w:hAnsi="Arial" w:cs="Arial"/>
                <w:sz w:val="18"/>
              </w:rPr>
            </w:pPr>
          </w:p>
        </w:tc>
        <w:tc>
          <w:tcPr>
            <w:tcW w:w="53" w:type="pct"/>
            <w:vAlign w:val="bottom"/>
          </w:tcPr>
          <w:p w:rsidR="00376768" w:rsidRDefault="00376768">
            <w:pPr>
              <w:rPr>
                <w:rFonts w:ascii="Arial" w:hAnsi="Arial" w:cs="Arial"/>
                <w:sz w:val="18"/>
              </w:rPr>
            </w:pPr>
          </w:p>
        </w:tc>
        <w:tc>
          <w:tcPr>
            <w:tcW w:w="318" w:type="pct"/>
            <w:vAlign w:val="bottom"/>
          </w:tcPr>
          <w:p w:rsidR="00376768" w:rsidRDefault="00EC2B72">
            <w:pPr>
              <w:jc w:val="right"/>
              <w:rPr>
                <w:rFonts w:ascii="Arial" w:hAnsi="Arial" w:cs="Arial"/>
                <w:sz w:val="18"/>
              </w:rPr>
            </w:pPr>
            <w:r>
              <w:rPr>
                <w:rFonts w:ascii="Arial" w:hAnsi="Arial" w:cs="Arial"/>
                <w:sz w:val="18"/>
              </w:rPr>
              <w:t>*</w:t>
            </w:r>
          </w:p>
        </w:tc>
        <w:tc>
          <w:tcPr>
            <w:tcW w:w="260" w:type="pct"/>
            <w:vAlign w:val="bottom"/>
          </w:tcPr>
          <w:p w:rsidR="00376768" w:rsidRDefault="00376768">
            <w:pPr>
              <w:rPr>
                <w:rFonts w:ascii="Arial" w:hAnsi="Arial" w:cs="Arial"/>
                <w:sz w:val="18"/>
              </w:rPr>
            </w:pPr>
          </w:p>
        </w:tc>
        <w:tc>
          <w:tcPr>
            <w:tcW w:w="69" w:type="pct"/>
            <w:vAlign w:val="bottom"/>
          </w:tcPr>
          <w:p w:rsidR="00376768" w:rsidRDefault="00376768">
            <w:pPr>
              <w:rPr>
                <w:rFonts w:ascii="Arial" w:hAnsi="Arial" w:cs="Arial"/>
                <w:sz w:val="18"/>
              </w:rPr>
            </w:pPr>
          </w:p>
        </w:tc>
      </w:tr>
      <w:tr w:rsidR="00376768">
        <w:trPr>
          <w:jc w:val="center"/>
        </w:trPr>
        <w:tc>
          <w:tcPr>
            <w:tcW w:w="3249" w:type="pct"/>
            <w:vAlign w:val="bottom"/>
          </w:tcPr>
          <w:p w:rsidR="00376768" w:rsidRDefault="00EC2B72">
            <w:pPr>
              <w:tabs>
                <w:tab w:val="left" w:leader="dot" w:pos="7200"/>
              </w:tabs>
              <w:ind w:left="173"/>
              <w:rPr>
                <w:rFonts w:ascii="Arial" w:hAnsi="Arial" w:cs="Arial"/>
                <w:sz w:val="18"/>
              </w:rPr>
            </w:pPr>
            <w:r>
              <w:rPr>
                <w:rFonts w:ascii="Arial" w:hAnsi="Arial" w:cs="Arial"/>
                <w:sz w:val="18"/>
              </w:rPr>
              <w:t>Brian H. Kelly</w:t>
            </w:r>
          </w:p>
        </w:tc>
        <w:tc>
          <w:tcPr>
            <w:tcW w:w="103" w:type="pct"/>
            <w:vAlign w:val="bottom"/>
          </w:tcPr>
          <w:p w:rsidR="00376768" w:rsidRDefault="00376768">
            <w:pPr>
              <w:rPr>
                <w:rFonts w:ascii="Arial" w:hAnsi="Arial" w:cs="Arial"/>
                <w:sz w:val="18"/>
              </w:rPr>
            </w:pPr>
          </w:p>
        </w:tc>
        <w:tc>
          <w:tcPr>
            <w:tcW w:w="51" w:type="pct"/>
            <w:vAlign w:val="bottom"/>
          </w:tcPr>
          <w:p w:rsidR="00376768" w:rsidRDefault="00376768">
            <w:pPr>
              <w:rPr>
                <w:rFonts w:ascii="Arial" w:hAnsi="Arial" w:cs="Arial"/>
                <w:sz w:val="18"/>
              </w:rPr>
            </w:pPr>
          </w:p>
        </w:tc>
        <w:tc>
          <w:tcPr>
            <w:tcW w:w="53" w:type="pct"/>
            <w:vAlign w:val="bottom"/>
          </w:tcPr>
          <w:p w:rsidR="00376768" w:rsidRDefault="00376768">
            <w:pPr>
              <w:rPr>
                <w:rFonts w:ascii="Arial" w:hAnsi="Arial" w:cs="Arial"/>
                <w:sz w:val="18"/>
              </w:rPr>
            </w:pPr>
          </w:p>
        </w:tc>
        <w:tc>
          <w:tcPr>
            <w:tcW w:w="691" w:type="pct"/>
            <w:vAlign w:val="bottom"/>
          </w:tcPr>
          <w:p w:rsidR="00376768" w:rsidRDefault="00EC2B72">
            <w:pPr>
              <w:jc w:val="right"/>
              <w:rPr>
                <w:rFonts w:ascii="Arial" w:hAnsi="Arial" w:cs="Arial"/>
                <w:sz w:val="18"/>
              </w:rPr>
            </w:pPr>
            <w:r>
              <w:rPr>
                <w:rFonts w:ascii="Arial" w:hAnsi="Arial" w:cs="Arial"/>
                <w:sz w:val="18"/>
              </w:rPr>
              <w:t>35,674</w:t>
            </w:r>
          </w:p>
        </w:tc>
        <w:tc>
          <w:tcPr>
            <w:tcW w:w="102" w:type="pct"/>
            <w:vAlign w:val="bottom"/>
          </w:tcPr>
          <w:p w:rsidR="00376768" w:rsidRDefault="00376768">
            <w:pPr>
              <w:rPr>
                <w:rFonts w:ascii="Arial" w:hAnsi="Arial" w:cs="Arial"/>
                <w:sz w:val="18"/>
              </w:rPr>
            </w:pPr>
          </w:p>
        </w:tc>
        <w:tc>
          <w:tcPr>
            <w:tcW w:w="51" w:type="pct"/>
            <w:vAlign w:val="bottom"/>
          </w:tcPr>
          <w:p w:rsidR="00376768" w:rsidRDefault="00376768">
            <w:pPr>
              <w:rPr>
                <w:rFonts w:ascii="Arial" w:hAnsi="Arial" w:cs="Arial"/>
                <w:sz w:val="18"/>
              </w:rPr>
            </w:pPr>
          </w:p>
        </w:tc>
        <w:tc>
          <w:tcPr>
            <w:tcW w:w="53" w:type="pct"/>
            <w:vAlign w:val="bottom"/>
          </w:tcPr>
          <w:p w:rsidR="00376768" w:rsidRDefault="00376768">
            <w:pPr>
              <w:rPr>
                <w:rFonts w:ascii="Arial" w:hAnsi="Arial" w:cs="Arial"/>
                <w:sz w:val="18"/>
              </w:rPr>
            </w:pPr>
          </w:p>
        </w:tc>
        <w:tc>
          <w:tcPr>
            <w:tcW w:w="318" w:type="pct"/>
            <w:vAlign w:val="bottom"/>
          </w:tcPr>
          <w:p w:rsidR="00376768" w:rsidRDefault="00EC2B72">
            <w:pPr>
              <w:jc w:val="right"/>
              <w:rPr>
                <w:rFonts w:ascii="Arial" w:hAnsi="Arial" w:cs="Arial"/>
                <w:sz w:val="18"/>
              </w:rPr>
            </w:pPr>
            <w:r>
              <w:rPr>
                <w:rFonts w:ascii="Arial" w:hAnsi="Arial" w:cs="Arial"/>
                <w:sz w:val="18"/>
              </w:rPr>
              <w:t>*</w:t>
            </w:r>
          </w:p>
        </w:tc>
        <w:tc>
          <w:tcPr>
            <w:tcW w:w="260" w:type="pct"/>
            <w:vAlign w:val="bottom"/>
          </w:tcPr>
          <w:p w:rsidR="00376768" w:rsidRDefault="00376768">
            <w:pPr>
              <w:rPr>
                <w:rFonts w:ascii="Arial" w:hAnsi="Arial" w:cs="Arial"/>
                <w:sz w:val="18"/>
              </w:rPr>
            </w:pPr>
          </w:p>
        </w:tc>
        <w:tc>
          <w:tcPr>
            <w:tcW w:w="69" w:type="pct"/>
            <w:vAlign w:val="bottom"/>
          </w:tcPr>
          <w:p w:rsidR="00376768" w:rsidRDefault="00376768">
            <w:pPr>
              <w:rPr>
                <w:rFonts w:ascii="Arial" w:hAnsi="Arial" w:cs="Arial"/>
                <w:sz w:val="18"/>
              </w:rPr>
            </w:pPr>
          </w:p>
        </w:tc>
      </w:tr>
      <w:tr w:rsidR="00376768">
        <w:trPr>
          <w:jc w:val="center"/>
        </w:trPr>
        <w:tc>
          <w:tcPr>
            <w:tcW w:w="3249" w:type="pct"/>
            <w:vAlign w:val="bottom"/>
          </w:tcPr>
          <w:p w:rsidR="00376768" w:rsidRDefault="00376768">
            <w:pPr>
              <w:tabs>
                <w:tab w:val="left" w:leader="dot" w:pos="7200"/>
              </w:tabs>
              <w:rPr>
                <w:rFonts w:ascii="Arial" w:hAnsi="Arial" w:cs="Arial"/>
                <w:sz w:val="18"/>
              </w:rPr>
            </w:pPr>
          </w:p>
        </w:tc>
        <w:tc>
          <w:tcPr>
            <w:tcW w:w="103" w:type="pct"/>
            <w:vAlign w:val="bottom"/>
          </w:tcPr>
          <w:p w:rsidR="00376768" w:rsidRDefault="00376768">
            <w:pPr>
              <w:rPr>
                <w:rFonts w:ascii="Arial" w:hAnsi="Arial" w:cs="Arial"/>
                <w:sz w:val="18"/>
              </w:rPr>
            </w:pPr>
          </w:p>
        </w:tc>
        <w:tc>
          <w:tcPr>
            <w:tcW w:w="51" w:type="pct"/>
            <w:vAlign w:val="bottom"/>
          </w:tcPr>
          <w:p w:rsidR="00376768" w:rsidRDefault="00376768">
            <w:pPr>
              <w:rPr>
                <w:rFonts w:ascii="Arial" w:hAnsi="Arial" w:cs="Arial"/>
                <w:sz w:val="18"/>
              </w:rPr>
            </w:pPr>
          </w:p>
        </w:tc>
        <w:tc>
          <w:tcPr>
            <w:tcW w:w="53" w:type="pct"/>
            <w:vAlign w:val="bottom"/>
          </w:tcPr>
          <w:p w:rsidR="00376768" w:rsidRDefault="00376768">
            <w:pPr>
              <w:rPr>
                <w:rFonts w:ascii="Arial" w:hAnsi="Arial" w:cs="Arial"/>
                <w:sz w:val="18"/>
              </w:rPr>
            </w:pPr>
          </w:p>
        </w:tc>
        <w:tc>
          <w:tcPr>
            <w:tcW w:w="691" w:type="pct"/>
            <w:vAlign w:val="bottom"/>
          </w:tcPr>
          <w:p w:rsidR="00376768" w:rsidRDefault="00376768">
            <w:pPr>
              <w:jc w:val="right"/>
              <w:rPr>
                <w:rFonts w:ascii="Arial" w:hAnsi="Arial" w:cs="Arial"/>
                <w:sz w:val="18"/>
              </w:rPr>
            </w:pPr>
          </w:p>
        </w:tc>
        <w:tc>
          <w:tcPr>
            <w:tcW w:w="102" w:type="pct"/>
            <w:vAlign w:val="bottom"/>
          </w:tcPr>
          <w:p w:rsidR="00376768" w:rsidRDefault="00376768">
            <w:pPr>
              <w:rPr>
                <w:rFonts w:ascii="Arial" w:hAnsi="Arial" w:cs="Arial"/>
                <w:sz w:val="18"/>
              </w:rPr>
            </w:pPr>
          </w:p>
        </w:tc>
        <w:tc>
          <w:tcPr>
            <w:tcW w:w="51" w:type="pct"/>
            <w:vAlign w:val="bottom"/>
          </w:tcPr>
          <w:p w:rsidR="00376768" w:rsidRDefault="00376768">
            <w:pPr>
              <w:rPr>
                <w:rFonts w:ascii="Arial" w:hAnsi="Arial" w:cs="Arial"/>
                <w:sz w:val="18"/>
              </w:rPr>
            </w:pPr>
          </w:p>
        </w:tc>
        <w:tc>
          <w:tcPr>
            <w:tcW w:w="53" w:type="pct"/>
            <w:vAlign w:val="bottom"/>
          </w:tcPr>
          <w:p w:rsidR="00376768" w:rsidRDefault="00376768">
            <w:pPr>
              <w:rPr>
                <w:rFonts w:ascii="Arial" w:hAnsi="Arial" w:cs="Arial"/>
                <w:sz w:val="18"/>
              </w:rPr>
            </w:pPr>
          </w:p>
        </w:tc>
        <w:tc>
          <w:tcPr>
            <w:tcW w:w="318" w:type="pct"/>
            <w:vAlign w:val="bottom"/>
          </w:tcPr>
          <w:p w:rsidR="00376768" w:rsidRDefault="00376768">
            <w:pPr>
              <w:jc w:val="right"/>
              <w:rPr>
                <w:rFonts w:ascii="Arial" w:hAnsi="Arial" w:cs="Arial"/>
                <w:sz w:val="18"/>
              </w:rPr>
            </w:pPr>
          </w:p>
        </w:tc>
        <w:tc>
          <w:tcPr>
            <w:tcW w:w="260" w:type="pct"/>
            <w:vAlign w:val="bottom"/>
          </w:tcPr>
          <w:p w:rsidR="00376768" w:rsidRDefault="00376768">
            <w:pPr>
              <w:rPr>
                <w:rFonts w:ascii="Arial" w:hAnsi="Arial" w:cs="Arial"/>
                <w:sz w:val="18"/>
              </w:rPr>
            </w:pPr>
          </w:p>
        </w:tc>
        <w:tc>
          <w:tcPr>
            <w:tcW w:w="69" w:type="pct"/>
            <w:vAlign w:val="bottom"/>
          </w:tcPr>
          <w:p w:rsidR="00376768" w:rsidRDefault="00376768">
            <w:pPr>
              <w:rPr>
                <w:rFonts w:ascii="Arial" w:hAnsi="Arial" w:cs="Arial"/>
                <w:sz w:val="18"/>
              </w:rPr>
            </w:pPr>
          </w:p>
        </w:tc>
      </w:tr>
      <w:tr w:rsidR="00376768">
        <w:trPr>
          <w:jc w:val="center"/>
        </w:trPr>
        <w:tc>
          <w:tcPr>
            <w:tcW w:w="3249" w:type="pct"/>
            <w:vAlign w:val="bottom"/>
          </w:tcPr>
          <w:p w:rsidR="00376768" w:rsidRDefault="00EC2B72">
            <w:pPr>
              <w:tabs>
                <w:tab w:val="left" w:leader="dot" w:pos="7200"/>
              </w:tabs>
              <w:rPr>
                <w:rFonts w:ascii="Arial" w:hAnsi="Arial" w:cs="Arial"/>
                <w:b/>
                <w:bCs/>
                <w:sz w:val="18"/>
              </w:rPr>
            </w:pPr>
            <w:r>
              <w:rPr>
                <w:rFonts w:ascii="Arial" w:hAnsi="Arial" w:cs="Arial"/>
                <w:b/>
                <w:bCs/>
                <w:sz w:val="18"/>
              </w:rPr>
              <w:t>All Directors and Executive Officers as a Group (18 persons)</w:t>
            </w:r>
            <w:r>
              <w:rPr>
                <w:rFonts w:ascii="Arial" w:hAnsi="Arial" w:cs="Arial"/>
                <w:spacing w:val="26"/>
                <w:sz w:val="18"/>
              </w:rPr>
              <w:t xml:space="preserve"> </w:t>
            </w:r>
          </w:p>
        </w:tc>
        <w:tc>
          <w:tcPr>
            <w:tcW w:w="103" w:type="pct"/>
            <w:vAlign w:val="bottom"/>
          </w:tcPr>
          <w:p w:rsidR="00376768" w:rsidRDefault="00376768">
            <w:pPr>
              <w:rPr>
                <w:rFonts w:ascii="Arial" w:hAnsi="Arial" w:cs="Arial"/>
                <w:sz w:val="18"/>
              </w:rPr>
            </w:pPr>
          </w:p>
        </w:tc>
        <w:tc>
          <w:tcPr>
            <w:tcW w:w="51" w:type="pct"/>
            <w:vAlign w:val="bottom"/>
          </w:tcPr>
          <w:p w:rsidR="00376768" w:rsidRDefault="00376768">
            <w:pPr>
              <w:rPr>
                <w:rFonts w:ascii="Arial" w:hAnsi="Arial" w:cs="Arial"/>
                <w:sz w:val="18"/>
              </w:rPr>
            </w:pPr>
          </w:p>
        </w:tc>
        <w:tc>
          <w:tcPr>
            <w:tcW w:w="53" w:type="pct"/>
            <w:vAlign w:val="bottom"/>
          </w:tcPr>
          <w:p w:rsidR="00376768" w:rsidRDefault="00376768">
            <w:pPr>
              <w:rPr>
                <w:rFonts w:ascii="Arial" w:hAnsi="Arial" w:cs="Arial"/>
                <w:sz w:val="18"/>
              </w:rPr>
            </w:pPr>
          </w:p>
        </w:tc>
        <w:tc>
          <w:tcPr>
            <w:tcW w:w="691" w:type="pct"/>
            <w:vAlign w:val="bottom"/>
          </w:tcPr>
          <w:p w:rsidR="00376768" w:rsidRDefault="00EC2B72">
            <w:pPr>
              <w:jc w:val="right"/>
              <w:rPr>
                <w:rFonts w:ascii="Arial" w:hAnsi="Arial" w:cs="Arial"/>
                <w:sz w:val="18"/>
              </w:rPr>
            </w:pPr>
            <w:r>
              <w:rPr>
                <w:rFonts w:ascii="Arial" w:hAnsi="Arial" w:cs="Arial"/>
                <w:sz w:val="18"/>
              </w:rPr>
              <w:t>688,962</w:t>
            </w:r>
          </w:p>
        </w:tc>
        <w:tc>
          <w:tcPr>
            <w:tcW w:w="102" w:type="pct"/>
            <w:vAlign w:val="bottom"/>
          </w:tcPr>
          <w:p w:rsidR="00376768" w:rsidRDefault="00376768">
            <w:pPr>
              <w:rPr>
                <w:rFonts w:ascii="Arial" w:hAnsi="Arial" w:cs="Arial"/>
                <w:sz w:val="18"/>
              </w:rPr>
            </w:pPr>
          </w:p>
        </w:tc>
        <w:tc>
          <w:tcPr>
            <w:tcW w:w="51" w:type="pct"/>
            <w:vAlign w:val="bottom"/>
          </w:tcPr>
          <w:p w:rsidR="00376768" w:rsidRDefault="00376768">
            <w:pPr>
              <w:rPr>
                <w:rFonts w:ascii="Arial" w:hAnsi="Arial" w:cs="Arial"/>
                <w:sz w:val="18"/>
              </w:rPr>
            </w:pPr>
          </w:p>
        </w:tc>
        <w:tc>
          <w:tcPr>
            <w:tcW w:w="53" w:type="pct"/>
            <w:vAlign w:val="bottom"/>
          </w:tcPr>
          <w:p w:rsidR="00376768" w:rsidRDefault="00376768">
            <w:pPr>
              <w:rPr>
                <w:rFonts w:ascii="Arial" w:hAnsi="Arial" w:cs="Arial"/>
                <w:sz w:val="18"/>
              </w:rPr>
            </w:pPr>
          </w:p>
        </w:tc>
        <w:tc>
          <w:tcPr>
            <w:tcW w:w="318" w:type="pct"/>
            <w:vAlign w:val="bottom"/>
          </w:tcPr>
          <w:p w:rsidR="00376768" w:rsidRDefault="00EC2B72">
            <w:pPr>
              <w:jc w:val="right"/>
              <w:rPr>
                <w:rFonts w:ascii="Arial" w:hAnsi="Arial" w:cs="Arial"/>
                <w:sz w:val="18"/>
              </w:rPr>
            </w:pPr>
            <w:r>
              <w:rPr>
                <w:rFonts w:ascii="Arial" w:hAnsi="Arial" w:cs="Arial"/>
                <w:sz w:val="18"/>
              </w:rPr>
              <w:t>6.5</w:t>
            </w:r>
          </w:p>
        </w:tc>
        <w:tc>
          <w:tcPr>
            <w:tcW w:w="260" w:type="pct"/>
            <w:vAlign w:val="bottom"/>
          </w:tcPr>
          <w:p w:rsidR="00376768" w:rsidRDefault="00EC2B72">
            <w:pPr>
              <w:rPr>
                <w:rFonts w:ascii="Arial" w:hAnsi="Arial" w:cs="Arial"/>
                <w:sz w:val="18"/>
              </w:rPr>
            </w:pPr>
            <w:r>
              <w:rPr>
                <w:rFonts w:ascii="Arial" w:hAnsi="Arial" w:cs="Arial"/>
                <w:sz w:val="18"/>
              </w:rPr>
              <w:t>%</w:t>
            </w:r>
          </w:p>
        </w:tc>
        <w:tc>
          <w:tcPr>
            <w:tcW w:w="69" w:type="pct"/>
            <w:vAlign w:val="bottom"/>
          </w:tcPr>
          <w:p w:rsidR="00376768" w:rsidRDefault="00376768">
            <w:pPr>
              <w:rPr>
                <w:rFonts w:ascii="Arial" w:hAnsi="Arial" w:cs="Arial"/>
                <w:sz w:val="18"/>
              </w:rPr>
            </w:pPr>
          </w:p>
        </w:tc>
      </w:tr>
    </w:tbl>
    <w:p w:rsidR="00376768" w:rsidRDefault="00376768">
      <w:pPr>
        <w:rPr>
          <w:rFonts w:ascii="Arial" w:hAnsi="Arial" w:cs="Arial"/>
        </w:rPr>
      </w:pPr>
    </w:p>
    <w:tbl>
      <w:tblPr>
        <w:tblW w:w="5000" w:type="pct"/>
        <w:tblLayout w:type="fixed"/>
        <w:tblCellMar>
          <w:left w:w="0" w:type="dxa"/>
          <w:right w:w="0" w:type="dxa"/>
        </w:tblCellMar>
        <w:tblLook w:val="0000" w:firstRow="0" w:lastRow="0" w:firstColumn="0" w:lastColumn="0" w:noHBand="0" w:noVBand="0"/>
      </w:tblPr>
      <w:tblGrid>
        <w:gridCol w:w="2160"/>
        <w:gridCol w:w="8640"/>
      </w:tblGrid>
      <w:tr w:rsidR="00376768">
        <w:tc>
          <w:tcPr>
            <w:tcW w:w="1000" w:type="pct"/>
            <w:tcBorders>
              <w:bottom w:val="single" w:sz="4" w:space="0" w:color="auto"/>
            </w:tcBorders>
          </w:tcPr>
          <w:p w:rsidR="00376768" w:rsidRDefault="00376768">
            <w:pPr>
              <w:rPr>
                <w:rFonts w:ascii="Arial" w:hAnsi="Arial" w:cs="Arial"/>
                <w:sz w:val="2"/>
                <w:szCs w:val="2"/>
              </w:rPr>
            </w:pPr>
          </w:p>
        </w:tc>
        <w:tc>
          <w:tcPr>
            <w:tcW w:w="4000" w:type="pct"/>
          </w:tcPr>
          <w:p w:rsidR="00376768" w:rsidRDefault="00376768">
            <w:pPr>
              <w:rPr>
                <w:rFonts w:ascii="Arial" w:hAnsi="Arial" w:cs="Arial"/>
                <w:sz w:val="2"/>
                <w:szCs w:val="2"/>
              </w:rPr>
            </w:pPr>
          </w:p>
        </w:tc>
      </w:tr>
    </w:tbl>
    <w:p w:rsidR="00376768" w:rsidRDefault="00EC2B72">
      <w:pPr>
        <w:spacing w:before="160"/>
        <w:ind w:left="360" w:hanging="360"/>
        <w:rPr>
          <w:rFonts w:ascii="Arial" w:hAnsi="Arial" w:cs="Arial"/>
          <w:sz w:val="16"/>
          <w:szCs w:val="16"/>
        </w:rPr>
      </w:pPr>
      <w:r>
        <w:rPr>
          <w:rFonts w:ascii="Arial" w:hAnsi="Arial" w:cs="Arial"/>
          <w:sz w:val="16"/>
          <w:szCs w:val="16"/>
        </w:rPr>
        <w:t>*</w:t>
      </w:r>
      <w:r>
        <w:rPr>
          <w:rFonts w:ascii="Arial" w:hAnsi="Arial" w:cs="Arial"/>
          <w:sz w:val="16"/>
          <w:szCs w:val="16"/>
        </w:rPr>
        <w:tab/>
        <w:t>Less than 1% of the Company’s outstanding common stock</w:t>
      </w:r>
    </w:p>
    <w:p w:rsidR="00376768" w:rsidRDefault="00EC2B72">
      <w:pPr>
        <w:spacing w:before="160"/>
        <w:ind w:left="360" w:hanging="360"/>
        <w:jc w:val="both"/>
        <w:rPr>
          <w:rFonts w:ascii="Arial" w:hAnsi="Arial" w:cs="Arial"/>
          <w:sz w:val="16"/>
          <w:szCs w:val="16"/>
        </w:rPr>
      </w:pPr>
      <w:r>
        <w:rPr>
          <w:rFonts w:ascii="Arial" w:hAnsi="Arial" w:cs="Arial"/>
          <w:sz w:val="16"/>
          <w:szCs w:val="16"/>
        </w:rPr>
        <w:t>(a)</w:t>
      </w:r>
      <w:r>
        <w:rPr>
          <w:rFonts w:ascii="Arial" w:hAnsi="Arial" w:cs="Arial"/>
          <w:sz w:val="16"/>
          <w:szCs w:val="16"/>
        </w:rPr>
        <w:tab/>
        <w:t xml:space="preserve">This column shows the number of shares with respect to which the named person or group had direct or indirect sole or shared voting or investment power. Unless otherwise noted in the footnotes, each director and NEO has sole voting and investment power with respect to their shares. The column also includes the shares allocated to accounts in the 401(k) plan maintained by the Company (5,595 for Mr. Bauer, 290 for Mr. Scanlon, 0 for Mr. Russo, 5,911 for Mr. </w:t>
      </w:r>
      <w:proofErr w:type="spellStart"/>
      <w:r>
        <w:rPr>
          <w:rFonts w:ascii="Arial" w:hAnsi="Arial" w:cs="Arial"/>
          <w:sz w:val="16"/>
          <w:szCs w:val="16"/>
        </w:rPr>
        <w:t>Kasel</w:t>
      </w:r>
      <w:proofErr w:type="spellEnd"/>
      <w:r>
        <w:rPr>
          <w:rFonts w:ascii="Arial" w:hAnsi="Arial" w:cs="Arial"/>
          <w:sz w:val="16"/>
          <w:szCs w:val="16"/>
        </w:rPr>
        <w:t xml:space="preserve">, 0 for Mr. </w:t>
      </w:r>
      <w:proofErr w:type="spellStart"/>
      <w:r>
        <w:rPr>
          <w:rFonts w:ascii="Arial" w:hAnsi="Arial" w:cs="Arial"/>
          <w:sz w:val="16"/>
          <w:szCs w:val="16"/>
        </w:rPr>
        <w:t>Guinee</w:t>
      </w:r>
      <w:proofErr w:type="spellEnd"/>
      <w:r>
        <w:rPr>
          <w:rFonts w:ascii="Arial" w:hAnsi="Arial" w:cs="Arial"/>
          <w:sz w:val="16"/>
          <w:szCs w:val="16"/>
        </w:rPr>
        <w:t xml:space="preserve">, 531 for Mr. Kelly, and 1,535 for the other executive officers as a group). Mr. Bauer’s holdings include 7,000 shares which are held in trust; Mr. Foster’s holdings include 5,000 shares in a 401(k) plan maintained by a separate company, 17,000 shares which are held in an individual retirement account, and 160,726 shares which are held in trust; Ms. Rowland’s holdings include 1,000 shares held in an IRA; and Mr. </w:t>
      </w:r>
      <w:proofErr w:type="spellStart"/>
      <w:r>
        <w:rPr>
          <w:rFonts w:ascii="Arial" w:hAnsi="Arial" w:cs="Arial"/>
          <w:sz w:val="16"/>
          <w:szCs w:val="16"/>
        </w:rPr>
        <w:t>Jungé’s</w:t>
      </w:r>
      <w:proofErr w:type="spellEnd"/>
      <w:r>
        <w:rPr>
          <w:rFonts w:ascii="Arial" w:hAnsi="Arial" w:cs="Arial"/>
          <w:sz w:val="16"/>
          <w:szCs w:val="16"/>
        </w:rPr>
        <w:t xml:space="preserve"> holdings include 10,516 shares held in trust. As of May, 2017, all Directors were permitted to elect to receive their quarterly cash fees and annual stock award in deferred stock units that would vest six months after the date of separation from the Board. The shareholdings reflected in this column does not include any deferred stock units, which are not shares and which confer no voting or other shareholder rights upon the director. The deferred stock unit holdings are as follows: Mr. Foster 7,538 deferred units; Mr. </w:t>
      </w:r>
      <w:proofErr w:type="spellStart"/>
      <w:r>
        <w:rPr>
          <w:rFonts w:ascii="Arial" w:hAnsi="Arial" w:cs="Arial"/>
          <w:sz w:val="16"/>
          <w:szCs w:val="16"/>
        </w:rPr>
        <w:t>Jungé</w:t>
      </w:r>
      <w:proofErr w:type="spellEnd"/>
      <w:r>
        <w:rPr>
          <w:rFonts w:ascii="Arial" w:hAnsi="Arial" w:cs="Arial"/>
          <w:sz w:val="16"/>
          <w:szCs w:val="16"/>
        </w:rPr>
        <w:t xml:space="preserve"> 5,626 deferred units; Mr. </w:t>
      </w:r>
      <w:proofErr w:type="spellStart"/>
      <w:r>
        <w:rPr>
          <w:rFonts w:ascii="Arial" w:hAnsi="Arial" w:cs="Arial"/>
          <w:sz w:val="16"/>
          <w:szCs w:val="16"/>
        </w:rPr>
        <w:t>Rackoff</w:t>
      </w:r>
      <w:proofErr w:type="spellEnd"/>
      <w:r>
        <w:rPr>
          <w:rFonts w:ascii="Arial" w:hAnsi="Arial" w:cs="Arial"/>
          <w:sz w:val="16"/>
          <w:szCs w:val="16"/>
        </w:rPr>
        <w:t xml:space="preserve"> 4,035 deferred units; Ms. Rowland 4,035 deferred units; and Mr. </w:t>
      </w:r>
      <w:proofErr w:type="spellStart"/>
      <w:r>
        <w:rPr>
          <w:rFonts w:ascii="Arial" w:hAnsi="Arial" w:cs="Arial"/>
          <w:sz w:val="16"/>
          <w:szCs w:val="16"/>
        </w:rPr>
        <w:t>Vizi</w:t>
      </w:r>
      <w:proofErr w:type="spellEnd"/>
      <w:r>
        <w:rPr>
          <w:rFonts w:ascii="Arial" w:hAnsi="Arial" w:cs="Arial"/>
          <w:sz w:val="16"/>
          <w:szCs w:val="16"/>
        </w:rPr>
        <w:t xml:space="preserve"> 5,626 deferred units.</w:t>
      </w:r>
    </w:p>
    <w:p w:rsidR="00376768" w:rsidRDefault="00EC2B72">
      <w:pPr>
        <w:spacing w:before="160"/>
        <w:ind w:left="360" w:hanging="360"/>
        <w:jc w:val="both"/>
        <w:rPr>
          <w:rFonts w:ascii="Arial" w:hAnsi="Arial" w:cs="Arial"/>
          <w:sz w:val="16"/>
          <w:szCs w:val="16"/>
        </w:rPr>
      </w:pPr>
      <w:r>
        <w:rPr>
          <w:rFonts w:ascii="Arial" w:hAnsi="Arial" w:cs="Arial"/>
          <w:sz w:val="16"/>
          <w:szCs w:val="16"/>
        </w:rPr>
        <w:t>(b)</w:t>
      </w:r>
      <w:r>
        <w:rPr>
          <w:rFonts w:ascii="Arial" w:hAnsi="Arial" w:cs="Arial"/>
          <w:sz w:val="16"/>
          <w:szCs w:val="16"/>
        </w:rPr>
        <w:tab/>
        <w:t>For Directors and Executive Officers, the percentages in this column are based on the assumption that any shares which the named person has the right to acquire within 60 days after the Record Date have been acquired and are outstanding.</w:t>
      </w:r>
    </w:p>
    <w:p w:rsidR="00376768" w:rsidRDefault="00EC2B72">
      <w:pPr>
        <w:spacing w:before="160"/>
        <w:ind w:left="360" w:hanging="360"/>
        <w:jc w:val="both"/>
        <w:rPr>
          <w:rFonts w:ascii="Arial" w:hAnsi="Arial" w:cs="Arial"/>
          <w:sz w:val="16"/>
          <w:szCs w:val="16"/>
        </w:rPr>
      </w:pPr>
      <w:r>
        <w:rPr>
          <w:rFonts w:ascii="Arial" w:hAnsi="Arial" w:cs="Arial"/>
          <w:sz w:val="16"/>
          <w:szCs w:val="16"/>
        </w:rPr>
        <w:t>(c)</w:t>
      </w:r>
      <w:r>
        <w:rPr>
          <w:rFonts w:ascii="Arial" w:hAnsi="Arial" w:cs="Arial"/>
          <w:sz w:val="16"/>
          <w:szCs w:val="16"/>
        </w:rPr>
        <w:tab/>
        <w:t>Based on the information in the Schedule 13D/</w:t>
      </w:r>
      <w:proofErr w:type="gramStart"/>
      <w:r>
        <w:rPr>
          <w:rFonts w:ascii="Arial" w:hAnsi="Arial" w:cs="Arial"/>
          <w:sz w:val="16"/>
          <w:szCs w:val="16"/>
        </w:rPr>
        <w:t>A</w:t>
      </w:r>
      <w:proofErr w:type="gramEnd"/>
      <w:r>
        <w:rPr>
          <w:rFonts w:ascii="Arial" w:hAnsi="Arial" w:cs="Arial"/>
          <w:sz w:val="16"/>
          <w:szCs w:val="16"/>
        </w:rPr>
        <w:t xml:space="preserve"> filed on March 14, 2018 by Legion Partners, L.P. I (“Legion Partners I”), Legion Partners, L.P. II (“Legion Partners II”), Legion Partners Special Opportunities, L. P. II (“Legion Special II”), Legion Partners, LLC (“Legion Partners”), Legion Partners Asset Management, LLC (“Legion Asset Management”), Legion Partners Holdings, LLC (“Legion Holdings”), Christopher S. </w:t>
      </w:r>
      <w:proofErr w:type="spellStart"/>
      <w:r>
        <w:rPr>
          <w:rFonts w:ascii="Arial" w:hAnsi="Arial" w:cs="Arial"/>
          <w:sz w:val="16"/>
          <w:szCs w:val="16"/>
        </w:rPr>
        <w:t>Kiper</w:t>
      </w:r>
      <w:proofErr w:type="spellEnd"/>
      <w:r>
        <w:rPr>
          <w:rFonts w:ascii="Arial" w:hAnsi="Arial" w:cs="Arial"/>
          <w:sz w:val="16"/>
          <w:szCs w:val="16"/>
        </w:rPr>
        <w:t xml:space="preserve"> and Raymond White. Legion Partners I </w:t>
      </w:r>
      <w:proofErr w:type="gramStart"/>
      <w:r>
        <w:rPr>
          <w:rFonts w:ascii="Arial" w:hAnsi="Arial" w:cs="Arial"/>
          <w:sz w:val="16"/>
          <w:szCs w:val="16"/>
        </w:rPr>
        <w:t>has</w:t>
      </w:r>
      <w:proofErr w:type="gramEnd"/>
      <w:r>
        <w:rPr>
          <w:rFonts w:ascii="Arial" w:hAnsi="Arial" w:cs="Arial"/>
          <w:sz w:val="16"/>
          <w:szCs w:val="16"/>
        </w:rPr>
        <w:t xml:space="preserve"> sole voting and dispositive power with respect to 0 shares and shared voting and dispositive power with respect to 1,141,750 shares. Legion Partners II has sole voting and dispositive power with respect to 0 shares and shared voting and dispositive power with respect to 108,856 shares. Legion Special II has sole voting and dispositive power with respect to 0 shares and shared voting and dispositive power with respect to 333,617 shares. Legion Partners has sole voting and dispositive power with respect to 0 shares and shared voting and dispositive power with respect to 1,584,223 shares. Legion Asset Management, Legion Holdings, and Messrs. </w:t>
      </w:r>
      <w:proofErr w:type="spellStart"/>
      <w:r>
        <w:rPr>
          <w:rFonts w:ascii="Arial" w:hAnsi="Arial" w:cs="Arial"/>
          <w:sz w:val="16"/>
          <w:szCs w:val="16"/>
        </w:rPr>
        <w:t>Kiper</w:t>
      </w:r>
      <w:proofErr w:type="spellEnd"/>
      <w:r>
        <w:rPr>
          <w:rFonts w:ascii="Arial" w:hAnsi="Arial" w:cs="Arial"/>
          <w:sz w:val="16"/>
          <w:szCs w:val="16"/>
        </w:rPr>
        <w:t xml:space="preserve"> and White have sole voting and dispositive power with respect to 0 shares and shared voting and dispositive power with respect to 1,595,621 shares. As the general partner of Legion Partners I, Legion Partners II and Legion Special II, Legion Partners may be deemed to be the beneficial owner of the shares owned by each. Legion Asset Management, as the investment advisor of each of Legion Partners I, Legion Partners II and Legion Special II, may </w:t>
      </w:r>
      <w:r>
        <w:rPr>
          <w:rFonts w:ascii="Arial" w:hAnsi="Arial" w:cs="Arial"/>
          <w:sz w:val="16"/>
          <w:szCs w:val="16"/>
        </w:rPr>
        <w:lastRenderedPageBreak/>
        <w:t xml:space="preserve">be deemed the beneficial owner of the shares owned by Legion Partners I, Legion Partners II and Legion Special II. Legion Holdings, as the sole member of Legion Asset Management and managing member of Legion Partners, may be deemed the beneficial owner of the shares owned by Legion Partners I, Legion Partners II and Legion Special II. Each of Messrs. </w:t>
      </w:r>
      <w:proofErr w:type="spellStart"/>
      <w:r>
        <w:rPr>
          <w:rFonts w:ascii="Arial" w:hAnsi="Arial" w:cs="Arial"/>
          <w:sz w:val="16"/>
          <w:szCs w:val="16"/>
        </w:rPr>
        <w:t>Kiper</w:t>
      </w:r>
      <w:proofErr w:type="spellEnd"/>
      <w:r>
        <w:rPr>
          <w:rFonts w:ascii="Arial" w:hAnsi="Arial" w:cs="Arial"/>
          <w:sz w:val="16"/>
          <w:szCs w:val="16"/>
        </w:rPr>
        <w:t xml:space="preserve"> and White, as managing directors of Legion Asset Management and a managing member of Legion Holdings, respectively, may be deemed the beneficial owners of the shares owned by Legion Partners I, Legion Partners II and Legion Partners Special II. The address for each reporting person is 9401 Wilshire Blvd, Suite 705, Beverly Hills, CA 90212.</w:t>
      </w:r>
    </w:p>
    <w:p w:rsidR="00376768" w:rsidRDefault="00EC2B72">
      <w:pPr>
        <w:spacing w:before="160"/>
        <w:ind w:left="360" w:hanging="360"/>
        <w:jc w:val="both"/>
        <w:rPr>
          <w:rFonts w:ascii="Arial" w:hAnsi="Arial" w:cs="Arial"/>
          <w:sz w:val="16"/>
          <w:szCs w:val="16"/>
        </w:rPr>
      </w:pPr>
      <w:r>
        <w:rPr>
          <w:rFonts w:ascii="Arial" w:hAnsi="Arial" w:cs="Arial"/>
          <w:sz w:val="16"/>
          <w:szCs w:val="16"/>
        </w:rPr>
        <w:t>(d)</w:t>
      </w:r>
      <w:r>
        <w:rPr>
          <w:rFonts w:ascii="Arial" w:hAnsi="Arial" w:cs="Arial"/>
          <w:sz w:val="16"/>
          <w:szCs w:val="16"/>
        </w:rPr>
        <w:tab/>
        <w:t xml:space="preserve">Until February 13, 2018, Legion Partners I, Legion Partners II, Legion Special II, Legion Partners, Legion Asset Management, Legion Holdings and Messrs. </w:t>
      </w:r>
      <w:proofErr w:type="spellStart"/>
      <w:r>
        <w:rPr>
          <w:rFonts w:ascii="Arial" w:hAnsi="Arial" w:cs="Arial"/>
          <w:sz w:val="16"/>
          <w:szCs w:val="16"/>
        </w:rPr>
        <w:t>Vizi</w:t>
      </w:r>
      <w:proofErr w:type="spellEnd"/>
      <w:r>
        <w:rPr>
          <w:rFonts w:ascii="Arial" w:hAnsi="Arial" w:cs="Arial"/>
          <w:sz w:val="16"/>
          <w:szCs w:val="16"/>
        </w:rPr>
        <w:t xml:space="preserve">, </w:t>
      </w:r>
      <w:proofErr w:type="spellStart"/>
      <w:r>
        <w:rPr>
          <w:rFonts w:ascii="Arial" w:hAnsi="Arial" w:cs="Arial"/>
          <w:sz w:val="16"/>
          <w:szCs w:val="16"/>
        </w:rPr>
        <w:t>Kiper</w:t>
      </w:r>
      <w:proofErr w:type="spellEnd"/>
      <w:r>
        <w:rPr>
          <w:rFonts w:ascii="Arial" w:hAnsi="Arial" w:cs="Arial"/>
          <w:sz w:val="16"/>
          <w:szCs w:val="16"/>
        </w:rPr>
        <w:t xml:space="preserve"> and White (each, an “Investor” and collectively, the “Investor Group”) were parties, with the Company, to the Investors Agreement with regard to the shares of common stock held by each Investor. Among other matters, the Investors Agreement required the Investor Group, during the pendency of the Standstill Period, to vote, or cause to be voted, all shares of common stock beneficially owned by each Investor and their respective affiliates and associates on the Company’s proxy card or voting instruction form in favor of (a) each of the directors nominated by the Board and recommended by the Board in the election of directors (and not in favor of any other nominees to serve on the Board), and (b) except in connection with certain matters, each of the shareholder proposals listed on the Company’s proxy card or voting instruction form as identified in the Company’s proxy statement in accordance with the Board’s recommendations, including in favor of all other matters recommended for shareholder approval by the Board. The Investors Agreement expired on February 13, 2018. For additional information on the Investors Agreement, see “Nominating and Corporate Governance Committee.”</w:t>
      </w:r>
    </w:p>
    <w:p w:rsidR="00376768" w:rsidRDefault="00EC2B72">
      <w:pPr>
        <w:spacing w:before="160"/>
        <w:ind w:left="360" w:hanging="360"/>
        <w:jc w:val="both"/>
        <w:rPr>
          <w:rFonts w:ascii="Arial" w:hAnsi="Arial" w:cs="Arial"/>
          <w:sz w:val="16"/>
          <w:szCs w:val="16"/>
        </w:rPr>
      </w:pPr>
      <w:r>
        <w:rPr>
          <w:rFonts w:ascii="Arial" w:hAnsi="Arial" w:cs="Arial"/>
          <w:sz w:val="16"/>
          <w:szCs w:val="16"/>
        </w:rPr>
        <w:t>(e)</w:t>
      </w:r>
      <w:r>
        <w:rPr>
          <w:rFonts w:ascii="Arial" w:hAnsi="Arial" w:cs="Arial"/>
          <w:sz w:val="16"/>
          <w:szCs w:val="16"/>
        </w:rPr>
        <w:tab/>
        <w:t xml:space="preserve">Per Form 13D/A and Form 4 filed on January 3, 2018, Mr. Bradley </w:t>
      </w:r>
      <w:proofErr w:type="spellStart"/>
      <w:r>
        <w:rPr>
          <w:rFonts w:ascii="Arial" w:hAnsi="Arial" w:cs="Arial"/>
          <w:sz w:val="16"/>
          <w:szCs w:val="16"/>
        </w:rPr>
        <w:t>Vizi</w:t>
      </w:r>
      <w:proofErr w:type="spellEnd"/>
      <w:r>
        <w:rPr>
          <w:rFonts w:ascii="Arial" w:hAnsi="Arial" w:cs="Arial"/>
          <w:sz w:val="16"/>
          <w:szCs w:val="16"/>
        </w:rPr>
        <w:t xml:space="preserve"> is no longer a member of Section 13(d) group with Legion Partners, Legion Partners, L.P. I, Legion Partners, L.P. II, Legion Partners Special Opportunities, L.P., II, Legion Partners, LLC, Legion Partners Asset Management, LLC, Legion Partners Holdings, LLC, Christopher S. </w:t>
      </w:r>
      <w:proofErr w:type="spellStart"/>
      <w:r>
        <w:rPr>
          <w:rFonts w:ascii="Arial" w:hAnsi="Arial" w:cs="Arial"/>
          <w:sz w:val="16"/>
          <w:szCs w:val="16"/>
        </w:rPr>
        <w:t>Kiper</w:t>
      </w:r>
      <w:proofErr w:type="spellEnd"/>
      <w:r>
        <w:rPr>
          <w:rFonts w:ascii="Arial" w:hAnsi="Arial" w:cs="Arial"/>
          <w:sz w:val="16"/>
          <w:szCs w:val="16"/>
        </w:rPr>
        <w:t>, and Raymond T. White (each, a “Legion Entity”) and is no longer deemed to have shared voting or dispositive power over shares of common stock owned directly by any Legion Entity.</w:t>
      </w:r>
    </w:p>
    <w:p w:rsidR="00376768" w:rsidRDefault="00EC2B72">
      <w:pPr>
        <w:jc w:val="center"/>
        <w:rPr>
          <w:rFonts w:ascii="Arial" w:hAnsi="Arial" w:cs="Arial"/>
          <w:b/>
          <w:bCs/>
        </w:rPr>
      </w:pPr>
      <w:r>
        <w:rPr>
          <w:rFonts w:ascii="Arial" w:hAnsi="Arial" w:cs="Arial"/>
          <w:b/>
          <w:bCs/>
        </w:rPr>
        <w:br w:type="page"/>
      </w:r>
      <w:r>
        <w:rPr>
          <w:rFonts w:ascii="Arial" w:hAnsi="Arial" w:cs="Arial"/>
          <w:b/>
          <w:bCs/>
        </w:rPr>
        <w:lastRenderedPageBreak/>
        <w:t>DI</w:t>
      </w:r>
      <w:bookmarkStart w:id="7" w:name="a007_v1"/>
      <w:bookmarkEnd w:id="7"/>
      <w:r>
        <w:rPr>
          <w:rFonts w:ascii="Arial" w:hAnsi="Arial" w:cs="Arial"/>
          <w:b/>
          <w:bCs/>
        </w:rPr>
        <w:t>RECTOR COMPENSATION – 2017</w:t>
      </w:r>
    </w:p>
    <w:p w:rsidR="00376768" w:rsidRDefault="00EC2B72">
      <w:pPr>
        <w:spacing w:before="160"/>
        <w:ind w:firstLine="360"/>
        <w:jc w:val="both"/>
        <w:rPr>
          <w:rFonts w:ascii="Arial" w:hAnsi="Arial" w:cs="Arial"/>
        </w:rPr>
      </w:pPr>
      <w:r>
        <w:rPr>
          <w:rFonts w:ascii="Arial" w:hAnsi="Arial" w:cs="Arial"/>
        </w:rPr>
        <w:t>The following table sets forth our non-employee director compensation for 2017. Directors who are also employees of the Company do not receive any consideration for their service on the Board.</w:t>
      </w:r>
    </w:p>
    <w:p w:rsidR="00376768" w:rsidRDefault="00376768">
      <w:pPr>
        <w:rPr>
          <w:rFonts w:ascii="Arial" w:hAnsi="Arial" w:cs="Arial"/>
        </w:rPr>
      </w:pPr>
    </w:p>
    <w:tbl>
      <w:tblPr>
        <w:tblW w:w="4524" w:type="pct"/>
        <w:jc w:val="center"/>
        <w:tblLayout w:type="fixed"/>
        <w:tblCellMar>
          <w:left w:w="0" w:type="dxa"/>
          <w:right w:w="0" w:type="dxa"/>
        </w:tblCellMar>
        <w:tblLook w:val="0000" w:firstRow="0" w:lastRow="0" w:firstColumn="0" w:lastColumn="0" w:noHBand="0" w:noVBand="0"/>
      </w:tblPr>
      <w:tblGrid>
        <w:gridCol w:w="5421"/>
        <w:gridCol w:w="135"/>
        <w:gridCol w:w="172"/>
        <w:gridCol w:w="158"/>
        <w:gridCol w:w="774"/>
        <w:gridCol w:w="139"/>
        <w:gridCol w:w="219"/>
        <w:gridCol w:w="209"/>
        <w:gridCol w:w="158"/>
        <w:gridCol w:w="631"/>
        <w:gridCol w:w="219"/>
        <w:gridCol w:w="219"/>
        <w:gridCol w:w="180"/>
        <w:gridCol w:w="127"/>
        <w:gridCol w:w="743"/>
        <w:gridCol w:w="162"/>
        <w:gridCol w:w="106"/>
      </w:tblGrid>
      <w:tr w:rsidR="00376768">
        <w:trPr>
          <w:jc w:val="center"/>
        </w:trPr>
        <w:tc>
          <w:tcPr>
            <w:tcW w:w="2773" w:type="pct"/>
            <w:vAlign w:val="bottom"/>
          </w:tcPr>
          <w:p w:rsidR="00376768" w:rsidRDefault="00EC2B72">
            <w:pPr>
              <w:tabs>
                <w:tab w:val="left" w:leader="dot" w:pos="5760"/>
              </w:tabs>
              <w:jc w:val="center"/>
              <w:rPr>
                <w:rFonts w:ascii="Arial" w:hAnsi="Arial" w:cs="Arial"/>
                <w:b/>
                <w:bCs/>
                <w:sz w:val="18"/>
                <w:szCs w:val="16"/>
                <w:u w:val="single"/>
              </w:rPr>
            </w:pPr>
            <w:r>
              <w:rPr>
                <w:rFonts w:ascii="Arial" w:hAnsi="Arial" w:cs="Arial"/>
                <w:b/>
                <w:bCs/>
                <w:sz w:val="18"/>
                <w:szCs w:val="16"/>
                <w:u w:val="single"/>
              </w:rPr>
              <w:t>Name</w:t>
            </w:r>
          </w:p>
        </w:tc>
        <w:tc>
          <w:tcPr>
            <w:tcW w:w="69" w:type="pct"/>
            <w:vAlign w:val="bottom"/>
          </w:tcPr>
          <w:p w:rsidR="00376768" w:rsidRDefault="00376768">
            <w:pPr>
              <w:jc w:val="center"/>
              <w:rPr>
                <w:rFonts w:ascii="Arial" w:hAnsi="Arial" w:cs="Arial"/>
                <w:b/>
                <w:bCs/>
                <w:sz w:val="18"/>
                <w:szCs w:val="16"/>
              </w:rPr>
            </w:pPr>
          </w:p>
        </w:tc>
        <w:tc>
          <w:tcPr>
            <w:tcW w:w="636" w:type="pct"/>
            <w:gridSpan w:val="4"/>
            <w:tcBorders>
              <w:bottom w:val="single" w:sz="4" w:space="0" w:color="auto"/>
            </w:tcBorders>
            <w:vAlign w:val="bottom"/>
          </w:tcPr>
          <w:p w:rsidR="00376768" w:rsidRDefault="00EC2B72">
            <w:pPr>
              <w:jc w:val="center"/>
              <w:rPr>
                <w:rFonts w:ascii="Arial" w:hAnsi="Arial" w:cs="Arial"/>
                <w:b/>
                <w:bCs/>
                <w:sz w:val="18"/>
                <w:szCs w:val="16"/>
              </w:rPr>
            </w:pPr>
            <w:r>
              <w:rPr>
                <w:rFonts w:ascii="Arial" w:hAnsi="Arial" w:cs="Arial"/>
                <w:b/>
                <w:bCs/>
                <w:sz w:val="18"/>
                <w:szCs w:val="16"/>
              </w:rPr>
              <w:t>Fees Earned or Paid in Cash ($)</w:t>
            </w:r>
            <w:r>
              <w:rPr>
                <w:rFonts w:ascii="Arial" w:hAnsi="Arial" w:cs="Arial"/>
                <w:b/>
                <w:bCs/>
                <w:sz w:val="18"/>
                <w:szCs w:val="16"/>
                <w:vertAlign w:val="superscript"/>
              </w:rPr>
              <w:t>1,2</w:t>
            </w:r>
          </w:p>
        </w:tc>
        <w:tc>
          <w:tcPr>
            <w:tcW w:w="112" w:type="pct"/>
            <w:vAlign w:val="bottom"/>
          </w:tcPr>
          <w:p w:rsidR="00376768" w:rsidRDefault="00376768">
            <w:pPr>
              <w:jc w:val="center"/>
              <w:rPr>
                <w:rFonts w:ascii="Arial" w:hAnsi="Arial" w:cs="Arial"/>
                <w:b/>
                <w:bCs/>
                <w:sz w:val="18"/>
                <w:szCs w:val="16"/>
              </w:rPr>
            </w:pPr>
          </w:p>
        </w:tc>
        <w:tc>
          <w:tcPr>
            <w:tcW w:w="623" w:type="pct"/>
            <w:gridSpan w:val="4"/>
            <w:tcBorders>
              <w:bottom w:val="single" w:sz="4" w:space="0" w:color="auto"/>
            </w:tcBorders>
            <w:vAlign w:val="bottom"/>
          </w:tcPr>
          <w:p w:rsidR="00376768" w:rsidRDefault="00EC2B72">
            <w:pPr>
              <w:jc w:val="center"/>
              <w:rPr>
                <w:rFonts w:ascii="Arial" w:hAnsi="Arial" w:cs="Arial"/>
                <w:b/>
                <w:bCs/>
                <w:sz w:val="18"/>
                <w:szCs w:val="16"/>
              </w:rPr>
            </w:pPr>
            <w:r>
              <w:rPr>
                <w:rFonts w:ascii="Arial" w:hAnsi="Arial" w:cs="Arial"/>
                <w:b/>
                <w:bCs/>
                <w:sz w:val="18"/>
                <w:szCs w:val="16"/>
              </w:rPr>
              <w:t xml:space="preserve">Stock </w:t>
            </w:r>
            <w:r>
              <w:rPr>
                <w:rFonts w:ascii="Arial" w:hAnsi="Arial" w:cs="Arial"/>
                <w:b/>
                <w:bCs/>
                <w:sz w:val="18"/>
                <w:szCs w:val="16"/>
              </w:rPr>
              <w:br/>
              <w:t>Awards ($)</w:t>
            </w:r>
            <w:r>
              <w:rPr>
                <w:rFonts w:ascii="Arial" w:hAnsi="Arial" w:cs="Arial"/>
                <w:b/>
                <w:bCs/>
                <w:sz w:val="18"/>
                <w:szCs w:val="16"/>
                <w:vertAlign w:val="superscript"/>
              </w:rPr>
              <w:t>3</w:t>
            </w:r>
          </w:p>
        </w:tc>
        <w:tc>
          <w:tcPr>
            <w:tcW w:w="112" w:type="pct"/>
            <w:vAlign w:val="bottom"/>
          </w:tcPr>
          <w:p w:rsidR="00376768" w:rsidRDefault="00376768">
            <w:pPr>
              <w:jc w:val="center"/>
              <w:rPr>
                <w:rFonts w:ascii="Arial" w:hAnsi="Arial" w:cs="Arial"/>
                <w:b/>
                <w:bCs/>
                <w:sz w:val="18"/>
                <w:szCs w:val="16"/>
              </w:rPr>
            </w:pPr>
          </w:p>
        </w:tc>
        <w:tc>
          <w:tcPr>
            <w:tcW w:w="620" w:type="pct"/>
            <w:gridSpan w:val="4"/>
            <w:tcBorders>
              <w:bottom w:val="single" w:sz="4" w:space="0" w:color="auto"/>
            </w:tcBorders>
            <w:vAlign w:val="bottom"/>
          </w:tcPr>
          <w:p w:rsidR="00376768" w:rsidRDefault="00EC2B72">
            <w:pPr>
              <w:jc w:val="center"/>
              <w:rPr>
                <w:rFonts w:ascii="Arial" w:hAnsi="Arial" w:cs="Arial"/>
                <w:b/>
                <w:bCs/>
                <w:sz w:val="18"/>
                <w:szCs w:val="16"/>
              </w:rPr>
            </w:pPr>
            <w:r>
              <w:rPr>
                <w:rFonts w:ascii="Arial" w:hAnsi="Arial" w:cs="Arial"/>
                <w:b/>
                <w:bCs/>
                <w:sz w:val="18"/>
                <w:szCs w:val="16"/>
              </w:rPr>
              <w:t>Total ($)</w:t>
            </w:r>
          </w:p>
        </w:tc>
        <w:tc>
          <w:tcPr>
            <w:tcW w:w="54" w:type="pct"/>
            <w:vAlign w:val="bottom"/>
          </w:tcPr>
          <w:p w:rsidR="00376768" w:rsidRDefault="00376768">
            <w:pPr>
              <w:rPr>
                <w:rFonts w:ascii="Arial" w:hAnsi="Arial" w:cs="Arial"/>
                <w:sz w:val="18"/>
              </w:rPr>
            </w:pPr>
          </w:p>
        </w:tc>
      </w:tr>
      <w:tr w:rsidR="00376768">
        <w:trPr>
          <w:jc w:val="center"/>
        </w:trPr>
        <w:tc>
          <w:tcPr>
            <w:tcW w:w="2773" w:type="pct"/>
            <w:vAlign w:val="bottom"/>
          </w:tcPr>
          <w:p w:rsidR="00376768" w:rsidRDefault="00EC2B72">
            <w:pPr>
              <w:tabs>
                <w:tab w:val="left" w:leader="dot" w:pos="5760"/>
              </w:tabs>
              <w:rPr>
                <w:rFonts w:ascii="Arial" w:hAnsi="Arial" w:cs="Arial"/>
                <w:sz w:val="18"/>
              </w:rPr>
            </w:pPr>
            <w:r>
              <w:rPr>
                <w:rFonts w:ascii="Arial" w:hAnsi="Arial" w:cs="Arial"/>
                <w:sz w:val="18"/>
              </w:rPr>
              <w:t>Lee B. Foster II</w:t>
            </w:r>
          </w:p>
        </w:tc>
        <w:tc>
          <w:tcPr>
            <w:tcW w:w="69" w:type="pct"/>
            <w:vAlign w:val="bottom"/>
          </w:tcPr>
          <w:p w:rsidR="00376768" w:rsidRDefault="00376768">
            <w:pPr>
              <w:rPr>
                <w:rFonts w:ascii="Arial" w:hAnsi="Arial" w:cs="Arial"/>
                <w:sz w:val="18"/>
              </w:rPr>
            </w:pPr>
          </w:p>
        </w:tc>
        <w:tc>
          <w:tcPr>
            <w:tcW w:w="88" w:type="pct"/>
            <w:tcBorders>
              <w:top w:val="single" w:sz="4" w:space="0" w:color="auto"/>
            </w:tcBorders>
            <w:vAlign w:val="bottom"/>
          </w:tcPr>
          <w:p w:rsidR="00376768" w:rsidRDefault="00376768">
            <w:pPr>
              <w:rPr>
                <w:rFonts w:ascii="Arial" w:hAnsi="Arial" w:cs="Arial"/>
                <w:sz w:val="18"/>
              </w:rPr>
            </w:pPr>
          </w:p>
        </w:tc>
        <w:tc>
          <w:tcPr>
            <w:tcW w:w="81" w:type="pct"/>
            <w:tcBorders>
              <w:top w:val="single" w:sz="4" w:space="0" w:color="auto"/>
            </w:tcBorders>
            <w:vAlign w:val="bottom"/>
          </w:tcPr>
          <w:p w:rsidR="00376768" w:rsidRDefault="00EC2B72">
            <w:pPr>
              <w:rPr>
                <w:rFonts w:ascii="Arial" w:hAnsi="Arial" w:cs="Arial"/>
                <w:sz w:val="18"/>
              </w:rPr>
            </w:pPr>
            <w:r>
              <w:rPr>
                <w:rFonts w:ascii="Arial" w:hAnsi="Arial" w:cs="Arial"/>
                <w:sz w:val="18"/>
              </w:rPr>
              <w:t>$</w:t>
            </w:r>
          </w:p>
        </w:tc>
        <w:tc>
          <w:tcPr>
            <w:tcW w:w="396" w:type="pct"/>
            <w:tcBorders>
              <w:top w:val="single" w:sz="4" w:space="0" w:color="auto"/>
            </w:tcBorders>
            <w:vAlign w:val="bottom"/>
          </w:tcPr>
          <w:p w:rsidR="00376768" w:rsidRDefault="00EC2B72">
            <w:pPr>
              <w:jc w:val="right"/>
              <w:rPr>
                <w:rFonts w:ascii="Arial" w:hAnsi="Arial" w:cs="Arial"/>
                <w:sz w:val="18"/>
              </w:rPr>
            </w:pPr>
            <w:r>
              <w:rPr>
                <w:rFonts w:ascii="Arial" w:hAnsi="Arial" w:cs="Arial"/>
                <w:sz w:val="18"/>
              </w:rPr>
              <w:t>111,250</w:t>
            </w:r>
          </w:p>
        </w:tc>
        <w:tc>
          <w:tcPr>
            <w:tcW w:w="71" w:type="pct"/>
            <w:tcBorders>
              <w:top w:val="single" w:sz="4" w:space="0" w:color="auto"/>
            </w:tcBorders>
            <w:vAlign w:val="bottom"/>
          </w:tcPr>
          <w:p w:rsidR="00376768" w:rsidRDefault="00376768">
            <w:pPr>
              <w:rPr>
                <w:rFonts w:ascii="Arial" w:hAnsi="Arial" w:cs="Arial"/>
                <w:sz w:val="18"/>
              </w:rPr>
            </w:pPr>
          </w:p>
        </w:tc>
        <w:tc>
          <w:tcPr>
            <w:tcW w:w="112" w:type="pct"/>
            <w:vAlign w:val="bottom"/>
          </w:tcPr>
          <w:p w:rsidR="00376768" w:rsidRDefault="00376768">
            <w:pPr>
              <w:rPr>
                <w:rFonts w:ascii="Arial" w:hAnsi="Arial" w:cs="Arial"/>
                <w:sz w:val="18"/>
              </w:rPr>
            </w:pPr>
          </w:p>
        </w:tc>
        <w:tc>
          <w:tcPr>
            <w:tcW w:w="107" w:type="pct"/>
            <w:tcBorders>
              <w:top w:val="single" w:sz="4" w:space="0" w:color="auto"/>
            </w:tcBorders>
            <w:vAlign w:val="bottom"/>
          </w:tcPr>
          <w:p w:rsidR="00376768" w:rsidRDefault="00376768">
            <w:pPr>
              <w:rPr>
                <w:rFonts w:ascii="Arial" w:hAnsi="Arial" w:cs="Arial"/>
                <w:sz w:val="18"/>
              </w:rPr>
            </w:pPr>
          </w:p>
        </w:tc>
        <w:tc>
          <w:tcPr>
            <w:tcW w:w="81" w:type="pct"/>
            <w:tcBorders>
              <w:top w:val="single" w:sz="4" w:space="0" w:color="auto"/>
            </w:tcBorders>
            <w:vAlign w:val="bottom"/>
          </w:tcPr>
          <w:p w:rsidR="00376768" w:rsidRDefault="00EC2B72">
            <w:pPr>
              <w:rPr>
                <w:rFonts w:ascii="Arial" w:hAnsi="Arial" w:cs="Arial"/>
                <w:sz w:val="18"/>
              </w:rPr>
            </w:pPr>
            <w:r>
              <w:rPr>
                <w:rFonts w:ascii="Arial" w:hAnsi="Arial" w:cs="Arial"/>
                <w:sz w:val="18"/>
              </w:rPr>
              <w:t>$</w:t>
            </w:r>
          </w:p>
        </w:tc>
        <w:tc>
          <w:tcPr>
            <w:tcW w:w="323" w:type="pct"/>
            <w:tcBorders>
              <w:top w:val="single" w:sz="4" w:space="0" w:color="auto"/>
            </w:tcBorders>
            <w:vAlign w:val="bottom"/>
          </w:tcPr>
          <w:p w:rsidR="00376768" w:rsidRDefault="00EC2B72">
            <w:pPr>
              <w:jc w:val="right"/>
              <w:rPr>
                <w:rFonts w:ascii="Arial" w:hAnsi="Arial" w:cs="Arial"/>
                <w:sz w:val="18"/>
              </w:rPr>
            </w:pPr>
            <w:r>
              <w:rPr>
                <w:rFonts w:ascii="Arial" w:hAnsi="Arial" w:cs="Arial"/>
                <w:sz w:val="18"/>
              </w:rPr>
              <w:t>70,000</w:t>
            </w:r>
          </w:p>
        </w:tc>
        <w:tc>
          <w:tcPr>
            <w:tcW w:w="111" w:type="pct"/>
            <w:tcBorders>
              <w:top w:val="single" w:sz="4" w:space="0" w:color="auto"/>
            </w:tcBorders>
            <w:vAlign w:val="bottom"/>
          </w:tcPr>
          <w:p w:rsidR="00376768" w:rsidRDefault="00376768">
            <w:pPr>
              <w:rPr>
                <w:rFonts w:ascii="Arial" w:hAnsi="Arial" w:cs="Arial"/>
                <w:sz w:val="18"/>
              </w:rPr>
            </w:pPr>
          </w:p>
        </w:tc>
        <w:tc>
          <w:tcPr>
            <w:tcW w:w="112" w:type="pct"/>
            <w:vAlign w:val="bottom"/>
          </w:tcPr>
          <w:p w:rsidR="00376768" w:rsidRDefault="00376768">
            <w:pPr>
              <w:rPr>
                <w:rFonts w:ascii="Arial" w:hAnsi="Arial" w:cs="Arial"/>
                <w:sz w:val="18"/>
              </w:rPr>
            </w:pPr>
          </w:p>
        </w:tc>
        <w:tc>
          <w:tcPr>
            <w:tcW w:w="92" w:type="pct"/>
            <w:tcBorders>
              <w:top w:val="single" w:sz="4" w:space="0" w:color="auto"/>
            </w:tcBorders>
            <w:vAlign w:val="bottom"/>
          </w:tcPr>
          <w:p w:rsidR="00376768" w:rsidRDefault="00376768">
            <w:pPr>
              <w:rPr>
                <w:rFonts w:ascii="Arial" w:hAnsi="Arial" w:cs="Arial"/>
                <w:sz w:val="18"/>
              </w:rPr>
            </w:pPr>
          </w:p>
        </w:tc>
        <w:tc>
          <w:tcPr>
            <w:tcW w:w="65" w:type="pct"/>
            <w:tcBorders>
              <w:top w:val="single" w:sz="4" w:space="0" w:color="auto"/>
            </w:tcBorders>
            <w:vAlign w:val="bottom"/>
          </w:tcPr>
          <w:p w:rsidR="00376768" w:rsidRDefault="00EC2B72">
            <w:pPr>
              <w:rPr>
                <w:rFonts w:ascii="Arial" w:hAnsi="Arial" w:cs="Arial"/>
                <w:sz w:val="18"/>
              </w:rPr>
            </w:pPr>
            <w:r>
              <w:rPr>
                <w:rFonts w:ascii="Arial" w:hAnsi="Arial" w:cs="Arial"/>
                <w:sz w:val="18"/>
              </w:rPr>
              <w:t>$</w:t>
            </w:r>
          </w:p>
        </w:tc>
        <w:tc>
          <w:tcPr>
            <w:tcW w:w="380" w:type="pct"/>
            <w:tcBorders>
              <w:top w:val="single" w:sz="4" w:space="0" w:color="auto"/>
            </w:tcBorders>
            <w:vAlign w:val="bottom"/>
          </w:tcPr>
          <w:p w:rsidR="00376768" w:rsidRDefault="00EC2B72">
            <w:pPr>
              <w:jc w:val="right"/>
              <w:rPr>
                <w:rFonts w:ascii="Arial" w:hAnsi="Arial" w:cs="Arial"/>
                <w:sz w:val="18"/>
              </w:rPr>
            </w:pPr>
            <w:r>
              <w:rPr>
                <w:rFonts w:ascii="Arial" w:hAnsi="Arial" w:cs="Arial"/>
                <w:sz w:val="18"/>
              </w:rPr>
              <w:t>181,250</w:t>
            </w:r>
          </w:p>
        </w:tc>
        <w:tc>
          <w:tcPr>
            <w:tcW w:w="83" w:type="pct"/>
            <w:tcBorders>
              <w:top w:val="single" w:sz="4" w:space="0" w:color="auto"/>
            </w:tcBorders>
            <w:vAlign w:val="bottom"/>
          </w:tcPr>
          <w:p w:rsidR="00376768" w:rsidRDefault="00376768">
            <w:pPr>
              <w:rPr>
                <w:rFonts w:ascii="Arial" w:hAnsi="Arial" w:cs="Arial"/>
                <w:sz w:val="18"/>
              </w:rPr>
            </w:pPr>
          </w:p>
        </w:tc>
        <w:tc>
          <w:tcPr>
            <w:tcW w:w="54" w:type="pct"/>
            <w:vAlign w:val="bottom"/>
          </w:tcPr>
          <w:p w:rsidR="00376768" w:rsidRDefault="00376768">
            <w:pPr>
              <w:rPr>
                <w:rFonts w:ascii="Arial" w:hAnsi="Arial" w:cs="Arial"/>
                <w:sz w:val="18"/>
              </w:rPr>
            </w:pPr>
          </w:p>
        </w:tc>
      </w:tr>
      <w:tr w:rsidR="00376768">
        <w:trPr>
          <w:jc w:val="center"/>
        </w:trPr>
        <w:tc>
          <w:tcPr>
            <w:tcW w:w="2773" w:type="pct"/>
            <w:vAlign w:val="bottom"/>
          </w:tcPr>
          <w:p w:rsidR="00376768" w:rsidRDefault="00EC2B72">
            <w:pPr>
              <w:tabs>
                <w:tab w:val="left" w:leader="dot" w:pos="5760"/>
              </w:tabs>
              <w:rPr>
                <w:rFonts w:ascii="Arial" w:hAnsi="Arial" w:cs="Arial"/>
                <w:sz w:val="18"/>
              </w:rPr>
            </w:pPr>
            <w:r>
              <w:rPr>
                <w:rFonts w:ascii="Arial" w:hAnsi="Arial" w:cs="Arial"/>
                <w:sz w:val="18"/>
              </w:rPr>
              <w:t xml:space="preserve">Dirk </w:t>
            </w:r>
            <w:proofErr w:type="spellStart"/>
            <w:r>
              <w:rPr>
                <w:rFonts w:ascii="Arial" w:hAnsi="Arial" w:cs="Arial"/>
                <w:sz w:val="18"/>
              </w:rPr>
              <w:t>Jungé</w:t>
            </w:r>
            <w:proofErr w:type="spellEnd"/>
          </w:p>
        </w:tc>
        <w:tc>
          <w:tcPr>
            <w:tcW w:w="69" w:type="pct"/>
            <w:vAlign w:val="bottom"/>
          </w:tcPr>
          <w:p w:rsidR="00376768" w:rsidRDefault="00376768">
            <w:pPr>
              <w:rPr>
                <w:rFonts w:ascii="Arial" w:hAnsi="Arial" w:cs="Arial"/>
                <w:sz w:val="18"/>
              </w:rPr>
            </w:pPr>
          </w:p>
        </w:tc>
        <w:tc>
          <w:tcPr>
            <w:tcW w:w="88" w:type="pct"/>
            <w:vAlign w:val="bottom"/>
          </w:tcPr>
          <w:p w:rsidR="00376768" w:rsidRDefault="00376768">
            <w:pPr>
              <w:rPr>
                <w:rFonts w:ascii="Arial" w:hAnsi="Arial" w:cs="Arial"/>
                <w:sz w:val="18"/>
              </w:rPr>
            </w:pPr>
          </w:p>
        </w:tc>
        <w:tc>
          <w:tcPr>
            <w:tcW w:w="81" w:type="pct"/>
            <w:vAlign w:val="bottom"/>
          </w:tcPr>
          <w:p w:rsidR="00376768" w:rsidRDefault="00EC2B72">
            <w:pPr>
              <w:rPr>
                <w:rFonts w:ascii="Arial" w:hAnsi="Arial" w:cs="Arial"/>
                <w:sz w:val="18"/>
              </w:rPr>
            </w:pPr>
            <w:r>
              <w:rPr>
                <w:rFonts w:ascii="Arial" w:hAnsi="Arial" w:cs="Arial"/>
                <w:sz w:val="18"/>
              </w:rPr>
              <w:t>$</w:t>
            </w:r>
          </w:p>
        </w:tc>
        <w:tc>
          <w:tcPr>
            <w:tcW w:w="396" w:type="pct"/>
            <w:vAlign w:val="bottom"/>
          </w:tcPr>
          <w:p w:rsidR="00376768" w:rsidRDefault="00EC2B72">
            <w:pPr>
              <w:jc w:val="right"/>
              <w:rPr>
                <w:rFonts w:ascii="Arial" w:hAnsi="Arial" w:cs="Arial"/>
                <w:sz w:val="18"/>
              </w:rPr>
            </w:pPr>
            <w:r>
              <w:rPr>
                <w:rFonts w:ascii="Arial" w:hAnsi="Arial" w:cs="Arial"/>
                <w:sz w:val="18"/>
              </w:rPr>
              <w:t>51,250</w:t>
            </w:r>
          </w:p>
        </w:tc>
        <w:tc>
          <w:tcPr>
            <w:tcW w:w="71" w:type="pct"/>
            <w:vAlign w:val="bottom"/>
          </w:tcPr>
          <w:p w:rsidR="00376768" w:rsidRDefault="00376768">
            <w:pPr>
              <w:rPr>
                <w:rFonts w:ascii="Arial" w:hAnsi="Arial" w:cs="Arial"/>
                <w:sz w:val="18"/>
              </w:rPr>
            </w:pPr>
          </w:p>
        </w:tc>
        <w:tc>
          <w:tcPr>
            <w:tcW w:w="112" w:type="pct"/>
            <w:vAlign w:val="bottom"/>
          </w:tcPr>
          <w:p w:rsidR="00376768" w:rsidRDefault="00376768">
            <w:pPr>
              <w:rPr>
                <w:rFonts w:ascii="Arial" w:hAnsi="Arial" w:cs="Arial"/>
                <w:sz w:val="18"/>
              </w:rPr>
            </w:pPr>
          </w:p>
        </w:tc>
        <w:tc>
          <w:tcPr>
            <w:tcW w:w="107" w:type="pct"/>
            <w:vAlign w:val="bottom"/>
          </w:tcPr>
          <w:p w:rsidR="00376768" w:rsidRDefault="00376768">
            <w:pPr>
              <w:rPr>
                <w:rFonts w:ascii="Arial" w:hAnsi="Arial" w:cs="Arial"/>
                <w:sz w:val="18"/>
              </w:rPr>
            </w:pPr>
          </w:p>
        </w:tc>
        <w:tc>
          <w:tcPr>
            <w:tcW w:w="81" w:type="pct"/>
            <w:vAlign w:val="bottom"/>
          </w:tcPr>
          <w:p w:rsidR="00376768" w:rsidRDefault="00EC2B72">
            <w:pPr>
              <w:rPr>
                <w:rFonts w:ascii="Arial" w:hAnsi="Arial" w:cs="Arial"/>
                <w:sz w:val="18"/>
              </w:rPr>
            </w:pPr>
            <w:r>
              <w:rPr>
                <w:rFonts w:ascii="Arial" w:hAnsi="Arial" w:cs="Arial"/>
                <w:sz w:val="18"/>
              </w:rPr>
              <w:t>$</w:t>
            </w:r>
          </w:p>
        </w:tc>
        <w:tc>
          <w:tcPr>
            <w:tcW w:w="323" w:type="pct"/>
            <w:vAlign w:val="bottom"/>
          </w:tcPr>
          <w:p w:rsidR="00376768" w:rsidRDefault="00EC2B72">
            <w:pPr>
              <w:jc w:val="right"/>
              <w:rPr>
                <w:rFonts w:ascii="Arial" w:hAnsi="Arial" w:cs="Arial"/>
                <w:sz w:val="18"/>
              </w:rPr>
            </w:pPr>
            <w:r>
              <w:rPr>
                <w:rFonts w:ascii="Arial" w:hAnsi="Arial" w:cs="Arial"/>
                <w:sz w:val="18"/>
              </w:rPr>
              <w:t>70,000</w:t>
            </w:r>
          </w:p>
        </w:tc>
        <w:tc>
          <w:tcPr>
            <w:tcW w:w="111" w:type="pct"/>
            <w:vAlign w:val="bottom"/>
          </w:tcPr>
          <w:p w:rsidR="00376768" w:rsidRDefault="00376768">
            <w:pPr>
              <w:rPr>
                <w:rFonts w:ascii="Arial" w:hAnsi="Arial" w:cs="Arial"/>
                <w:sz w:val="18"/>
              </w:rPr>
            </w:pPr>
          </w:p>
        </w:tc>
        <w:tc>
          <w:tcPr>
            <w:tcW w:w="112" w:type="pct"/>
            <w:vAlign w:val="bottom"/>
          </w:tcPr>
          <w:p w:rsidR="00376768" w:rsidRDefault="00376768">
            <w:pPr>
              <w:rPr>
                <w:rFonts w:ascii="Arial" w:hAnsi="Arial" w:cs="Arial"/>
                <w:sz w:val="18"/>
              </w:rPr>
            </w:pPr>
          </w:p>
        </w:tc>
        <w:tc>
          <w:tcPr>
            <w:tcW w:w="92" w:type="pct"/>
            <w:vAlign w:val="bottom"/>
          </w:tcPr>
          <w:p w:rsidR="00376768" w:rsidRDefault="00376768">
            <w:pPr>
              <w:rPr>
                <w:rFonts w:ascii="Arial" w:hAnsi="Arial" w:cs="Arial"/>
                <w:sz w:val="18"/>
              </w:rPr>
            </w:pPr>
          </w:p>
        </w:tc>
        <w:tc>
          <w:tcPr>
            <w:tcW w:w="65" w:type="pct"/>
            <w:vAlign w:val="bottom"/>
          </w:tcPr>
          <w:p w:rsidR="00376768" w:rsidRDefault="00EC2B72">
            <w:pPr>
              <w:rPr>
                <w:rFonts w:ascii="Arial" w:hAnsi="Arial" w:cs="Arial"/>
                <w:sz w:val="18"/>
              </w:rPr>
            </w:pPr>
            <w:r>
              <w:rPr>
                <w:rFonts w:ascii="Arial" w:hAnsi="Arial" w:cs="Arial"/>
                <w:sz w:val="18"/>
              </w:rPr>
              <w:t>$</w:t>
            </w:r>
          </w:p>
        </w:tc>
        <w:tc>
          <w:tcPr>
            <w:tcW w:w="380" w:type="pct"/>
            <w:vAlign w:val="bottom"/>
          </w:tcPr>
          <w:p w:rsidR="00376768" w:rsidRDefault="00EC2B72">
            <w:pPr>
              <w:jc w:val="right"/>
              <w:rPr>
                <w:rFonts w:ascii="Arial" w:hAnsi="Arial" w:cs="Arial"/>
                <w:sz w:val="18"/>
              </w:rPr>
            </w:pPr>
            <w:r>
              <w:rPr>
                <w:rFonts w:ascii="Arial" w:hAnsi="Arial" w:cs="Arial"/>
                <w:sz w:val="18"/>
              </w:rPr>
              <w:t>121,250</w:t>
            </w:r>
          </w:p>
        </w:tc>
        <w:tc>
          <w:tcPr>
            <w:tcW w:w="83" w:type="pct"/>
            <w:vAlign w:val="bottom"/>
          </w:tcPr>
          <w:p w:rsidR="00376768" w:rsidRDefault="00376768">
            <w:pPr>
              <w:rPr>
                <w:rFonts w:ascii="Arial" w:hAnsi="Arial" w:cs="Arial"/>
                <w:sz w:val="18"/>
              </w:rPr>
            </w:pPr>
          </w:p>
        </w:tc>
        <w:tc>
          <w:tcPr>
            <w:tcW w:w="54" w:type="pct"/>
            <w:vAlign w:val="bottom"/>
          </w:tcPr>
          <w:p w:rsidR="00376768" w:rsidRDefault="00376768">
            <w:pPr>
              <w:rPr>
                <w:rFonts w:ascii="Arial" w:hAnsi="Arial" w:cs="Arial"/>
                <w:sz w:val="18"/>
              </w:rPr>
            </w:pPr>
          </w:p>
        </w:tc>
      </w:tr>
      <w:tr w:rsidR="00376768">
        <w:trPr>
          <w:jc w:val="center"/>
        </w:trPr>
        <w:tc>
          <w:tcPr>
            <w:tcW w:w="2773" w:type="pct"/>
            <w:vAlign w:val="bottom"/>
          </w:tcPr>
          <w:p w:rsidR="00376768" w:rsidRDefault="00EC2B72">
            <w:pPr>
              <w:tabs>
                <w:tab w:val="left" w:leader="dot" w:pos="5760"/>
              </w:tabs>
              <w:ind w:left="1440" w:hanging="1440"/>
              <w:rPr>
                <w:rFonts w:ascii="Arial" w:hAnsi="Arial" w:cs="Arial"/>
                <w:sz w:val="18"/>
              </w:rPr>
            </w:pPr>
            <w:r>
              <w:rPr>
                <w:rFonts w:ascii="Arial" w:hAnsi="Arial" w:cs="Arial"/>
                <w:sz w:val="18"/>
              </w:rPr>
              <w:t>Diane B. Owen</w:t>
            </w:r>
          </w:p>
        </w:tc>
        <w:tc>
          <w:tcPr>
            <w:tcW w:w="69" w:type="pct"/>
            <w:vAlign w:val="bottom"/>
          </w:tcPr>
          <w:p w:rsidR="00376768" w:rsidRDefault="00376768">
            <w:pPr>
              <w:rPr>
                <w:rFonts w:ascii="Arial" w:hAnsi="Arial" w:cs="Arial"/>
                <w:sz w:val="18"/>
              </w:rPr>
            </w:pPr>
          </w:p>
        </w:tc>
        <w:tc>
          <w:tcPr>
            <w:tcW w:w="88" w:type="pct"/>
            <w:vAlign w:val="bottom"/>
          </w:tcPr>
          <w:p w:rsidR="00376768" w:rsidRDefault="00376768">
            <w:pPr>
              <w:rPr>
                <w:rFonts w:ascii="Arial" w:hAnsi="Arial" w:cs="Arial"/>
                <w:sz w:val="18"/>
              </w:rPr>
            </w:pPr>
          </w:p>
        </w:tc>
        <w:tc>
          <w:tcPr>
            <w:tcW w:w="81" w:type="pct"/>
            <w:vAlign w:val="bottom"/>
          </w:tcPr>
          <w:p w:rsidR="00376768" w:rsidRDefault="00EC2B72">
            <w:pPr>
              <w:rPr>
                <w:rFonts w:ascii="Arial" w:hAnsi="Arial" w:cs="Arial"/>
                <w:sz w:val="18"/>
              </w:rPr>
            </w:pPr>
            <w:r>
              <w:rPr>
                <w:rFonts w:ascii="Arial" w:hAnsi="Arial" w:cs="Arial"/>
                <w:sz w:val="18"/>
              </w:rPr>
              <w:t>$</w:t>
            </w:r>
          </w:p>
        </w:tc>
        <w:tc>
          <w:tcPr>
            <w:tcW w:w="396" w:type="pct"/>
            <w:vAlign w:val="bottom"/>
          </w:tcPr>
          <w:p w:rsidR="00376768" w:rsidRDefault="00EC2B72">
            <w:pPr>
              <w:jc w:val="right"/>
              <w:rPr>
                <w:rFonts w:ascii="Arial" w:hAnsi="Arial" w:cs="Arial"/>
                <w:sz w:val="18"/>
              </w:rPr>
            </w:pPr>
            <w:r>
              <w:rPr>
                <w:rFonts w:ascii="Arial" w:hAnsi="Arial" w:cs="Arial"/>
                <w:sz w:val="18"/>
              </w:rPr>
              <w:t>61,250</w:t>
            </w:r>
          </w:p>
        </w:tc>
        <w:tc>
          <w:tcPr>
            <w:tcW w:w="71" w:type="pct"/>
            <w:vAlign w:val="bottom"/>
          </w:tcPr>
          <w:p w:rsidR="00376768" w:rsidRDefault="00376768">
            <w:pPr>
              <w:rPr>
                <w:rFonts w:ascii="Arial" w:hAnsi="Arial" w:cs="Arial"/>
                <w:sz w:val="18"/>
              </w:rPr>
            </w:pPr>
          </w:p>
        </w:tc>
        <w:tc>
          <w:tcPr>
            <w:tcW w:w="112" w:type="pct"/>
            <w:vAlign w:val="bottom"/>
          </w:tcPr>
          <w:p w:rsidR="00376768" w:rsidRDefault="00376768">
            <w:pPr>
              <w:rPr>
                <w:rFonts w:ascii="Arial" w:hAnsi="Arial" w:cs="Arial"/>
                <w:sz w:val="18"/>
              </w:rPr>
            </w:pPr>
          </w:p>
        </w:tc>
        <w:tc>
          <w:tcPr>
            <w:tcW w:w="107" w:type="pct"/>
            <w:vAlign w:val="bottom"/>
          </w:tcPr>
          <w:p w:rsidR="00376768" w:rsidRDefault="00376768">
            <w:pPr>
              <w:rPr>
                <w:rFonts w:ascii="Arial" w:hAnsi="Arial" w:cs="Arial"/>
                <w:sz w:val="18"/>
              </w:rPr>
            </w:pPr>
          </w:p>
        </w:tc>
        <w:tc>
          <w:tcPr>
            <w:tcW w:w="81" w:type="pct"/>
            <w:vAlign w:val="bottom"/>
          </w:tcPr>
          <w:p w:rsidR="00376768" w:rsidRDefault="00EC2B72">
            <w:pPr>
              <w:rPr>
                <w:rFonts w:ascii="Arial" w:hAnsi="Arial" w:cs="Arial"/>
                <w:sz w:val="18"/>
              </w:rPr>
            </w:pPr>
            <w:r>
              <w:rPr>
                <w:rFonts w:ascii="Arial" w:hAnsi="Arial" w:cs="Arial"/>
                <w:sz w:val="18"/>
              </w:rPr>
              <w:t>$</w:t>
            </w:r>
          </w:p>
        </w:tc>
        <w:tc>
          <w:tcPr>
            <w:tcW w:w="323" w:type="pct"/>
            <w:vAlign w:val="bottom"/>
          </w:tcPr>
          <w:p w:rsidR="00376768" w:rsidRDefault="00EC2B72">
            <w:pPr>
              <w:jc w:val="right"/>
              <w:rPr>
                <w:rFonts w:ascii="Arial" w:hAnsi="Arial" w:cs="Arial"/>
                <w:sz w:val="18"/>
              </w:rPr>
            </w:pPr>
            <w:r>
              <w:rPr>
                <w:rFonts w:ascii="Arial" w:hAnsi="Arial" w:cs="Arial"/>
                <w:sz w:val="18"/>
              </w:rPr>
              <w:t>70,000</w:t>
            </w:r>
          </w:p>
        </w:tc>
        <w:tc>
          <w:tcPr>
            <w:tcW w:w="111" w:type="pct"/>
            <w:vAlign w:val="bottom"/>
          </w:tcPr>
          <w:p w:rsidR="00376768" w:rsidRDefault="00376768">
            <w:pPr>
              <w:rPr>
                <w:rFonts w:ascii="Arial" w:hAnsi="Arial" w:cs="Arial"/>
                <w:sz w:val="18"/>
              </w:rPr>
            </w:pPr>
          </w:p>
        </w:tc>
        <w:tc>
          <w:tcPr>
            <w:tcW w:w="112" w:type="pct"/>
            <w:vAlign w:val="bottom"/>
          </w:tcPr>
          <w:p w:rsidR="00376768" w:rsidRDefault="00376768">
            <w:pPr>
              <w:rPr>
                <w:rFonts w:ascii="Arial" w:hAnsi="Arial" w:cs="Arial"/>
                <w:sz w:val="18"/>
              </w:rPr>
            </w:pPr>
          </w:p>
        </w:tc>
        <w:tc>
          <w:tcPr>
            <w:tcW w:w="92" w:type="pct"/>
            <w:vAlign w:val="bottom"/>
          </w:tcPr>
          <w:p w:rsidR="00376768" w:rsidRDefault="00376768">
            <w:pPr>
              <w:rPr>
                <w:rFonts w:ascii="Arial" w:hAnsi="Arial" w:cs="Arial"/>
                <w:sz w:val="18"/>
              </w:rPr>
            </w:pPr>
          </w:p>
        </w:tc>
        <w:tc>
          <w:tcPr>
            <w:tcW w:w="65" w:type="pct"/>
            <w:vAlign w:val="bottom"/>
          </w:tcPr>
          <w:p w:rsidR="00376768" w:rsidRDefault="00EC2B72">
            <w:pPr>
              <w:rPr>
                <w:rFonts w:ascii="Arial" w:hAnsi="Arial" w:cs="Arial"/>
                <w:sz w:val="18"/>
              </w:rPr>
            </w:pPr>
            <w:r>
              <w:rPr>
                <w:rFonts w:ascii="Arial" w:hAnsi="Arial" w:cs="Arial"/>
                <w:sz w:val="18"/>
              </w:rPr>
              <w:t>$</w:t>
            </w:r>
          </w:p>
        </w:tc>
        <w:tc>
          <w:tcPr>
            <w:tcW w:w="380" w:type="pct"/>
            <w:vAlign w:val="bottom"/>
          </w:tcPr>
          <w:p w:rsidR="00376768" w:rsidRDefault="00EC2B72">
            <w:pPr>
              <w:jc w:val="right"/>
              <w:rPr>
                <w:rFonts w:ascii="Arial" w:hAnsi="Arial" w:cs="Arial"/>
                <w:sz w:val="18"/>
              </w:rPr>
            </w:pPr>
            <w:r>
              <w:rPr>
                <w:rFonts w:ascii="Arial" w:hAnsi="Arial" w:cs="Arial"/>
                <w:sz w:val="18"/>
              </w:rPr>
              <w:t>131,250</w:t>
            </w:r>
          </w:p>
        </w:tc>
        <w:tc>
          <w:tcPr>
            <w:tcW w:w="83" w:type="pct"/>
            <w:vAlign w:val="bottom"/>
          </w:tcPr>
          <w:p w:rsidR="00376768" w:rsidRDefault="00376768">
            <w:pPr>
              <w:rPr>
                <w:rFonts w:ascii="Arial" w:hAnsi="Arial" w:cs="Arial"/>
                <w:sz w:val="18"/>
              </w:rPr>
            </w:pPr>
          </w:p>
        </w:tc>
        <w:tc>
          <w:tcPr>
            <w:tcW w:w="54" w:type="pct"/>
            <w:vAlign w:val="bottom"/>
          </w:tcPr>
          <w:p w:rsidR="00376768" w:rsidRDefault="00376768">
            <w:pPr>
              <w:rPr>
                <w:rFonts w:ascii="Arial" w:hAnsi="Arial" w:cs="Arial"/>
                <w:sz w:val="18"/>
              </w:rPr>
            </w:pPr>
          </w:p>
        </w:tc>
      </w:tr>
      <w:tr w:rsidR="00376768">
        <w:trPr>
          <w:jc w:val="center"/>
        </w:trPr>
        <w:tc>
          <w:tcPr>
            <w:tcW w:w="2773" w:type="pct"/>
            <w:vAlign w:val="bottom"/>
          </w:tcPr>
          <w:p w:rsidR="00376768" w:rsidRDefault="00EC2B72">
            <w:pPr>
              <w:tabs>
                <w:tab w:val="left" w:leader="dot" w:pos="5760"/>
              </w:tabs>
              <w:rPr>
                <w:rFonts w:ascii="Arial" w:hAnsi="Arial" w:cs="Arial"/>
                <w:sz w:val="18"/>
              </w:rPr>
            </w:pPr>
            <w:r>
              <w:rPr>
                <w:rFonts w:ascii="Arial" w:hAnsi="Arial" w:cs="Arial"/>
                <w:sz w:val="18"/>
              </w:rPr>
              <w:t xml:space="preserve">Robert S. </w:t>
            </w:r>
            <w:proofErr w:type="spellStart"/>
            <w:r>
              <w:rPr>
                <w:rFonts w:ascii="Arial" w:hAnsi="Arial" w:cs="Arial"/>
                <w:sz w:val="18"/>
              </w:rPr>
              <w:t>Purgason</w:t>
            </w:r>
            <w:proofErr w:type="spellEnd"/>
          </w:p>
        </w:tc>
        <w:tc>
          <w:tcPr>
            <w:tcW w:w="69" w:type="pct"/>
            <w:vAlign w:val="bottom"/>
          </w:tcPr>
          <w:p w:rsidR="00376768" w:rsidRDefault="00376768">
            <w:pPr>
              <w:rPr>
                <w:rFonts w:ascii="Arial" w:hAnsi="Arial" w:cs="Arial"/>
                <w:sz w:val="18"/>
              </w:rPr>
            </w:pPr>
          </w:p>
        </w:tc>
        <w:tc>
          <w:tcPr>
            <w:tcW w:w="88" w:type="pct"/>
            <w:vAlign w:val="bottom"/>
          </w:tcPr>
          <w:p w:rsidR="00376768" w:rsidRDefault="00376768">
            <w:pPr>
              <w:rPr>
                <w:rFonts w:ascii="Arial" w:hAnsi="Arial" w:cs="Arial"/>
                <w:sz w:val="18"/>
              </w:rPr>
            </w:pPr>
          </w:p>
        </w:tc>
        <w:tc>
          <w:tcPr>
            <w:tcW w:w="81" w:type="pct"/>
            <w:vAlign w:val="bottom"/>
          </w:tcPr>
          <w:p w:rsidR="00376768" w:rsidRDefault="00EC2B72">
            <w:pPr>
              <w:rPr>
                <w:rFonts w:ascii="Arial" w:hAnsi="Arial" w:cs="Arial"/>
                <w:sz w:val="18"/>
              </w:rPr>
            </w:pPr>
            <w:r>
              <w:rPr>
                <w:rFonts w:ascii="Arial" w:hAnsi="Arial" w:cs="Arial"/>
                <w:sz w:val="18"/>
              </w:rPr>
              <w:t>$</w:t>
            </w:r>
          </w:p>
        </w:tc>
        <w:tc>
          <w:tcPr>
            <w:tcW w:w="396" w:type="pct"/>
            <w:vAlign w:val="bottom"/>
          </w:tcPr>
          <w:p w:rsidR="00376768" w:rsidRDefault="00EC2B72">
            <w:pPr>
              <w:jc w:val="right"/>
              <w:rPr>
                <w:rFonts w:ascii="Arial" w:hAnsi="Arial" w:cs="Arial"/>
                <w:sz w:val="18"/>
              </w:rPr>
            </w:pPr>
            <w:r>
              <w:rPr>
                <w:rFonts w:ascii="Arial" w:hAnsi="Arial" w:cs="Arial"/>
                <w:sz w:val="18"/>
              </w:rPr>
              <w:t>51,250</w:t>
            </w:r>
          </w:p>
        </w:tc>
        <w:tc>
          <w:tcPr>
            <w:tcW w:w="71" w:type="pct"/>
            <w:vAlign w:val="bottom"/>
          </w:tcPr>
          <w:p w:rsidR="00376768" w:rsidRDefault="00376768">
            <w:pPr>
              <w:rPr>
                <w:rFonts w:ascii="Arial" w:hAnsi="Arial" w:cs="Arial"/>
                <w:sz w:val="18"/>
              </w:rPr>
            </w:pPr>
          </w:p>
        </w:tc>
        <w:tc>
          <w:tcPr>
            <w:tcW w:w="112" w:type="pct"/>
            <w:vAlign w:val="bottom"/>
          </w:tcPr>
          <w:p w:rsidR="00376768" w:rsidRDefault="00376768">
            <w:pPr>
              <w:rPr>
                <w:rFonts w:ascii="Arial" w:hAnsi="Arial" w:cs="Arial"/>
                <w:sz w:val="18"/>
              </w:rPr>
            </w:pPr>
          </w:p>
        </w:tc>
        <w:tc>
          <w:tcPr>
            <w:tcW w:w="107" w:type="pct"/>
            <w:vAlign w:val="bottom"/>
          </w:tcPr>
          <w:p w:rsidR="00376768" w:rsidRDefault="00376768">
            <w:pPr>
              <w:rPr>
                <w:rFonts w:ascii="Arial" w:hAnsi="Arial" w:cs="Arial"/>
                <w:sz w:val="18"/>
              </w:rPr>
            </w:pPr>
          </w:p>
        </w:tc>
        <w:tc>
          <w:tcPr>
            <w:tcW w:w="81" w:type="pct"/>
            <w:vAlign w:val="bottom"/>
          </w:tcPr>
          <w:p w:rsidR="00376768" w:rsidRDefault="00EC2B72">
            <w:pPr>
              <w:rPr>
                <w:rFonts w:ascii="Arial" w:hAnsi="Arial" w:cs="Arial"/>
                <w:sz w:val="18"/>
              </w:rPr>
            </w:pPr>
            <w:r>
              <w:rPr>
                <w:rFonts w:ascii="Arial" w:hAnsi="Arial" w:cs="Arial"/>
                <w:sz w:val="18"/>
              </w:rPr>
              <w:t>$</w:t>
            </w:r>
          </w:p>
        </w:tc>
        <w:tc>
          <w:tcPr>
            <w:tcW w:w="323" w:type="pct"/>
            <w:vAlign w:val="bottom"/>
          </w:tcPr>
          <w:p w:rsidR="00376768" w:rsidRDefault="00EC2B72">
            <w:pPr>
              <w:jc w:val="right"/>
              <w:rPr>
                <w:rFonts w:ascii="Arial" w:hAnsi="Arial" w:cs="Arial"/>
                <w:sz w:val="18"/>
              </w:rPr>
            </w:pPr>
            <w:r>
              <w:rPr>
                <w:rFonts w:ascii="Arial" w:hAnsi="Arial" w:cs="Arial"/>
                <w:sz w:val="18"/>
              </w:rPr>
              <w:t>70,000</w:t>
            </w:r>
          </w:p>
        </w:tc>
        <w:tc>
          <w:tcPr>
            <w:tcW w:w="111" w:type="pct"/>
            <w:vAlign w:val="bottom"/>
          </w:tcPr>
          <w:p w:rsidR="00376768" w:rsidRDefault="00376768">
            <w:pPr>
              <w:rPr>
                <w:rFonts w:ascii="Arial" w:hAnsi="Arial" w:cs="Arial"/>
                <w:sz w:val="18"/>
              </w:rPr>
            </w:pPr>
          </w:p>
        </w:tc>
        <w:tc>
          <w:tcPr>
            <w:tcW w:w="112" w:type="pct"/>
            <w:vAlign w:val="bottom"/>
          </w:tcPr>
          <w:p w:rsidR="00376768" w:rsidRDefault="00376768">
            <w:pPr>
              <w:rPr>
                <w:rFonts w:ascii="Arial" w:hAnsi="Arial" w:cs="Arial"/>
                <w:sz w:val="18"/>
              </w:rPr>
            </w:pPr>
          </w:p>
        </w:tc>
        <w:tc>
          <w:tcPr>
            <w:tcW w:w="92" w:type="pct"/>
            <w:vAlign w:val="bottom"/>
          </w:tcPr>
          <w:p w:rsidR="00376768" w:rsidRDefault="00376768">
            <w:pPr>
              <w:rPr>
                <w:rFonts w:ascii="Arial" w:hAnsi="Arial" w:cs="Arial"/>
                <w:sz w:val="18"/>
              </w:rPr>
            </w:pPr>
          </w:p>
        </w:tc>
        <w:tc>
          <w:tcPr>
            <w:tcW w:w="65" w:type="pct"/>
            <w:vAlign w:val="bottom"/>
          </w:tcPr>
          <w:p w:rsidR="00376768" w:rsidRDefault="00EC2B72">
            <w:pPr>
              <w:rPr>
                <w:rFonts w:ascii="Arial" w:hAnsi="Arial" w:cs="Arial"/>
                <w:sz w:val="18"/>
              </w:rPr>
            </w:pPr>
            <w:r>
              <w:rPr>
                <w:rFonts w:ascii="Arial" w:hAnsi="Arial" w:cs="Arial"/>
                <w:sz w:val="18"/>
              </w:rPr>
              <w:t>$</w:t>
            </w:r>
          </w:p>
        </w:tc>
        <w:tc>
          <w:tcPr>
            <w:tcW w:w="380" w:type="pct"/>
            <w:vAlign w:val="bottom"/>
          </w:tcPr>
          <w:p w:rsidR="00376768" w:rsidRDefault="00EC2B72">
            <w:pPr>
              <w:jc w:val="right"/>
              <w:rPr>
                <w:rFonts w:ascii="Arial" w:hAnsi="Arial" w:cs="Arial"/>
                <w:sz w:val="18"/>
              </w:rPr>
            </w:pPr>
            <w:r>
              <w:rPr>
                <w:rFonts w:ascii="Arial" w:hAnsi="Arial" w:cs="Arial"/>
                <w:sz w:val="18"/>
              </w:rPr>
              <w:t>121,250</w:t>
            </w:r>
          </w:p>
        </w:tc>
        <w:tc>
          <w:tcPr>
            <w:tcW w:w="83" w:type="pct"/>
            <w:vAlign w:val="bottom"/>
          </w:tcPr>
          <w:p w:rsidR="00376768" w:rsidRDefault="00376768">
            <w:pPr>
              <w:rPr>
                <w:rFonts w:ascii="Arial" w:hAnsi="Arial" w:cs="Arial"/>
                <w:sz w:val="18"/>
              </w:rPr>
            </w:pPr>
          </w:p>
        </w:tc>
        <w:tc>
          <w:tcPr>
            <w:tcW w:w="54" w:type="pct"/>
            <w:vAlign w:val="bottom"/>
          </w:tcPr>
          <w:p w:rsidR="00376768" w:rsidRDefault="00376768">
            <w:pPr>
              <w:rPr>
                <w:rFonts w:ascii="Arial" w:hAnsi="Arial" w:cs="Arial"/>
                <w:sz w:val="18"/>
              </w:rPr>
            </w:pPr>
          </w:p>
        </w:tc>
      </w:tr>
      <w:tr w:rsidR="00376768">
        <w:trPr>
          <w:jc w:val="center"/>
        </w:trPr>
        <w:tc>
          <w:tcPr>
            <w:tcW w:w="2773" w:type="pct"/>
            <w:vAlign w:val="bottom"/>
          </w:tcPr>
          <w:p w:rsidR="00376768" w:rsidRDefault="00EC2B72">
            <w:pPr>
              <w:tabs>
                <w:tab w:val="left" w:leader="dot" w:pos="5760"/>
              </w:tabs>
              <w:rPr>
                <w:rFonts w:ascii="Arial" w:hAnsi="Arial" w:cs="Arial"/>
                <w:sz w:val="18"/>
              </w:rPr>
            </w:pPr>
            <w:r>
              <w:rPr>
                <w:rFonts w:ascii="Arial" w:hAnsi="Arial" w:cs="Arial"/>
                <w:sz w:val="18"/>
              </w:rPr>
              <w:t xml:space="preserve">William H. </w:t>
            </w:r>
            <w:proofErr w:type="spellStart"/>
            <w:r>
              <w:rPr>
                <w:rFonts w:ascii="Arial" w:hAnsi="Arial" w:cs="Arial"/>
                <w:sz w:val="18"/>
              </w:rPr>
              <w:t>Rackoff</w:t>
            </w:r>
            <w:proofErr w:type="spellEnd"/>
          </w:p>
        </w:tc>
        <w:tc>
          <w:tcPr>
            <w:tcW w:w="69" w:type="pct"/>
            <w:vAlign w:val="bottom"/>
          </w:tcPr>
          <w:p w:rsidR="00376768" w:rsidRDefault="00376768">
            <w:pPr>
              <w:rPr>
                <w:rFonts w:ascii="Arial" w:hAnsi="Arial" w:cs="Arial"/>
                <w:sz w:val="18"/>
              </w:rPr>
            </w:pPr>
          </w:p>
        </w:tc>
        <w:tc>
          <w:tcPr>
            <w:tcW w:w="88" w:type="pct"/>
            <w:vAlign w:val="bottom"/>
          </w:tcPr>
          <w:p w:rsidR="00376768" w:rsidRDefault="00376768">
            <w:pPr>
              <w:rPr>
                <w:rFonts w:ascii="Arial" w:hAnsi="Arial" w:cs="Arial"/>
                <w:sz w:val="18"/>
              </w:rPr>
            </w:pPr>
          </w:p>
        </w:tc>
        <w:tc>
          <w:tcPr>
            <w:tcW w:w="81" w:type="pct"/>
            <w:vAlign w:val="bottom"/>
          </w:tcPr>
          <w:p w:rsidR="00376768" w:rsidRDefault="00EC2B72">
            <w:pPr>
              <w:rPr>
                <w:rFonts w:ascii="Arial" w:hAnsi="Arial" w:cs="Arial"/>
                <w:sz w:val="18"/>
              </w:rPr>
            </w:pPr>
            <w:r>
              <w:rPr>
                <w:rFonts w:ascii="Arial" w:hAnsi="Arial" w:cs="Arial"/>
                <w:sz w:val="18"/>
              </w:rPr>
              <w:t>$</w:t>
            </w:r>
          </w:p>
        </w:tc>
        <w:tc>
          <w:tcPr>
            <w:tcW w:w="396" w:type="pct"/>
            <w:vAlign w:val="bottom"/>
          </w:tcPr>
          <w:p w:rsidR="00376768" w:rsidRDefault="00EC2B72">
            <w:pPr>
              <w:jc w:val="right"/>
              <w:rPr>
                <w:rFonts w:ascii="Arial" w:hAnsi="Arial" w:cs="Arial"/>
                <w:sz w:val="18"/>
              </w:rPr>
            </w:pPr>
            <w:r>
              <w:rPr>
                <w:rFonts w:ascii="Arial" w:hAnsi="Arial" w:cs="Arial"/>
                <w:sz w:val="18"/>
              </w:rPr>
              <w:t>63,750</w:t>
            </w:r>
          </w:p>
        </w:tc>
        <w:tc>
          <w:tcPr>
            <w:tcW w:w="71" w:type="pct"/>
            <w:vAlign w:val="bottom"/>
          </w:tcPr>
          <w:p w:rsidR="00376768" w:rsidRDefault="00376768">
            <w:pPr>
              <w:rPr>
                <w:rFonts w:ascii="Arial" w:hAnsi="Arial" w:cs="Arial"/>
                <w:sz w:val="18"/>
              </w:rPr>
            </w:pPr>
          </w:p>
        </w:tc>
        <w:tc>
          <w:tcPr>
            <w:tcW w:w="112" w:type="pct"/>
            <w:vAlign w:val="bottom"/>
          </w:tcPr>
          <w:p w:rsidR="00376768" w:rsidRDefault="00376768">
            <w:pPr>
              <w:rPr>
                <w:rFonts w:ascii="Arial" w:hAnsi="Arial" w:cs="Arial"/>
                <w:sz w:val="18"/>
              </w:rPr>
            </w:pPr>
          </w:p>
        </w:tc>
        <w:tc>
          <w:tcPr>
            <w:tcW w:w="107" w:type="pct"/>
            <w:vAlign w:val="bottom"/>
          </w:tcPr>
          <w:p w:rsidR="00376768" w:rsidRDefault="00376768">
            <w:pPr>
              <w:rPr>
                <w:rFonts w:ascii="Arial" w:hAnsi="Arial" w:cs="Arial"/>
                <w:sz w:val="18"/>
              </w:rPr>
            </w:pPr>
          </w:p>
        </w:tc>
        <w:tc>
          <w:tcPr>
            <w:tcW w:w="81" w:type="pct"/>
            <w:vAlign w:val="bottom"/>
          </w:tcPr>
          <w:p w:rsidR="00376768" w:rsidRDefault="00EC2B72">
            <w:pPr>
              <w:rPr>
                <w:rFonts w:ascii="Arial" w:hAnsi="Arial" w:cs="Arial"/>
                <w:sz w:val="18"/>
              </w:rPr>
            </w:pPr>
            <w:r>
              <w:rPr>
                <w:rFonts w:ascii="Arial" w:hAnsi="Arial" w:cs="Arial"/>
                <w:sz w:val="18"/>
              </w:rPr>
              <w:t>$</w:t>
            </w:r>
          </w:p>
        </w:tc>
        <w:tc>
          <w:tcPr>
            <w:tcW w:w="323" w:type="pct"/>
            <w:vAlign w:val="bottom"/>
          </w:tcPr>
          <w:p w:rsidR="00376768" w:rsidRDefault="00EC2B72">
            <w:pPr>
              <w:jc w:val="right"/>
              <w:rPr>
                <w:rFonts w:ascii="Arial" w:hAnsi="Arial" w:cs="Arial"/>
                <w:sz w:val="18"/>
              </w:rPr>
            </w:pPr>
            <w:r>
              <w:rPr>
                <w:rFonts w:ascii="Arial" w:hAnsi="Arial" w:cs="Arial"/>
                <w:sz w:val="18"/>
              </w:rPr>
              <w:t>70,000</w:t>
            </w:r>
          </w:p>
        </w:tc>
        <w:tc>
          <w:tcPr>
            <w:tcW w:w="111" w:type="pct"/>
            <w:vAlign w:val="bottom"/>
          </w:tcPr>
          <w:p w:rsidR="00376768" w:rsidRDefault="00376768">
            <w:pPr>
              <w:rPr>
                <w:rFonts w:ascii="Arial" w:hAnsi="Arial" w:cs="Arial"/>
                <w:sz w:val="18"/>
              </w:rPr>
            </w:pPr>
          </w:p>
        </w:tc>
        <w:tc>
          <w:tcPr>
            <w:tcW w:w="112" w:type="pct"/>
            <w:vAlign w:val="bottom"/>
          </w:tcPr>
          <w:p w:rsidR="00376768" w:rsidRDefault="00376768">
            <w:pPr>
              <w:rPr>
                <w:rFonts w:ascii="Arial" w:hAnsi="Arial" w:cs="Arial"/>
                <w:sz w:val="18"/>
              </w:rPr>
            </w:pPr>
          </w:p>
        </w:tc>
        <w:tc>
          <w:tcPr>
            <w:tcW w:w="92" w:type="pct"/>
            <w:vAlign w:val="bottom"/>
          </w:tcPr>
          <w:p w:rsidR="00376768" w:rsidRDefault="00376768">
            <w:pPr>
              <w:rPr>
                <w:rFonts w:ascii="Arial" w:hAnsi="Arial" w:cs="Arial"/>
                <w:sz w:val="18"/>
              </w:rPr>
            </w:pPr>
          </w:p>
        </w:tc>
        <w:tc>
          <w:tcPr>
            <w:tcW w:w="65" w:type="pct"/>
            <w:vAlign w:val="bottom"/>
          </w:tcPr>
          <w:p w:rsidR="00376768" w:rsidRDefault="00EC2B72">
            <w:pPr>
              <w:rPr>
                <w:rFonts w:ascii="Arial" w:hAnsi="Arial" w:cs="Arial"/>
                <w:sz w:val="18"/>
              </w:rPr>
            </w:pPr>
            <w:r>
              <w:rPr>
                <w:rFonts w:ascii="Arial" w:hAnsi="Arial" w:cs="Arial"/>
                <w:sz w:val="18"/>
              </w:rPr>
              <w:t>$</w:t>
            </w:r>
          </w:p>
        </w:tc>
        <w:tc>
          <w:tcPr>
            <w:tcW w:w="380" w:type="pct"/>
            <w:vAlign w:val="bottom"/>
          </w:tcPr>
          <w:p w:rsidR="00376768" w:rsidRDefault="00EC2B72">
            <w:pPr>
              <w:jc w:val="right"/>
              <w:rPr>
                <w:rFonts w:ascii="Arial" w:hAnsi="Arial" w:cs="Arial"/>
                <w:sz w:val="18"/>
              </w:rPr>
            </w:pPr>
            <w:r>
              <w:rPr>
                <w:rFonts w:ascii="Arial" w:hAnsi="Arial" w:cs="Arial"/>
                <w:sz w:val="18"/>
              </w:rPr>
              <w:t>133,750</w:t>
            </w:r>
          </w:p>
        </w:tc>
        <w:tc>
          <w:tcPr>
            <w:tcW w:w="83" w:type="pct"/>
            <w:vAlign w:val="bottom"/>
          </w:tcPr>
          <w:p w:rsidR="00376768" w:rsidRDefault="00376768">
            <w:pPr>
              <w:rPr>
                <w:rFonts w:ascii="Arial" w:hAnsi="Arial" w:cs="Arial"/>
                <w:sz w:val="18"/>
              </w:rPr>
            </w:pPr>
          </w:p>
        </w:tc>
        <w:tc>
          <w:tcPr>
            <w:tcW w:w="54" w:type="pct"/>
            <w:vAlign w:val="bottom"/>
          </w:tcPr>
          <w:p w:rsidR="00376768" w:rsidRDefault="00376768">
            <w:pPr>
              <w:rPr>
                <w:rFonts w:ascii="Arial" w:hAnsi="Arial" w:cs="Arial"/>
                <w:sz w:val="18"/>
              </w:rPr>
            </w:pPr>
          </w:p>
        </w:tc>
      </w:tr>
      <w:tr w:rsidR="00376768">
        <w:trPr>
          <w:jc w:val="center"/>
        </w:trPr>
        <w:tc>
          <w:tcPr>
            <w:tcW w:w="2773" w:type="pct"/>
            <w:vAlign w:val="bottom"/>
          </w:tcPr>
          <w:p w:rsidR="00376768" w:rsidRDefault="00EC2B72">
            <w:pPr>
              <w:tabs>
                <w:tab w:val="left" w:leader="dot" w:pos="5760"/>
              </w:tabs>
              <w:rPr>
                <w:rFonts w:ascii="Arial" w:hAnsi="Arial" w:cs="Arial"/>
                <w:sz w:val="18"/>
              </w:rPr>
            </w:pPr>
            <w:r>
              <w:rPr>
                <w:rFonts w:ascii="Arial" w:hAnsi="Arial" w:cs="Arial"/>
                <w:sz w:val="18"/>
              </w:rPr>
              <w:t>Suzanne B. Rowland</w:t>
            </w:r>
          </w:p>
        </w:tc>
        <w:tc>
          <w:tcPr>
            <w:tcW w:w="69" w:type="pct"/>
            <w:vAlign w:val="bottom"/>
          </w:tcPr>
          <w:p w:rsidR="00376768" w:rsidRDefault="00376768">
            <w:pPr>
              <w:rPr>
                <w:rFonts w:ascii="Arial" w:hAnsi="Arial" w:cs="Arial"/>
                <w:sz w:val="18"/>
              </w:rPr>
            </w:pPr>
          </w:p>
        </w:tc>
        <w:tc>
          <w:tcPr>
            <w:tcW w:w="88" w:type="pct"/>
            <w:vAlign w:val="bottom"/>
          </w:tcPr>
          <w:p w:rsidR="00376768" w:rsidRDefault="00376768">
            <w:pPr>
              <w:rPr>
                <w:rFonts w:ascii="Arial" w:hAnsi="Arial" w:cs="Arial"/>
                <w:sz w:val="18"/>
              </w:rPr>
            </w:pPr>
          </w:p>
        </w:tc>
        <w:tc>
          <w:tcPr>
            <w:tcW w:w="81" w:type="pct"/>
            <w:vAlign w:val="bottom"/>
          </w:tcPr>
          <w:p w:rsidR="00376768" w:rsidRDefault="00EC2B72">
            <w:pPr>
              <w:rPr>
                <w:rFonts w:ascii="Arial" w:hAnsi="Arial" w:cs="Arial"/>
                <w:sz w:val="18"/>
              </w:rPr>
            </w:pPr>
            <w:r>
              <w:rPr>
                <w:rFonts w:ascii="Arial" w:hAnsi="Arial" w:cs="Arial"/>
                <w:sz w:val="18"/>
              </w:rPr>
              <w:t>$</w:t>
            </w:r>
          </w:p>
        </w:tc>
        <w:tc>
          <w:tcPr>
            <w:tcW w:w="396" w:type="pct"/>
            <w:vAlign w:val="bottom"/>
          </w:tcPr>
          <w:p w:rsidR="00376768" w:rsidRDefault="00EC2B72">
            <w:pPr>
              <w:jc w:val="right"/>
              <w:rPr>
                <w:rFonts w:ascii="Arial" w:hAnsi="Arial" w:cs="Arial"/>
                <w:sz w:val="18"/>
              </w:rPr>
            </w:pPr>
            <w:r>
              <w:rPr>
                <w:rFonts w:ascii="Arial" w:hAnsi="Arial" w:cs="Arial"/>
                <w:sz w:val="18"/>
              </w:rPr>
              <w:t>57,250</w:t>
            </w:r>
          </w:p>
        </w:tc>
        <w:tc>
          <w:tcPr>
            <w:tcW w:w="71" w:type="pct"/>
            <w:vAlign w:val="bottom"/>
          </w:tcPr>
          <w:p w:rsidR="00376768" w:rsidRDefault="00376768">
            <w:pPr>
              <w:rPr>
                <w:rFonts w:ascii="Arial" w:hAnsi="Arial" w:cs="Arial"/>
                <w:sz w:val="18"/>
              </w:rPr>
            </w:pPr>
          </w:p>
        </w:tc>
        <w:tc>
          <w:tcPr>
            <w:tcW w:w="112" w:type="pct"/>
            <w:vAlign w:val="bottom"/>
          </w:tcPr>
          <w:p w:rsidR="00376768" w:rsidRDefault="00376768">
            <w:pPr>
              <w:rPr>
                <w:rFonts w:ascii="Arial" w:hAnsi="Arial" w:cs="Arial"/>
                <w:sz w:val="18"/>
              </w:rPr>
            </w:pPr>
          </w:p>
        </w:tc>
        <w:tc>
          <w:tcPr>
            <w:tcW w:w="107" w:type="pct"/>
            <w:vAlign w:val="bottom"/>
          </w:tcPr>
          <w:p w:rsidR="00376768" w:rsidRDefault="00376768">
            <w:pPr>
              <w:rPr>
                <w:rFonts w:ascii="Arial" w:hAnsi="Arial" w:cs="Arial"/>
                <w:sz w:val="18"/>
              </w:rPr>
            </w:pPr>
          </w:p>
        </w:tc>
        <w:tc>
          <w:tcPr>
            <w:tcW w:w="81" w:type="pct"/>
            <w:vAlign w:val="bottom"/>
          </w:tcPr>
          <w:p w:rsidR="00376768" w:rsidRDefault="00EC2B72">
            <w:pPr>
              <w:rPr>
                <w:rFonts w:ascii="Arial" w:hAnsi="Arial" w:cs="Arial"/>
                <w:sz w:val="18"/>
              </w:rPr>
            </w:pPr>
            <w:r>
              <w:rPr>
                <w:rFonts w:ascii="Arial" w:hAnsi="Arial" w:cs="Arial"/>
                <w:sz w:val="18"/>
              </w:rPr>
              <w:t>$</w:t>
            </w:r>
          </w:p>
        </w:tc>
        <w:tc>
          <w:tcPr>
            <w:tcW w:w="323" w:type="pct"/>
            <w:vAlign w:val="bottom"/>
          </w:tcPr>
          <w:p w:rsidR="00376768" w:rsidRDefault="00EC2B72">
            <w:pPr>
              <w:jc w:val="right"/>
              <w:rPr>
                <w:rFonts w:ascii="Arial" w:hAnsi="Arial" w:cs="Arial"/>
                <w:sz w:val="18"/>
              </w:rPr>
            </w:pPr>
            <w:r>
              <w:rPr>
                <w:rFonts w:ascii="Arial" w:hAnsi="Arial" w:cs="Arial"/>
                <w:sz w:val="18"/>
              </w:rPr>
              <w:t>70,000</w:t>
            </w:r>
          </w:p>
        </w:tc>
        <w:tc>
          <w:tcPr>
            <w:tcW w:w="111" w:type="pct"/>
            <w:vAlign w:val="bottom"/>
          </w:tcPr>
          <w:p w:rsidR="00376768" w:rsidRDefault="00376768">
            <w:pPr>
              <w:rPr>
                <w:rFonts w:ascii="Arial" w:hAnsi="Arial" w:cs="Arial"/>
                <w:sz w:val="18"/>
              </w:rPr>
            </w:pPr>
          </w:p>
        </w:tc>
        <w:tc>
          <w:tcPr>
            <w:tcW w:w="112" w:type="pct"/>
            <w:vAlign w:val="bottom"/>
          </w:tcPr>
          <w:p w:rsidR="00376768" w:rsidRDefault="00376768">
            <w:pPr>
              <w:rPr>
                <w:rFonts w:ascii="Arial" w:hAnsi="Arial" w:cs="Arial"/>
                <w:sz w:val="18"/>
              </w:rPr>
            </w:pPr>
          </w:p>
        </w:tc>
        <w:tc>
          <w:tcPr>
            <w:tcW w:w="92" w:type="pct"/>
            <w:vAlign w:val="bottom"/>
          </w:tcPr>
          <w:p w:rsidR="00376768" w:rsidRDefault="00376768">
            <w:pPr>
              <w:rPr>
                <w:rFonts w:ascii="Arial" w:hAnsi="Arial" w:cs="Arial"/>
                <w:sz w:val="18"/>
              </w:rPr>
            </w:pPr>
          </w:p>
        </w:tc>
        <w:tc>
          <w:tcPr>
            <w:tcW w:w="65" w:type="pct"/>
            <w:vAlign w:val="bottom"/>
          </w:tcPr>
          <w:p w:rsidR="00376768" w:rsidRDefault="00EC2B72">
            <w:pPr>
              <w:rPr>
                <w:rFonts w:ascii="Arial" w:hAnsi="Arial" w:cs="Arial"/>
                <w:sz w:val="18"/>
              </w:rPr>
            </w:pPr>
            <w:r>
              <w:rPr>
                <w:rFonts w:ascii="Arial" w:hAnsi="Arial" w:cs="Arial"/>
                <w:sz w:val="18"/>
              </w:rPr>
              <w:t>$</w:t>
            </w:r>
          </w:p>
        </w:tc>
        <w:tc>
          <w:tcPr>
            <w:tcW w:w="380" w:type="pct"/>
            <w:vAlign w:val="bottom"/>
          </w:tcPr>
          <w:p w:rsidR="00376768" w:rsidRDefault="00EC2B72">
            <w:pPr>
              <w:jc w:val="right"/>
              <w:rPr>
                <w:rFonts w:ascii="Arial" w:hAnsi="Arial" w:cs="Arial"/>
                <w:sz w:val="18"/>
              </w:rPr>
            </w:pPr>
            <w:r>
              <w:rPr>
                <w:rFonts w:ascii="Arial" w:hAnsi="Arial" w:cs="Arial"/>
                <w:sz w:val="18"/>
              </w:rPr>
              <w:t>127,250</w:t>
            </w:r>
          </w:p>
        </w:tc>
        <w:tc>
          <w:tcPr>
            <w:tcW w:w="83" w:type="pct"/>
            <w:vAlign w:val="bottom"/>
          </w:tcPr>
          <w:p w:rsidR="00376768" w:rsidRDefault="00376768">
            <w:pPr>
              <w:rPr>
                <w:rFonts w:ascii="Arial" w:hAnsi="Arial" w:cs="Arial"/>
                <w:sz w:val="18"/>
              </w:rPr>
            </w:pPr>
          </w:p>
        </w:tc>
        <w:tc>
          <w:tcPr>
            <w:tcW w:w="54" w:type="pct"/>
            <w:vAlign w:val="bottom"/>
          </w:tcPr>
          <w:p w:rsidR="00376768" w:rsidRDefault="00376768">
            <w:pPr>
              <w:rPr>
                <w:rFonts w:ascii="Arial" w:hAnsi="Arial" w:cs="Arial"/>
                <w:sz w:val="18"/>
              </w:rPr>
            </w:pPr>
          </w:p>
        </w:tc>
      </w:tr>
      <w:tr w:rsidR="00376768">
        <w:trPr>
          <w:jc w:val="center"/>
        </w:trPr>
        <w:tc>
          <w:tcPr>
            <w:tcW w:w="2773" w:type="pct"/>
            <w:vAlign w:val="bottom"/>
          </w:tcPr>
          <w:p w:rsidR="00376768" w:rsidRDefault="00EC2B72">
            <w:pPr>
              <w:tabs>
                <w:tab w:val="left" w:leader="dot" w:pos="5760"/>
              </w:tabs>
              <w:rPr>
                <w:rFonts w:ascii="Arial" w:hAnsi="Arial" w:cs="Arial"/>
                <w:sz w:val="18"/>
              </w:rPr>
            </w:pPr>
            <w:r>
              <w:rPr>
                <w:rFonts w:ascii="Arial" w:hAnsi="Arial" w:cs="Arial"/>
                <w:sz w:val="18"/>
              </w:rPr>
              <w:t>Bradley S. Vizi</w:t>
            </w:r>
            <w:r>
              <w:rPr>
                <w:rFonts w:ascii="Arial" w:hAnsi="Arial" w:cs="Arial"/>
                <w:sz w:val="18"/>
                <w:vertAlign w:val="superscript"/>
              </w:rPr>
              <w:t>5</w:t>
            </w:r>
          </w:p>
        </w:tc>
        <w:tc>
          <w:tcPr>
            <w:tcW w:w="69" w:type="pct"/>
            <w:vAlign w:val="bottom"/>
          </w:tcPr>
          <w:p w:rsidR="00376768" w:rsidRDefault="00376768">
            <w:pPr>
              <w:rPr>
                <w:rFonts w:ascii="Arial" w:hAnsi="Arial" w:cs="Arial"/>
                <w:sz w:val="18"/>
              </w:rPr>
            </w:pPr>
          </w:p>
        </w:tc>
        <w:tc>
          <w:tcPr>
            <w:tcW w:w="88" w:type="pct"/>
            <w:vAlign w:val="bottom"/>
          </w:tcPr>
          <w:p w:rsidR="00376768" w:rsidRDefault="00376768">
            <w:pPr>
              <w:rPr>
                <w:rFonts w:ascii="Arial" w:hAnsi="Arial" w:cs="Arial"/>
                <w:sz w:val="18"/>
              </w:rPr>
            </w:pPr>
          </w:p>
        </w:tc>
        <w:tc>
          <w:tcPr>
            <w:tcW w:w="81" w:type="pct"/>
            <w:vAlign w:val="bottom"/>
          </w:tcPr>
          <w:p w:rsidR="00376768" w:rsidRDefault="00EC2B72">
            <w:pPr>
              <w:rPr>
                <w:rFonts w:ascii="Arial" w:hAnsi="Arial" w:cs="Arial"/>
                <w:sz w:val="18"/>
              </w:rPr>
            </w:pPr>
            <w:r>
              <w:rPr>
                <w:rFonts w:ascii="Arial" w:hAnsi="Arial" w:cs="Arial"/>
                <w:sz w:val="18"/>
              </w:rPr>
              <w:t>$</w:t>
            </w:r>
          </w:p>
        </w:tc>
        <w:tc>
          <w:tcPr>
            <w:tcW w:w="396" w:type="pct"/>
            <w:vAlign w:val="bottom"/>
          </w:tcPr>
          <w:p w:rsidR="00376768" w:rsidRDefault="00EC2B72">
            <w:pPr>
              <w:jc w:val="right"/>
              <w:rPr>
                <w:rFonts w:ascii="Arial" w:hAnsi="Arial" w:cs="Arial"/>
                <w:sz w:val="18"/>
              </w:rPr>
            </w:pPr>
            <w:r>
              <w:rPr>
                <w:rFonts w:ascii="Arial" w:hAnsi="Arial" w:cs="Arial"/>
                <w:sz w:val="18"/>
              </w:rPr>
              <w:t>51,250</w:t>
            </w:r>
          </w:p>
        </w:tc>
        <w:tc>
          <w:tcPr>
            <w:tcW w:w="71" w:type="pct"/>
            <w:vAlign w:val="bottom"/>
          </w:tcPr>
          <w:p w:rsidR="00376768" w:rsidRDefault="00376768">
            <w:pPr>
              <w:rPr>
                <w:rFonts w:ascii="Arial" w:hAnsi="Arial" w:cs="Arial"/>
                <w:sz w:val="18"/>
              </w:rPr>
            </w:pPr>
          </w:p>
        </w:tc>
        <w:tc>
          <w:tcPr>
            <w:tcW w:w="112" w:type="pct"/>
            <w:vAlign w:val="bottom"/>
          </w:tcPr>
          <w:p w:rsidR="00376768" w:rsidRDefault="00376768">
            <w:pPr>
              <w:rPr>
                <w:rFonts w:ascii="Arial" w:hAnsi="Arial" w:cs="Arial"/>
                <w:sz w:val="18"/>
              </w:rPr>
            </w:pPr>
          </w:p>
        </w:tc>
        <w:tc>
          <w:tcPr>
            <w:tcW w:w="107" w:type="pct"/>
            <w:vAlign w:val="bottom"/>
          </w:tcPr>
          <w:p w:rsidR="00376768" w:rsidRDefault="00376768">
            <w:pPr>
              <w:rPr>
                <w:rFonts w:ascii="Arial" w:hAnsi="Arial" w:cs="Arial"/>
                <w:sz w:val="18"/>
              </w:rPr>
            </w:pPr>
          </w:p>
        </w:tc>
        <w:tc>
          <w:tcPr>
            <w:tcW w:w="81" w:type="pct"/>
            <w:vAlign w:val="bottom"/>
          </w:tcPr>
          <w:p w:rsidR="00376768" w:rsidRDefault="00EC2B72">
            <w:pPr>
              <w:rPr>
                <w:rFonts w:ascii="Arial" w:hAnsi="Arial" w:cs="Arial"/>
                <w:sz w:val="18"/>
              </w:rPr>
            </w:pPr>
            <w:r>
              <w:rPr>
                <w:rFonts w:ascii="Arial" w:hAnsi="Arial" w:cs="Arial"/>
                <w:sz w:val="18"/>
              </w:rPr>
              <w:t>$</w:t>
            </w:r>
          </w:p>
        </w:tc>
        <w:tc>
          <w:tcPr>
            <w:tcW w:w="323" w:type="pct"/>
            <w:vAlign w:val="bottom"/>
          </w:tcPr>
          <w:p w:rsidR="00376768" w:rsidRDefault="00EC2B72">
            <w:pPr>
              <w:jc w:val="right"/>
              <w:rPr>
                <w:rFonts w:ascii="Arial" w:hAnsi="Arial" w:cs="Arial"/>
                <w:sz w:val="18"/>
              </w:rPr>
            </w:pPr>
            <w:r>
              <w:rPr>
                <w:rFonts w:ascii="Arial" w:hAnsi="Arial" w:cs="Arial"/>
                <w:sz w:val="18"/>
              </w:rPr>
              <w:t>70,000</w:t>
            </w:r>
          </w:p>
        </w:tc>
        <w:tc>
          <w:tcPr>
            <w:tcW w:w="111" w:type="pct"/>
            <w:vAlign w:val="bottom"/>
          </w:tcPr>
          <w:p w:rsidR="00376768" w:rsidRDefault="00376768">
            <w:pPr>
              <w:rPr>
                <w:rFonts w:ascii="Arial" w:hAnsi="Arial" w:cs="Arial"/>
                <w:sz w:val="18"/>
              </w:rPr>
            </w:pPr>
          </w:p>
        </w:tc>
        <w:tc>
          <w:tcPr>
            <w:tcW w:w="112" w:type="pct"/>
            <w:vAlign w:val="bottom"/>
          </w:tcPr>
          <w:p w:rsidR="00376768" w:rsidRDefault="00376768">
            <w:pPr>
              <w:rPr>
                <w:rFonts w:ascii="Arial" w:hAnsi="Arial" w:cs="Arial"/>
                <w:sz w:val="18"/>
              </w:rPr>
            </w:pPr>
          </w:p>
        </w:tc>
        <w:tc>
          <w:tcPr>
            <w:tcW w:w="92" w:type="pct"/>
            <w:vAlign w:val="bottom"/>
          </w:tcPr>
          <w:p w:rsidR="00376768" w:rsidRDefault="00376768">
            <w:pPr>
              <w:rPr>
                <w:rFonts w:ascii="Arial" w:hAnsi="Arial" w:cs="Arial"/>
                <w:sz w:val="18"/>
              </w:rPr>
            </w:pPr>
          </w:p>
        </w:tc>
        <w:tc>
          <w:tcPr>
            <w:tcW w:w="65" w:type="pct"/>
            <w:vAlign w:val="bottom"/>
          </w:tcPr>
          <w:p w:rsidR="00376768" w:rsidRDefault="00EC2B72">
            <w:pPr>
              <w:rPr>
                <w:rFonts w:ascii="Arial" w:hAnsi="Arial" w:cs="Arial"/>
                <w:sz w:val="18"/>
              </w:rPr>
            </w:pPr>
            <w:r>
              <w:rPr>
                <w:rFonts w:ascii="Arial" w:hAnsi="Arial" w:cs="Arial"/>
                <w:sz w:val="18"/>
              </w:rPr>
              <w:t>$</w:t>
            </w:r>
          </w:p>
        </w:tc>
        <w:tc>
          <w:tcPr>
            <w:tcW w:w="380" w:type="pct"/>
            <w:vAlign w:val="bottom"/>
          </w:tcPr>
          <w:p w:rsidR="00376768" w:rsidRDefault="00EC2B72">
            <w:pPr>
              <w:jc w:val="right"/>
              <w:rPr>
                <w:rFonts w:ascii="Arial" w:hAnsi="Arial" w:cs="Arial"/>
                <w:sz w:val="18"/>
              </w:rPr>
            </w:pPr>
            <w:r>
              <w:rPr>
                <w:rFonts w:ascii="Arial" w:hAnsi="Arial" w:cs="Arial"/>
                <w:sz w:val="18"/>
              </w:rPr>
              <w:t>121,250</w:t>
            </w:r>
          </w:p>
        </w:tc>
        <w:tc>
          <w:tcPr>
            <w:tcW w:w="83" w:type="pct"/>
            <w:vAlign w:val="bottom"/>
          </w:tcPr>
          <w:p w:rsidR="00376768" w:rsidRDefault="00376768">
            <w:pPr>
              <w:rPr>
                <w:rFonts w:ascii="Arial" w:hAnsi="Arial" w:cs="Arial"/>
                <w:sz w:val="18"/>
              </w:rPr>
            </w:pPr>
          </w:p>
        </w:tc>
        <w:tc>
          <w:tcPr>
            <w:tcW w:w="54" w:type="pct"/>
            <w:vAlign w:val="bottom"/>
          </w:tcPr>
          <w:p w:rsidR="00376768" w:rsidRDefault="00376768">
            <w:pPr>
              <w:rPr>
                <w:rFonts w:ascii="Arial" w:hAnsi="Arial" w:cs="Arial"/>
                <w:sz w:val="18"/>
              </w:rPr>
            </w:pPr>
          </w:p>
        </w:tc>
      </w:tr>
    </w:tbl>
    <w:p w:rsidR="00376768" w:rsidRDefault="00376768">
      <w:pPr>
        <w:rPr>
          <w:rFonts w:ascii="Arial" w:hAnsi="Arial" w:cs="Arial"/>
        </w:rPr>
      </w:pPr>
    </w:p>
    <w:tbl>
      <w:tblPr>
        <w:tblW w:w="5000" w:type="pct"/>
        <w:tblLayout w:type="fixed"/>
        <w:tblCellMar>
          <w:left w:w="0" w:type="dxa"/>
          <w:right w:w="0" w:type="dxa"/>
        </w:tblCellMar>
        <w:tblLook w:val="0000" w:firstRow="0" w:lastRow="0" w:firstColumn="0" w:lastColumn="0" w:noHBand="0" w:noVBand="0"/>
      </w:tblPr>
      <w:tblGrid>
        <w:gridCol w:w="2160"/>
        <w:gridCol w:w="8640"/>
      </w:tblGrid>
      <w:tr w:rsidR="00376768">
        <w:tc>
          <w:tcPr>
            <w:tcW w:w="1000" w:type="pct"/>
            <w:tcBorders>
              <w:bottom w:val="single" w:sz="4" w:space="0" w:color="auto"/>
            </w:tcBorders>
          </w:tcPr>
          <w:p w:rsidR="00376768" w:rsidRDefault="00376768">
            <w:pPr>
              <w:rPr>
                <w:rFonts w:ascii="Arial" w:hAnsi="Arial" w:cs="Arial"/>
                <w:sz w:val="2"/>
                <w:szCs w:val="2"/>
              </w:rPr>
            </w:pPr>
          </w:p>
        </w:tc>
        <w:tc>
          <w:tcPr>
            <w:tcW w:w="4000" w:type="pct"/>
          </w:tcPr>
          <w:p w:rsidR="00376768" w:rsidRDefault="00376768">
            <w:pPr>
              <w:rPr>
                <w:rFonts w:ascii="Arial" w:hAnsi="Arial" w:cs="Arial"/>
                <w:sz w:val="2"/>
                <w:szCs w:val="2"/>
              </w:rPr>
            </w:pPr>
          </w:p>
        </w:tc>
      </w:tr>
    </w:tbl>
    <w:p w:rsidR="00376768" w:rsidRDefault="00EC2B72">
      <w:pPr>
        <w:spacing w:before="160"/>
        <w:ind w:left="360" w:hanging="360"/>
        <w:jc w:val="both"/>
        <w:rPr>
          <w:rFonts w:ascii="Arial" w:hAnsi="Arial" w:cs="Arial"/>
          <w:sz w:val="16"/>
          <w:szCs w:val="16"/>
          <w:vertAlign w:val="superscript"/>
        </w:rPr>
      </w:pPr>
      <w:r>
        <w:rPr>
          <w:rFonts w:ascii="Arial" w:hAnsi="Arial" w:cs="Arial"/>
          <w:sz w:val="16"/>
          <w:szCs w:val="16"/>
          <w:vertAlign w:val="superscript"/>
        </w:rPr>
        <w:t>1</w:t>
      </w:r>
      <w:r>
        <w:rPr>
          <w:rFonts w:ascii="Arial" w:hAnsi="Arial" w:cs="Arial"/>
          <w:sz w:val="16"/>
          <w:szCs w:val="16"/>
        </w:rPr>
        <w:tab/>
        <w:t xml:space="preserve">On May 29, 2015, the Board of Directors approved the following annual director retainer fees: $115,000 for the Chairman of the Board; $67,500 for the Chair of the Compensation Committee; $65,000 for the Chair of the Audit Committee; and $61,000 for the Chair of the Nomination and Governance Committee; each of the remaining non-employee directors received an annual fee of $55,000. On February 23, 2017, the Board of Directors approved a decrease in the non-employee </w:t>
      </w:r>
      <w:proofErr w:type="gramStart"/>
      <w:r>
        <w:rPr>
          <w:rFonts w:ascii="Arial" w:hAnsi="Arial" w:cs="Arial"/>
          <w:sz w:val="16"/>
          <w:szCs w:val="16"/>
        </w:rPr>
        <w:t>directors</w:t>
      </w:r>
      <w:proofErr w:type="gramEnd"/>
      <w:r>
        <w:rPr>
          <w:rFonts w:ascii="Arial" w:hAnsi="Arial" w:cs="Arial"/>
          <w:sz w:val="16"/>
          <w:szCs w:val="16"/>
        </w:rPr>
        <w:t xml:space="preserve"> annual fee from $55,000 to $50,000. This caused the annual directors retainer fees to be reduced to the following amounts: $110,000 for the Chairman of the Board; $62,500 for the Chair of the Compensation Committee; $60,000 for the Chair of the Audit Committee; and $56,000 for the Chair of the Nomination and Governance Committee.</w:t>
      </w:r>
    </w:p>
    <w:p w:rsidR="00376768" w:rsidRDefault="00EC2B72">
      <w:pPr>
        <w:spacing w:before="160"/>
        <w:ind w:left="360" w:hanging="360"/>
        <w:jc w:val="both"/>
        <w:rPr>
          <w:rFonts w:ascii="Arial" w:hAnsi="Arial" w:cs="Arial"/>
          <w:sz w:val="16"/>
          <w:szCs w:val="16"/>
        </w:rPr>
      </w:pPr>
      <w:r>
        <w:rPr>
          <w:rFonts w:ascii="Arial" w:hAnsi="Arial" w:cs="Arial"/>
          <w:sz w:val="16"/>
          <w:szCs w:val="16"/>
          <w:vertAlign w:val="superscript"/>
        </w:rPr>
        <w:t>2</w:t>
      </w:r>
      <w:r>
        <w:rPr>
          <w:rFonts w:ascii="Arial" w:hAnsi="Arial" w:cs="Arial"/>
          <w:sz w:val="16"/>
          <w:szCs w:val="16"/>
        </w:rPr>
        <w:tab/>
        <w:t xml:space="preserve">On May 1, 2017, the Board of Directors approved the Non-Employee Director Deferred Compensation Plan (the “Director Deferred Compensation Plan”), which permits participants to elect to defer receipt of their cash and/or equity compensation to a date that is six months after separation from the Board. Since February 25, 2016, non-employee directors have been permitted to make discretionary elections to receive annual cash retainer fees in fully-vested shares of Common Stock on a quarterly basis or in quarterly installments of cash. Under the Director Deferred Compensation Plan, in lieu of receiving cash fees on a quarterly basis, non-employee directors may make an irrevocable election for each Board year (commencing on the date of each Annual Meeting of Shareholders through the following Annual Meeting of Shareholders) to receive, at his or her sole discretion, all of such director’s annual cash retainer fees in the form of either (i) fully-vested Common Stock, (ii) deferred stock units, or (iii) deferred cash. The cash retainer is divided by four and either (i) with respect to fully-vested Common Stock, issued on each quarterly payment date, with the number of shares determined by dividing the applicable quarterly cash retainer fee by the closing market price of the Company’s Common Stock; (ii) with respect to deferred stock units, determined by dividing the applicable quarterly cash retainer fee by the closing market price of the Company’s Common Stock and crediting that number of units to the director’s deferred stock account; or (iii) credited to a deferred cash account with interest calculated at the U.S. Prime Rate. In 2016, Messrs. Foster, </w:t>
      </w:r>
      <w:proofErr w:type="spellStart"/>
      <w:r>
        <w:rPr>
          <w:rFonts w:ascii="Arial" w:hAnsi="Arial" w:cs="Arial"/>
          <w:sz w:val="16"/>
          <w:szCs w:val="16"/>
        </w:rPr>
        <w:t>Purgason</w:t>
      </w:r>
      <w:proofErr w:type="spellEnd"/>
      <w:r>
        <w:rPr>
          <w:rFonts w:ascii="Arial" w:hAnsi="Arial" w:cs="Arial"/>
          <w:sz w:val="16"/>
          <w:szCs w:val="16"/>
        </w:rPr>
        <w:t xml:space="preserve">, and </w:t>
      </w:r>
      <w:proofErr w:type="spellStart"/>
      <w:r>
        <w:rPr>
          <w:rFonts w:ascii="Arial" w:hAnsi="Arial" w:cs="Arial"/>
          <w:sz w:val="16"/>
          <w:szCs w:val="16"/>
        </w:rPr>
        <w:t>Vizi</w:t>
      </w:r>
      <w:proofErr w:type="spellEnd"/>
      <w:r>
        <w:rPr>
          <w:rFonts w:ascii="Arial" w:hAnsi="Arial" w:cs="Arial"/>
          <w:sz w:val="16"/>
          <w:szCs w:val="16"/>
        </w:rPr>
        <w:t xml:space="preserve"> elected to receive their cash retainers in the form of fully-vested Common Stock until the May 2017 Annual Meeting of Shareholders. Commencing on the date of the May 2017 Annual Meeting of Shareholders, Messrs. Foster, </w:t>
      </w:r>
      <w:proofErr w:type="spellStart"/>
      <w:r>
        <w:rPr>
          <w:rFonts w:ascii="Arial" w:hAnsi="Arial" w:cs="Arial"/>
          <w:sz w:val="16"/>
          <w:szCs w:val="16"/>
        </w:rPr>
        <w:t>Jungé</w:t>
      </w:r>
      <w:proofErr w:type="spellEnd"/>
      <w:r>
        <w:rPr>
          <w:rFonts w:ascii="Arial" w:hAnsi="Arial" w:cs="Arial"/>
          <w:sz w:val="16"/>
          <w:szCs w:val="16"/>
        </w:rPr>
        <w:t xml:space="preserve">, and </w:t>
      </w:r>
      <w:proofErr w:type="spellStart"/>
      <w:r>
        <w:rPr>
          <w:rFonts w:ascii="Arial" w:hAnsi="Arial" w:cs="Arial"/>
          <w:sz w:val="16"/>
          <w:szCs w:val="16"/>
        </w:rPr>
        <w:t>Vizi</w:t>
      </w:r>
      <w:proofErr w:type="spellEnd"/>
      <w:r>
        <w:rPr>
          <w:rFonts w:ascii="Arial" w:hAnsi="Arial" w:cs="Arial"/>
          <w:sz w:val="16"/>
          <w:szCs w:val="16"/>
        </w:rPr>
        <w:t xml:space="preserve"> elected to receive their cash retainers in deferred stock units. The amounts of retainer fees paid in cash, fully-vested stock, and deferred stock units are as follows: Mr. Foster received $0 in cash, $28,750 in fully-vested stock, and $82,500 in deferred stock units; Mr. </w:t>
      </w:r>
      <w:proofErr w:type="spellStart"/>
      <w:r>
        <w:rPr>
          <w:rFonts w:ascii="Arial" w:hAnsi="Arial" w:cs="Arial"/>
          <w:sz w:val="16"/>
          <w:szCs w:val="16"/>
        </w:rPr>
        <w:t>Jungé</w:t>
      </w:r>
      <w:proofErr w:type="spellEnd"/>
      <w:r>
        <w:rPr>
          <w:rFonts w:ascii="Arial" w:hAnsi="Arial" w:cs="Arial"/>
          <w:sz w:val="16"/>
          <w:szCs w:val="16"/>
        </w:rPr>
        <w:t xml:space="preserve"> received $13,750 in cash, $0 in fully-vested stock, and $37,500 in deferred stock units; Ms. Owen received $61,250 in cash, $0 in fully-vested stock, and $0 in deferred stock units; Mr. </w:t>
      </w:r>
      <w:proofErr w:type="spellStart"/>
      <w:r>
        <w:rPr>
          <w:rFonts w:ascii="Arial" w:hAnsi="Arial" w:cs="Arial"/>
          <w:sz w:val="16"/>
          <w:szCs w:val="16"/>
        </w:rPr>
        <w:t>Purgason</w:t>
      </w:r>
      <w:proofErr w:type="spellEnd"/>
      <w:r>
        <w:rPr>
          <w:rFonts w:ascii="Arial" w:hAnsi="Arial" w:cs="Arial"/>
          <w:sz w:val="16"/>
          <w:szCs w:val="16"/>
        </w:rPr>
        <w:t xml:space="preserve"> received $37,500 in cash, $13,750 in fully-vested stock, and $0 in deferred stock units; Mr. </w:t>
      </w:r>
      <w:proofErr w:type="spellStart"/>
      <w:r>
        <w:rPr>
          <w:rFonts w:ascii="Arial" w:hAnsi="Arial" w:cs="Arial"/>
          <w:sz w:val="16"/>
          <w:szCs w:val="16"/>
        </w:rPr>
        <w:t>Rackoff</w:t>
      </w:r>
      <w:proofErr w:type="spellEnd"/>
      <w:r>
        <w:rPr>
          <w:rFonts w:ascii="Arial" w:hAnsi="Arial" w:cs="Arial"/>
          <w:sz w:val="16"/>
          <w:szCs w:val="16"/>
        </w:rPr>
        <w:t xml:space="preserve"> received $63,750 in cash, $0 in fully-vested stock, and $0 in deferred stock units; Ms. Rowland received $57,250 in cash, $0 in fully-vested stock, and $0 in deferred stock units; and Mr. </w:t>
      </w:r>
      <w:proofErr w:type="spellStart"/>
      <w:r>
        <w:rPr>
          <w:rFonts w:ascii="Arial" w:hAnsi="Arial" w:cs="Arial"/>
          <w:sz w:val="16"/>
          <w:szCs w:val="16"/>
        </w:rPr>
        <w:t>Vizi</w:t>
      </w:r>
      <w:proofErr w:type="spellEnd"/>
      <w:r>
        <w:rPr>
          <w:rFonts w:ascii="Arial" w:hAnsi="Arial" w:cs="Arial"/>
          <w:sz w:val="16"/>
          <w:szCs w:val="16"/>
        </w:rPr>
        <w:t xml:space="preserve"> received $0 in cash, $13,750 in fully-vested stock, and $37,500 in deferred stock units. No director elected to defer cash fees into a deferred cash account.</w:t>
      </w:r>
    </w:p>
    <w:p w:rsidR="00376768" w:rsidRDefault="00EC2B72">
      <w:pPr>
        <w:spacing w:before="160"/>
        <w:ind w:left="360" w:hanging="360"/>
        <w:jc w:val="both"/>
        <w:rPr>
          <w:rFonts w:ascii="Arial" w:hAnsi="Arial" w:cs="Arial"/>
          <w:sz w:val="16"/>
          <w:szCs w:val="16"/>
        </w:rPr>
      </w:pPr>
      <w:r>
        <w:rPr>
          <w:rFonts w:ascii="Arial" w:hAnsi="Arial" w:cs="Arial"/>
          <w:sz w:val="16"/>
          <w:szCs w:val="16"/>
          <w:vertAlign w:val="superscript"/>
        </w:rPr>
        <w:t>3</w:t>
      </w:r>
      <w:r>
        <w:rPr>
          <w:rFonts w:ascii="Arial" w:hAnsi="Arial" w:cs="Arial"/>
          <w:sz w:val="16"/>
          <w:szCs w:val="16"/>
        </w:rPr>
        <w:tab/>
        <w:t xml:space="preserve">On May 24, 2017, each non-employee director serving at that time was awarded an amount of shares of the Company’s Common Stock equal to $70,000 divided by the closing share price on NASDAQ on that date. As with the annual cash retainer fees, under the Director Deferred Compensation Plan, non-employee directors may make an irrevocable election for each Board year (commencing on the date of each Annual Meeting of Shareholders through the following Annual Meeting of Shareholders) to receive, at his or her sole discretion, all of such director’s annual stock award in the form of deferred stock units which would not vest until six months after the respective director’s separation from the Board. Messrs. Foster, </w:t>
      </w:r>
      <w:proofErr w:type="spellStart"/>
      <w:r>
        <w:rPr>
          <w:rFonts w:ascii="Arial" w:hAnsi="Arial" w:cs="Arial"/>
          <w:sz w:val="16"/>
          <w:szCs w:val="16"/>
        </w:rPr>
        <w:t>Junge</w:t>
      </w:r>
      <w:proofErr w:type="spellEnd"/>
      <w:r>
        <w:rPr>
          <w:rFonts w:ascii="Arial" w:hAnsi="Arial" w:cs="Arial"/>
          <w:sz w:val="16"/>
          <w:szCs w:val="16"/>
        </w:rPr>
        <w:t xml:space="preserve">, </w:t>
      </w:r>
      <w:proofErr w:type="spellStart"/>
      <w:r>
        <w:rPr>
          <w:rFonts w:ascii="Arial" w:hAnsi="Arial" w:cs="Arial"/>
          <w:sz w:val="16"/>
          <w:szCs w:val="16"/>
        </w:rPr>
        <w:t>Rackoff</w:t>
      </w:r>
      <w:proofErr w:type="spellEnd"/>
      <w:r>
        <w:rPr>
          <w:rFonts w:ascii="Arial" w:hAnsi="Arial" w:cs="Arial"/>
          <w:sz w:val="16"/>
          <w:szCs w:val="16"/>
        </w:rPr>
        <w:t xml:space="preserve">, and </w:t>
      </w:r>
      <w:proofErr w:type="spellStart"/>
      <w:r>
        <w:rPr>
          <w:rFonts w:ascii="Arial" w:hAnsi="Arial" w:cs="Arial"/>
          <w:sz w:val="16"/>
          <w:szCs w:val="16"/>
        </w:rPr>
        <w:t>Vizi</w:t>
      </w:r>
      <w:proofErr w:type="spellEnd"/>
      <w:r>
        <w:rPr>
          <w:rFonts w:ascii="Arial" w:hAnsi="Arial" w:cs="Arial"/>
          <w:sz w:val="16"/>
          <w:szCs w:val="16"/>
        </w:rPr>
        <w:t xml:space="preserve"> and Ms. Rowland elected to receive their annual stock award, which amounted to 4,035 shares, in deferred stock units. Ms. Owen and Mr. </w:t>
      </w:r>
      <w:proofErr w:type="spellStart"/>
      <w:r>
        <w:rPr>
          <w:rFonts w:ascii="Arial" w:hAnsi="Arial" w:cs="Arial"/>
          <w:sz w:val="16"/>
          <w:szCs w:val="16"/>
        </w:rPr>
        <w:t>Purgason</w:t>
      </w:r>
      <w:proofErr w:type="spellEnd"/>
      <w:r>
        <w:rPr>
          <w:rFonts w:ascii="Arial" w:hAnsi="Arial" w:cs="Arial"/>
          <w:sz w:val="16"/>
          <w:szCs w:val="16"/>
        </w:rPr>
        <w:t xml:space="preserve"> received awards of 4,035 shares which were fully vested on the grant date. The stock awards are reflected in the “Stock Awards” column of the table and computed in accordance with FASB ASC Topic 718 (excluding the effect of estimated forfeitures). For a discussion of valuation assumptions, see Note 15 of the Company’s 2017 Consolidated Financial Statements in the Company’s Annual Report on Form 10-K for the year ended December 31, 2017.</w:t>
      </w:r>
    </w:p>
    <w:p w:rsidR="00376768" w:rsidRDefault="00EC2B72">
      <w:pPr>
        <w:jc w:val="center"/>
        <w:rPr>
          <w:rFonts w:ascii="Arial" w:hAnsi="Arial" w:cs="Arial"/>
          <w:b/>
          <w:bCs/>
        </w:rPr>
      </w:pPr>
      <w:r>
        <w:rPr>
          <w:rFonts w:ascii="Arial" w:hAnsi="Arial" w:cs="Arial"/>
          <w:b/>
          <w:bCs/>
        </w:rPr>
        <w:br w:type="page"/>
      </w:r>
      <w:r>
        <w:rPr>
          <w:rFonts w:ascii="Arial" w:hAnsi="Arial" w:cs="Arial"/>
          <w:b/>
          <w:bCs/>
        </w:rPr>
        <w:lastRenderedPageBreak/>
        <w:t>IN</w:t>
      </w:r>
      <w:bookmarkStart w:id="8" w:name="a008_v1"/>
      <w:bookmarkEnd w:id="8"/>
      <w:r>
        <w:rPr>
          <w:rFonts w:ascii="Arial" w:hAnsi="Arial" w:cs="Arial"/>
          <w:b/>
          <w:bCs/>
        </w:rPr>
        <w:t>DEPENDENT REGISTERED PUBLIC ACCOUNTING FIRM FEES</w:t>
      </w:r>
    </w:p>
    <w:p w:rsidR="00376768" w:rsidRDefault="00EC2B72">
      <w:pPr>
        <w:spacing w:before="160"/>
        <w:ind w:firstLine="360"/>
        <w:jc w:val="both"/>
        <w:rPr>
          <w:rFonts w:ascii="Arial" w:hAnsi="Arial" w:cs="Arial"/>
        </w:rPr>
      </w:pPr>
      <w:r>
        <w:rPr>
          <w:rFonts w:ascii="Arial" w:hAnsi="Arial" w:cs="Arial"/>
        </w:rPr>
        <w:t>The aggregate fees (including out-of-pocket expenses) for professional services rendered by Ernst &amp; Young for 2017 and 2016 for each of the following categories of services are set forth below:</w:t>
      </w:r>
    </w:p>
    <w:p w:rsidR="00376768" w:rsidRDefault="00376768">
      <w:pPr>
        <w:rPr>
          <w:rFonts w:ascii="Arial" w:hAnsi="Arial" w:cs="Arial"/>
        </w:rPr>
      </w:pPr>
    </w:p>
    <w:tbl>
      <w:tblPr>
        <w:tblW w:w="4509" w:type="pct"/>
        <w:jc w:val="center"/>
        <w:tblLayout w:type="fixed"/>
        <w:tblCellMar>
          <w:left w:w="0" w:type="dxa"/>
          <w:right w:w="0" w:type="dxa"/>
        </w:tblCellMar>
        <w:tblLook w:val="0000" w:firstRow="0" w:lastRow="0" w:firstColumn="0" w:lastColumn="0" w:noHBand="0" w:noVBand="0"/>
      </w:tblPr>
      <w:tblGrid>
        <w:gridCol w:w="6821"/>
        <w:gridCol w:w="197"/>
        <w:gridCol w:w="136"/>
        <w:gridCol w:w="1046"/>
        <w:gridCol w:w="197"/>
        <w:gridCol w:w="125"/>
        <w:gridCol w:w="1083"/>
        <w:gridCol w:w="134"/>
      </w:tblGrid>
      <w:tr w:rsidR="00376768">
        <w:trPr>
          <w:jc w:val="center"/>
        </w:trPr>
        <w:tc>
          <w:tcPr>
            <w:tcW w:w="3502" w:type="pct"/>
            <w:vAlign w:val="bottom"/>
          </w:tcPr>
          <w:p w:rsidR="00376768" w:rsidRDefault="00376768">
            <w:pPr>
              <w:tabs>
                <w:tab w:val="left" w:leader="dot" w:pos="8640"/>
              </w:tabs>
              <w:rPr>
                <w:rFonts w:ascii="Arial" w:hAnsi="Arial" w:cs="Arial"/>
                <w:b/>
                <w:sz w:val="18"/>
              </w:rPr>
            </w:pPr>
          </w:p>
        </w:tc>
        <w:tc>
          <w:tcPr>
            <w:tcW w:w="101" w:type="pct"/>
            <w:vAlign w:val="bottom"/>
          </w:tcPr>
          <w:p w:rsidR="00376768" w:rsidRDefault="00376768">
            <w:pPr>
              <w:jc w:val="center"/>
              <w:rPr>
                <w:rFonts w:ascii="Arial" w:hAnsi="Arial" w:cs="Arial"/>
                <w:b/>
                <w:sz w:val="18"/>
              </w:rPr>
            </w:pPr>
          </w:p>
        </w:tc>
        <w:tc>
          <w:tcPr>
            <w:tcW w:w="70" w:type="pct"/>
            <w:vAlign w:val="bottom"/>
          </w:tcPr>
          <w:p w:rsidR="00376768" w:rsidRDefault="00376768">
            <w:pPr>
              <w:ind w:left="720"/>
              <w:jc w:val="center"/>
              <w:rPr>
                <w:rFonts w:ascii="Arial" w:hAnsi="Arial" w:cs="Arial"/>
                <w:b/>
                <w:sz w:val="18"/>
              </w:rPr>
            </w:pPr>
          </w:p>
        </w:tc>
        <w:tc>
          <w:tcPr>
            <w:tcW w:w="537" w:type="pct"/>
            <w:tcBorders>
              <w:bottom w:val="single" w:sz="4" w:space="0" w:color="auto"/>
            </w:tcBorders>
            <w:vAlign w:val="bottom"/>
          </w:tcPr>
          <w:p w:rsidR="00376768" w:rsidRDefault="00EC2B72">
            <w:pPr>
              <w:jc w:val="center"/>
              <w:rPr>
                <w:rFonts w:ascii="Arial" w:hAnsi="Arial" w:cs="Arial"/>
                <w:b/>
                <w:sz w:val="18"/>
              </w:rPr>
            </w:pPr>
            <w:r>
              <w:rPr>
                <w:rFonts w:ascii="Arial" w:hAnsi="Arial" w:cs="Arial"/>
                <w:b/>
                <w:sz w:val="18"/>
              </w:rPr>
              <w:t>2016</w:t>
            </w:r>
          </w:p>
        </w:tc>
        <w:tc>
          <w:tcPr>
            <w:tcW w:w="101" w:type="pct"/>
            <w:vAlign w:val="bottom"/>
          </w:tcPr>
          <w:p w:rsidR="00376768" w:rsidRDefault="00376768">
            <w:pPr>
              <w:jc w:val="center"/>
              <w:rPr>
                <w:rFonts w:ascii="Arial" w:hAnsi="Arial" w:cs="Arial"/>
                <w:b/>
                <w:sz w:val="18"/>
              </w:rPr>
            </w:pPr>
          </w:p>
        </w:tc>
        <w:tc>
          <w:tcPr>
            <w:tcW w:w="64" w:type="pct"/>
            <w:vAlign w:val="bottom"/>
          </w:tcPr>
          <w:p w:rsidR="00376768" w:rsidRDefault="00376768">
            <w:pPr>
              <w:jc w:val="center"/>
              <w:rPr>
                <w:rFonts w:ascii="Arial" w:hAnsi="Arial" w:cs="Arial"/>
                <w:b/>
                <w:sz w:val="18"/>
              </w:rPr>
            </w:pPr>
          </w:p>
        </w:tc>
        <w:tc>
          <w:tcPr>
            <w:tcW w:w="556" w:type="pct"/>
            <w:tcBorders>
              <w:bottom w:val="single" w:sz="4" w:space="0" w:color="auto"/>
            </w:tcBorders>
            <w:vAlign w:val="bottom"/>
          </w:tcPr>
          <w:p w:rsidR="00376768" w:rsidRDefault="00EC2B72">
            <w:pPr>
              <w:jc w:val="center"/>
              <w:rPr>
                <w:rFonts w:ascii="Arial" w:hAnsi="Arial" w:cs="Arial"/>
                <w:b/>
                <w:sz w:val="18"/>
              </w:rPr>
            </w:pPr>
            <w:r>
              <w:rPr>
                <w:rFonts w:ascii="Arial" w:hAnsi="Arial" w:cs="Arial"/>
                <w:b/>
                <w:sz w:val="18"/>
              </w:rPr>
              <w:t>2017</w:t>
            </w:r>
          </w:p>
        </w:tc>
        <w:tc>
          <w:tcPr>
            <w:tcW w:w="70" w:type="pct"/>
            <w:vAlign w:val="bottom"/>
          </w:tcPr>
          <w:p w:rsidR="00376768" w:rsidRDefault="00376768">
            <w:pPr>
              <w:jc w:val="center"/>
              <w:rPr>
                <w:b/>
                <w:sz w:val="18"/>
              </w:rPr>
            </w:pPr>
          </w:p>
        </w:tc>
      </w:tr>
      <w:tr w:rsidR="00376768">
        <w:trPr>
          <w:jc w:val="center"/>
        </w:trPr>
        <w:tc>
          <w:tcPr>
            <w:tcW w:w="3502" w:type="pct"/>
            <w:vAlign w:val="bottom"/>
          </w:tcPr>
          <w:p w:rsidR="00376768" w:rsidRDefault="00EC2B72">
            <w:pPr>
              <w:tabs>
                <w:tab w:val="left" w:leader="dot" w:pos="8640"/>
              </w:tabs>
              <w:rPr>
                <w:rFonts w:ascii="Arial" w:hAnsi="Arial" w:cs="Arial"/>
                <w:sz w:val="18"/>
              </w:rPr>
            </w:pPr>
            <w:r>
              <w:rPr>
                <w:rFonts w:ascii="Arial" w:hAnsi="Arial" w:cs="Arial"/>
                <w:sz w:val="18"/>
              </w:rPr>
              <w:t>Audit fees (includes audits, reviews of the Company’s fiscal-year audit, audit reports, related expenses, and statutory audits of foreign subsidiaries)</w:t>
            </w:r>
          </w:p>
        </w:tc>
        <w:tc>
          <w:tcPr>
            <w:tcW w:w="101" w:type="pct"/>
            <w:vAlign w:val="bottom"/>
          </w:tcPr>
          <w:p w:rsidR="00376768" w:rsidRDefault="00376768">
            <w:pPr>
              <w:rPr>
                <w:rFonts w:ascii="Arial" w:hAnsi="Arial" w:cs="Arial"/>
                <w:sz w:val="18"/>
              </w:rPr>
            </w:pPr>
          </w:p>
        </w:tc>
        <w:tc>
          <w:tcPr>
            <w:tcW w:w="70" w:type="pct"/>
            <w:vAlign w:val="bottom"/>
          </w:tcPr>
          <w:p w:rsidR="00376768" w:rsidRDefault="00376768">
            <w:pPr>
              <w:rPr>
                <w:rFonts w:ascii="Arial" w:hAnsi="Arial" w:cs="Arial"/>
                <w:sz w:val="18"/>
              </w:rPr>
            </w:pPr>
          </w:p>
        </w:tc>
        <w:tc>
          <w:tcPr>
            <w:tcW w:w="537" w:type="pct"/>
            <w:tcBorders>
              <w:top w:val="single" w:sz="4" w:space="0" w:color="auto"/>
            </w:tcBorders>
            <w:vAlign w:val="bottom"/>
          </w:tcPr>
          <w:p w:rsidR="00376768" w:rsidRDefault="00EC2B72">
            <w:pPr>
              <w:jc w:val="right"/>
              <w:rPr>
                <w:rFonts w:ascii="Arial" w:hAnsi="Arial" w:cs="Arial"/>
                <w:sz w:val="18"/>
              </w:rPr>
            </w:pPr>
            <w:r>
              <w:rPr>
                <w:rFonts w:ascii="Arial" w:hAnsi="Arial" w:cs="Arial"/>
                <w:sz w:val="18"/>
              </w:rPr>
              <w:t>$1,341,504</w:t>
            </w:r>
          </w:p>
        </w:tc>
        <w:tc>
          <w:tcPr>
            <w:tcW w:w="101" w:type="pct"/>
            <w:vAlign w:val="bottom"/>
          </w:tcPr>
          <w:p w:rsidR="00376768" w:rsidRDefault="00376768">
            <w:pPr>
              <w:rPr>
                <w:rFonts w:ascii="Arial" w:hAnsi="Arial" w:cs="Arial"/>
                <w:sz w:val="18"/>
              </w:rPr>
            </w:pPr>
          </w:p>
        </w:tc>
        <w:tc>
          <w:tcPr>
            <w:tcW w:w="64" w:type="pct"/>
            <w:vAlign w:val="bottom"/>
          </w:tcPr>
          <w:p w:rsidR="00376768" w:rsidRDefault="00376768">
            <w:pPr>
              <w:rPr>
                <w:rFonts w:ascii="Arial" w:hAnsi="Arial" w:cs="Arial"/>
                <w:sz w:val="18"/>
              </w:rPr>
            </w:pPr>
          </w:p>
        </w:tc>
        <w:tc>
          <w:tcPr>
            <w:tcW w:w="556" w:type="pct"/>
            <w:tcBorders>
              <w:top w:val="single" w:sz="4" w:space="0" w:color="auto"/>
            </w:tcBorders>
            <w:vAlign w:val="bottom"/>
          </w:tcPr>
          <w:p w:rsidR="00376768" w:rsidRDefault="00EC2B72">
            <w:pPr>
              <w:jc w:val="right"/>
              <w:rPr>
                <w:rFonts w:ascii="Arial" w:hAnsi="Arial" w:cs="Arial"/>
                <w:sz w:val="18"/>
              </w:rPr>
            </w:pPr>
            <w:r>
              <w:rPr>
                <w:rFonts w:ascii="Arial" w:hAnsi="Arial" w:cs="Arial"/>
                <w:sz w:val="18"/>
              </w:rPr>
              <w:t>$1,323,000</w:t>
            </w:r>
          </w:p>
        </w:tc>
        <w:tc>
          <w:tcPr>
            <w:tcW w:w="70" w:type="pct"/>
            <w:vAlign w:val="bottom"/>
          </w:tcPr>
          <w:p w:rsidR="00376768" w:rsidRDefault="00376768">
            <w:pPr>
              <w:rPr>
                <w:rFonts w:ascii="Arial" w:hAnsi="Arial" w:cs="Arial"/>
                <w:sz w:val="18"/>
              </w:rPr>
            </w:pPr>
          </w:p>
        </w:tc>
      </w:tr>
      <w:tr w:rsidR="00376768">
        <w:trPr>
          <w:jc w:val="center"/>
        </w:trPr>
        <w:tc>
          <w:tcPr>
            <w:tcW w:w="3502" w:type="pct"/>
            <w:vAlign w:val="bottom"/>
          </w:tcPr>
          <w:p w:rsidR="00376768" w:rsidRDefault="00376768">
            <w:pPr>
              <w:tabs>
                <w:tab w:val="left" w:leader="dot" w:pos="8640"/>
              </w:tabs>
              <w:rPr>
                <w:rFonts w:ascii="Arial" w:hAnsi="Arial" w:cs="Arial"/>
                <w:sz w:val="18"/>
              </w:rPr>
            </w:pPr>
          </w:p>
        </w:tc>
        <w:tc>
          <w:tcPr>
            <w:tcW w:w="101" w:type="pct"/>
            <w:vAlign w:val="bottom"/>
          </w:tcPr>
          <w:p w:rsidR="00376768" w:rsidRDefault="00376768">
            <w:pPr>
              <w:rPr>
                <w:rFonts w:ascii="Arial" w:hAnsi="Arial" w:cs="Arial"/>
                <w:sz w:val="18"/>
              </w:rPr>
            </w:pPr>
          </w:p>
        </w:tc>
        <w:tc>
          <w:tcPr>
            <w:tcW w:w="70" w:type="pct"/>
            <w:vAlign w:val="bottom"/>
          </w:tcPr>
          <w:p w:rsidR="00376768" w:rsidRDefault="00376768">
            <w:pPr>
              <w:rPr>
                <w:rFonts w:ascii="Arial" w:hAnsi="Arial" w:cs="Arial"/>
                <w:sz w:val="18"/>
              </w:rPr>
            </w:pPr>
          </w:p>
        </w:tc>
        <w:tc>
          <w:tcPr>
            <w:tcW w:w="537" w:type="pct"/>
            <w:vAlign w:val="bottom"/>
          </w:tcPr>
          <w:p w:rsidR="00376768" w:rsidRDefault="00376768">
            <w:pPr>
              <w:jc w:val="right"/>
              <w:rPr>
                <w:rFonts w:ascii="Arial" w:hAnsi="Arial" w:cs="Arial"/>
                <w:sz w:val="18"/>
              </w:rPr>
            </w:pPr>
          </w:p>
        </w:tc>
        <w:tc>
          <w:tcPr>
            <w:tcW w:w="101" w:type="pct"/>
            <w:vAlign w:val="bottom"/>
          </w:tcPr>
          <w:p w:rsidR="00376768" w:rsidRDefault="00376768">
            <w:pPr>
              <w:rPr>
                <w:rFonts w:ascii="Arial" w:hAnsi="Arial" w:cs="Arial"/>
                <w:sz w:val="18"/>
              </w:rPr>
            </w:pPr>
          </w:p>
        </w:tc>
        <w:tc>
          <w:tcPr>
            <w:tcW w:w="64" w:type="pct"/>
            <w:vAlign w:val="bottom"/>
          </w:tcPr>
          <w:p w:rsidR="00376768" w:rsidRDefault="00376768">
            <w:pPr>
              <w:rPr>
                <w:rFonts w:ascii="Arial" w:hAnsi="Arial" w:cs="Arial"/>
                <w:sz w:val="18"/>
              </w:rPr>
            </w:pPr>
          </w:p>
        </w:tc>
        <w:tc>
          <w:tcPr>
            <w:tcW w:w="556" w:type="pct"/>
            <w:vAlign w:val="bottom"/>
          </w:tcPr>
          <w:p w:rsidR="00376768" w:rsidRDefault="00376768">
            <w:pPr>
              <w:jc w:val="right"/>
              <w:rPr>
                <w:rFonts w:ascii="Arial" w:hAnsi="Arial" w:cs="Arial"/>
                <w:sz w:val="18"/>
              </w:rPr>
            </w:pPr>
          </w:p>
        </w:tc>
        <w:tc>
          <w:tcPr>
            <w:tcW w:w="70" w:type="pct"/>
            <w:vAlign w:val="bottom"/>
          </w:tcPr>
          <w:p w:rsidR="00376768" w:rsidRDefault="00376768">
            <w:pPr>
              <w:rPr>
                <w:rFonts w:ascii="Arial" w:hAnsi="Arial" w:cs="Arial"/>
                <w:sz w:val="18"/>
              </w:rPr>
            </w:pPr>
          </w:p>
        </w:tc>
      </w:tr>
      <w:tr w:rsidR="00376768">
        <w:trPr>
          <w:jc w:val="center"/>
        </w:trPr>
        <w:tc>
          <w:tcPr>
            <w:tcW w:w="3502" w:type="pct"/>
            <w:vAlign w:val="bottom"/>
          </w:tcPr>
          <w:p w:rsidR="00376768" w:rsidRDefault="00EC2B72">
            <w:pPr>
              <w:tabs>
                <w:tab w:val="left" w:leader="dot" w:pos="8640"/>
              </w:tabs>
              <w:rPr>
                <w:rFonts w:ascii="Arial" w:hAnsi="Arial" w:cs="Arial"/>
                <w:sz w:val="18"/>
              </w:rPr>
            </w:pPr>
            <w:r>
              <w:rPr>
                <w:rFonts w:ascii="Arial" w:hAnsi="Arial" w:cs="Arial"/>
                <w:sz w:val="18"/>
              </w:rPr>
              <w:t>Audit-related fees (primarily audits of the Company’s various employee benefit plans in 2015)</w:t>
            </w:r>
            <w:r>
              <w:rPr>
                <w:rFonts w:ascii="Arial" w:hAnsi="Arial" w:cs="Arial"/>
                <w:spacing w:val="26"/>
                <w:sz w:val="18"/>
              </w:rPr>
              <w:t xml:space="preserve"> </w:t>
            </w:r>
          </w:p>
        </w:tc>
        <w:tc>
          <w:tcPr>
            <w:tcW w:w="101" w:type="pct"/>
            <w:vAlign w:val="bottom"/>
          </w:tcPr>
          <w:p w:rsidR="00376768" w:rsidRDefault="00376768">
            <w:pPr>
              <w:rPr>
                <w:rFonts w:ascii="Arial" w:hAnsi="Arial" w:cs="Arial"/>
                <w:sz w:val="18"/>
              </w:rPr>
            </w:pPr>
          </w:p>
        </w:tc>
        <w:tc>
          <w:tcPr>
            <w:tcW w:w="70" w:type="pct"/>
            <w:vAlign w:val="bottom"/>
          </w:tcPr>
          <w:p w:rsidR="00376768" w:rsidRDefault="00376768">
            <w:pPr>
              <w:rPr>
                <w:rFonts w:ascii="Arial" w:hAnsi="Arial" w:cs="Arial"/>
                <w:sz w:val="18"/>
              </w:rPr>
            </w:pPr>
          </w:p>
        </w:tc>
        <w:tc>
          <w:tcPr>
            <w:tcW w:w="537" w:type="pct"/>
            <w:vAlign w:val="bottom"/>
          </w:tcPr>
          <w:p w:rsidR="00376768" w:rsidRDefault="00EC2B72">
            <w:pPr>
              <w:jc w:val="right"/>
              <w:rPr>
                <w:rFonts w:ascii="Arial" w:hAnsi="Arial" w:cs="Arial"/>
                <w:sz w:val="18"/>
              </w:rPr>
            </w:pPr>
            <w:r>
              <w:rPr>
                <w:rFonts w:ascii="Arial" w:hAnsi="Arial" w:cs="Arial"/>
                <w:sz w:val="18"/>
              </w:rPr>
              <w:t>$0</w:t>
            </w:r>
          </w:p>
        </w:tc>
        <w:tc>
          <w:tcPr>
            <w:tcW w:w="101" w:type="pct"/>
            <w:vAlign w:val="bottom"/>
          </w:tcPr>
          <w:p w:rsidR="00376768" w:rsidRDefault="00376768">
            <w:pPr>
              <w:rPr>
                <w:rFonts w:ascii="Arial" w:hAnsi="Arial" w:cs="Arial"/>
                <w:sz w:val="18"/>
              </w:rPr>
            </w:pPr>
          </w:p>
        </w:tc>
        <w:tc>
          <w:tcPr>
            <w:tcW w:w="64" w:type="pct"/>
            <w:vAlign w:val="bottom"/>
          </w:tcPr>
          <w:p w:rsidR="00376768" w:rsidRDefault="00376768">
            <w:pPr>
              <w:rPr>
                <w:rFonts w:ascii="Arial" w:hAnsi="Arial" w:cs="Arial"/>
                <w:sz w:val="18"/>
              </w:rPr>
            </w:pPr>
          </w:p>
        </w:tc>
        <w:tc>
          <w:tcPr>
            <w:tcW w:w="556" w:type="pct"/>
            <w:vAlign w:val="bottom"/>
          </w:tcPr>
          <w:p w:rsidR="00376768" w:rsidRDefault="00EC2B72">
            <w:pPr>
              <w:jc w:val="right"/>
              <w:rPr>
                <w:rFonts w:ascii="Arial" w:hAnsi="Arial" w:cs="Arial"/>
                <w:sz w:val="18"/>
              </w:rPr>
            </w:pPr>
            <w:r>
              <w:rPr>
                <w:rFonts w:ascii="Arial" w:hAnsi="Arial" w:cs="Arial"/>
                <w:sz w:val="18"/>
              </w:rPr>
              <w:t>$0</w:t>
            </w:r>
          </w:p>
        </w:tc>
        <w:tc>
          <w:tcPr>
            <w:tcW w:w="70" w:type="pct"/>
            <w:vAlign w:val="bottom"/>
          </w:tcPr>
          <w:p w:rsidR="00376768" w:rsidRDefault="00376768">
            <w:pPr>
              <w:rPr>
                <w:rFonts w:ascii="Arial" w:hAnsi="Arial" w:cs="Arial"/>
                <w:sz w:val="18"/>
              </w:rPr>
            </w:pPr>
          </w:p>
        </w:tc>
      </w:tr>
      <w:tr w:rsidR="00376768">
        <w:trPr>
          <w:jc w:val="center"/>
        </w:trPr>
        <w:tc>
          <w:tcPr>
            <w:tcW w:w="3502" w:type="pct"/>
            <w:vAlign w:val="bottom"/>
          </w:tcPr>
          <w:p w:rsidR="00376768" w:rsidRDefault="00376768">
            <w:pPr>
              <w:tabs>
                <w:tab w:val="left" w:leader="dot" w:pos="8640"/>
              </w:tabs>
              <w:rPr>
                <w:rFonts w:ascii="Arial" w:hAnsi="Arial" w:cs="Arial"/>
                <w:sz w:val="18"/>
              </w:rPr>
            </w:pPr>
          </w:p>
        </w:tc>
        <w:tc>
          <w:tcPr>
            <w:tcW w:w="101" w:type="pct"/>
            <w:vAlign w:val="bottom"/>
          </w:tcPr>
          <w:p w:rsidR="00376768" w:rsidRDefault="00376768">
            <w:pPr>
              <w:rPr>
                <w:rFonts w:ascii="Arial" w:hAnsi="Arial" w:cs="Arial"/>
                <w:sz w:val="18"/>
              </w:rPr>
            </w:pPr>
          </w:p>
        </w:tc>
        <w:tc>
          <w:tcPr>
            <w:tcW w:w="70" w:type="pct"/>
            <w:vAlign w:val="bottom"/>
          </w:tcPr>
          <w:p w:rsidR="00376768" w:rsidRDefault="00376768">
            <w:pPr>
              <w:rPr>
                <w:rFonts w:ascii="Arial" w:hAnsi="Arial" w:cs="Arial"/>
                <w:sz w:val="18"/>
              </w:rPr>
            </w:pPr>
          </w:p>
        </w:tc>
        <w:tc>
          <w:tcPr>
            <w:tcW w:w="537" w:type="pct"/>
            <w:vAlign w:val="bottom"/>
          </w:tcPr>
          <w:p w:rsidR="00376768" w:rsidRDefault="00376768">
            <w:pPr>
              <w:jc w:val="right"/>
              <w:rPr>
                <w:rFonts w:ascii="Arial" w:hAnsi="Arial" w:cs="Arial"/>
                <w:sz w:val="18"/>
              </w:rPr>
            </w:pPr>
          </w:p>
        </w:tc>
        <w:tc>
          <w:tcPr>
            <w:tcW w:w="101" w:type="pct"/>
            <w:vAlign w:val="bottom"/>
          </w:tcPr>
          <w:p w:rsidR="00376768" w:rsidRDefault="00376768">
            <w:pPr>
              <w:rPr>
                <w:rFonts w:ascii="Arial" w:hAnsi="Arial" w:cs="Arial"/>
                <w:sz w:val="18"/>
              </w:rPr>
            </w:pPr>
          </w:p>
        </w:tc>
        <w:tc>
          <w:tcPr>
            <w:tcW w:w="64" w:type="pct"/>
            <w:vAlign w:val="bottom"/>
          </w:tcPr>
          <w:p w:rsidR="00376768" w:rsidRDefault="00376768">
            <w:pPr>
              <w:rPr>
                <w:rFonts w:ascii="Arial" w:hAnsi="Arial" w:cs="Arial"/>
                <w:sz w:val="18"/>
              </w:rPr>
            </w:pPr>
          </w:p>
        </w:tc>
        <w:tc>
          <w:tcPr>
            <w:tcW w:w="556" w:type="pct"/>
            <w:vAlign w:val="bottom"/>
          </w:tcPr>
          <w:p w:rsidR="00376768" w:rsidRDefault="00376768">
            <w:pPr>
              <w:jc w:val="right"/>
              <w:rPr>
                <w:rFonts w:ascii="Arial" w:hAnsi="Arial" w:cs="Arial"/>
                <w:sz w:val="18"/>
              </w:rPr>
            </w:pPr>
          </w:p>
        </w:tc>
        <w:tc>
          <w:tcPr>
            <w:tcW w:w="70" w:type="pct"/>
            <w:vAlign w:val="bottom"/>
          </w:tcPr>
          <w:p w:rsidR="00376768" w:rsidRDefault="00376768">
            <w:pPr>
              <w:rPr>
                <w:rFonts w:ascii="Arial" w:hAnsi="Arial" w:cs="Arial"/>
                <w:sz w:val="18"/>
              </w:rPr>
            </w:pPr>
          </w:p>
        </w:tc>
      </w:tr>
      <w:tr w:rsidR="00376768">
        <w:trPr>
          <w:jc w:val="center"/>
        </w:trPr>
        <w:tc>
          <w:tcPr>
            <w:tcW w:w="3502" w:type="pct"/>
            <w:vAlign w:val="bottom"/>
          </w:tcPr>
          <w:p w:rsidR="00376768" w:rsidRDefault="00EC2B72">
            <w:pPr>
              <w:tabs>
                <w:tab w:val="left" w:leader="dot" w:pos="8640"/>
              </w:tabs>
              <w:rPr>
                <w:rFonts w:ascii="Arial" w:hAnsi="Arial" w:cs="Arial"/>
                <w:sz w:val="18"/>
              </w:rPr>
            </w:pPr>
            <w:r>
              <w:rPr>
                <w:rFonts w:ascii="Arial" w:hAnsi="Arial" w:cs="Arial"/>
                <w:sz w:val="18"/>
              </w:rPr>
              <w:t>Tax fees (includes tax compliance, tax planning, and state income tax project work, as well as routine on-call tax advisory services in 2017)</w:t>
            </w:r>
          </w:p>
        </w:tc>
        <w:tc>
          <w:tcPr>
            <w:tcW w:w="101" w:type="pct"/>
            <w:vAlign w:val="bottom"/>
          </w:tcPr>
          <w:p w:rsidR="00376768" w:rsidRDefault="00376768">
            <w:pPr>
              <w:rPr>
                <w:rFonts w:ascii="Arial" w:hAnsi="Arial" w:cs="Arial"/>
                <w:sz w:val="18"/>
              </w:rPr>
            </w:pPr>
          </w:p>
        </w:tc>
        <w:tc>
          <w:tcPr>
            <w:tcW w:w="70" w:type="pct"/>
            <w:vAlign w:val="bottom"/>
          </w:tcPr>
          <w:p w:rsidR="00376768" w:rsidRDefault="00376768">
            <w:pPr>
              <w:rPr>
                <w:rFonts w:ascii="Arial" w:hAnsi="Arial" w:cs="Arial"/>
                <w:sz w:val="18"/>
              </w:rPr>
            </w:pPr>
          </w:p>
        </w:tc>
        <w:tc>
          <w:tcPr>
            <w:tcW w:w="537" w:type="pct"/>
            <w:vAlign w:val="bottom"/>
          </w:tcPr>
          <w:p w:rsidR="00376768" w:rsidRDefault="00EC2B72">
            <w:pPr>
              <w:jc w:val="right"/>
              <w:rPr>
                <w:rFonts w:ascii="Arial" w:hAnsi="Arial" w:cs="Arial"/>
                <w:sz w:val="18"/>
              </w:rPr>
            </w:pPr>
            <w:r>
              <w:rPr>
                <w:rFonts w:ascii="Arial" w:hAnsi="Arial" w:cs="Arial"/>
                <w:sz w:val="18"/>
              </w:rPr>
              <w:t>$215,545</w:t>
            </w:r>
          </w:p>
        </w:tc>
        <w:tc>
          <w:tcPr>
            <w:tcW w:w="101" w:type="pct"/>
            <w:vAlign w:val="bottom"/>
          </w:tcPr>
          <w:p w:rsidR="00376768" w:rsidRDefault="00376768">
            <w:pPr>
              <w:rPr>
                <w:rFonts w:ascii="Arial" w:hAnsi="Arial" w:cs="Arial"/>
                <w:sz w:val="18"/>
              </w:rPr>
            </w:pPr>
          </w:p>
        </w:tc>
        <w:tc>
          <w:tcPr>
            <w:tcW w:w="64" w:type="pct"/>
            <w:vAlign w:val="bottom"/>
          </w:tcPr>
          <w:p w:rsidR="00376768" w:rsidRDefault="00376768">
            <w:pPr>
              <w:rPr>
                <w:rFonts w:ascii="Arial" w:hAnsi="Arial" w:cs="Arial"/>
                <w:sz w:val="18"/>
              </w:rPr>
            </w:pPr>
          </w:p>
        </w:tc>
        <w:tc>
          <w:tcPr>
            <w:tcW w:w="556" w:type="pct"/>
            <w:vAlign w:val="bottom"/>
          </w:tcPr>
          <w:p w:rsidR="00376768" w:rsidRDefault="00EC2B72">
            <w:pPr>
              <w:jc w:val="right"/>
              <w:rPr>
                <w:rFonts w:ascii="Arial" w:hAnsi="Arial" w:cs="Arial"/>
                <w:sz w:val="18"/>
              </w:rPr>
            </w:pPr>
            <w:r>
              <w:rPr>
                <w:rFonts w:ascii="Arial" w:hAnsi="Arial" w:cs="Arial"/>
                <w:sz w:val="18"/>
              </w:rPr>
              <w:t>$219,145</w:t>
            </w:r>
          </w:p>
        </w:tc>
        <w:tc>
          <w:tcPr>
            <w:tcW w:w="70" w:type="pct"/>
            <w:vAlign w:val="bottom"/>
          </w:tcPr>
          <w:p w:rsidR="00376768" w:rsidRDefault="00376768">
            <w:pPr>
              <w:rPr>
                <w:rFonts w:ascii="Arial" w:hAnsi="Arial" w:cs="Arial"/>
                <w:sz w:val="18"/>
              </w:rPr>
            </w:pPr>
          </w:p>
        </w:tc>
      </w:tr>
      <w:tr w:rsidR="00376768">
        <w:trPr>
          <w:jc w:val="center"/>
        </w:trPr>
        <w:tc>
          <w:tcPr>
            <w:tcW w:w="3502" w:type="pct"/>
            <w:vAlign w:val="bottom"/>
          </w:tcPr>
          <w:p w:rsidR="00376768" w:rsidRDefault="00376768">
            <w:pPr>
              <w:tabs>
                <w:tab w:val="left" w:leader="dot" w:pos="8640"/>
              </w:tabs>
              <w:rPr>
                <w:rFonts w:ascii="Arial" w:hAnsi="Arial" w:cs="Arial"/>
                <w:sz w:val="18"/>
              </w:rPr>
            </w:pPr>
          </w:p>
        </w:tc>
        <w:tc>
          <w:tcPr>
            <w:tcW w:w="101" w:type="pct"/>
            <w:vAlign w:val="bottom"/>
          </w:tcPr>
          <w:p w:rsidR="00376768" w:rsidRDefault="00376768">
            <w:pPr>
              <w:rPr>
                <w:rFonts w:ascii="Arial" w:hAnsi="Arial" w:cs="Arial"/>
                <w:sz w:val="18"/>
              </w:rPr>
            </w:pPr>
          </w:p>
        </w:tc>
        <w:tc>
          <w:tcPr>
            <w:tcW w:w="70" w:type="pct"/>
            <w:vAlign w:val="bottom"/>
          </w:tcPr>
          <w:p w:rsidR="00376768" w:rsidRDefault="00376768">
            <w:pPr>
              <w:rPr>
                <w:rFonts w:ascii="Arial" w:hAnsi="Arial" w:cs="Arial"/>
                <w:sz w:val="18"/>
              </w:rPr>
            </w:pPr>
          </w:p>
        </w:tc>
        <w:tc>
          <w:tcPr>
            <w:tcW w:w="537" w:type="pct"/>
            <w:vAlign w:val="bottom"/>
          </w:tcPr>
          <w:p w:rsidR="00376768" w:rsidRDefault="00376768">
            <w:pPr>
              <w:jc w:val="right"/>
              <w:rPr>
                <w:rFonts w:ascii="Arial" w:hAnsi="Arial" w:cs="Arial"/>
                <w:sz w:val="18"/>
              </w:rPr>
            </w:pPr>
          </w:p>
        </w:tc>
        <w:tc>
          <w:tcPr>
            <w:tcW w:w="101" w:type="pct"/>
            <w:vAlign w:val="bottom"/>
          </w:tcPr>
          <w:p w:rsidR="00376768" w:rsidRDefault="00376768">
            <w:pPr>
              <w:rPr>
                <w:rFonts w:ascii="Arial" w:hAnsi="Arial" w:cs="Arial"/>
                <w:sz w:val="18"/>
              </w:rPr>
            </w:pPr>
          </w:p>
        </w:tc>
        <w:tc>
          <w:tcPr>
            <w:tcW w:w="64" w:type="pct"/>
            <w:vAlign w:val="bottom"/>
          </w:tcPr>
          <w:p w:rsidR="00376768" w:rsidRDefault="00376768">
            <w:pPr>
              <w:rPr>
                <w:rFonts w:ascii="Arial" w:hAnsi="Arial" w:cs="Arial"/>
                <w:sz w:val="18"/>
              </w:rPr>
            </w:pPr>
          </w:p>
        </w:tc>
        <w:tc>
          <w:tcPr>
            <w:tcW w:w="556" w:type="pct"/>
            <w:vAlign w:val="bottom"/>
          </w:tcPr>
          <w:p w:rsidR="00376768" w:rsidRDefault="00376768">
            <w:pPr>
              <w:jc w:val="right"/>
              <w:rPr>
                <w:rFonts w:ascii="Arial" w:hAnsi="Arial" w:cs="Arial"/>
                <w:sz w:val="18"/>
              </w:rPr>
            </w:pPr>
          </w:p>
        </w:tc>
        <w:tc>
          <w:tcPr>
            <w:tcW w:w="70" w:type="pct"/>
            <w:vAlign w:val="bottom"/>
          </w:tcPr>
          <w:p w:rsidR="00376768" w:rsidRDefault="00376768">
            <w:pPr>
              <w:rPr>
                <w:rFonts w:ascii="Arial" w:hAnsi="Arial" w:cs="Arial"/>
                <w:sz w:val="18"/>
              </w:rPr>
            </w:pPr>
          </w:p>
        </w:tc>
      </w:tr>
      <w:tr w:rsidR="00376768">
        <w:trPr>
          <w:jc w:val="center"/>
        </w:trPr>
        <w:tc>
          <w:tcPr>
            <w:tcW w:w="3502" w:type="pct"/>
            <w:vAlign w:val="bottom"/>
          </w:tcPr>
          <w:p w:rsidR="00376768" w:rsidRDefault="00EC2B72">
            <w:pPr>
              <w:tabs>
                <w:tab w:val="left" w:leader="dot" w:pos="8640"/>
              </w:tabs>
              <w:rPr>
                <w:rFonts w:ascii="Arial" w:hAnsi="Arial" w:cs="Arial"/>
                <w:sz w:val="18"/>
              </w:rPr>
            </w:pPr>
            <w:r>
              <w:rPr>
                <w:rFonts w:ascii="Arial" w:hAnsi="Arial" w:cs="Arial"/>
                <w:sz w:val="18"/>
              </w:rPr>
              <w:t>All other fees</w:t>
            </w:r>
          </w:p>
        </w:tc>
        <w:tc>
          <w:tcPr>
            <w:tcW w:w="101" w:type="pct"/>
            <w:vAlign w:val="bottom"/>
          </w:tcPr>
          <w:p w:rsidR="00376768" w:rsidRDefault="00376768">
            <w:pPr>
              <w:rPr>
                <w:rFonts w:ascii="Arial" w:hAnsi="Arial" w:cs="Arial"/>
                <w:sz w:val="18"/>
              </w:rPr>
            </w:pPr>
          </w:p>
        </w:tc>
        <w:tc>
          <w:tcPr>
            <w:tcW w:w="70" w:type="pct"/>
            <w:vAlign w:val="bottom"/>
          </w:tcPr>
          <w:p w:rsidR="00376768" w:rsidRDefault="00376768">
            <w:pPr>
              <w:rPr>
                <w:rFonts w:ascii="Arial" w:hAnsi="Arial" w:cs="Arial"/>
                <w:sz w:val="18"/>
              </w:rPr>
            </w:pPr>
          </w:p>
        </w:tc>
        <w:tc>
          <w:tcPr>
            <w:tcW w:w="537" w:type="pct"/>
            <w:tcBorders>
              <w:bottom w:val="single" w:sz="4" w:space="0" w:color="auto"/>
            </w:tcBorders>
            <w:vAlign w:val="bottom"/>
          </w:tcPr>
          <w:p w:rsidR="00376768" w:rsidRDefault="00EC2B72">
            <w:pPr>
              <w:jc w:val="right"/>
              <w:rPr>
                <w:rFonts w:ascii="Arial" w:hAnsi="Arial" w:cs="Arial"/>
                <w:sz w:val="18"/>
              </w:rPr>
            </w:pPr>
            <w:r>
              <w:rPr>
                <w:rFonts w:ascii="Arial" w:hAnsi="Arial" w:cs="Arial"/>
                <w:sz w:val="18"/>
              </w:rPr>
              <w:t>—</w:t>
            </w:r>
          </w:p>
        </w:tc>
        <w:tc>
          <w:tcPr>
            <w:tcW w:w="101" w:type="pct"/>
            <w:vAlign w:val="bottom"/>
          </w:tcPr>
          <w:p w:rsidR="00376768" w:rsidRDefault="00376768">
            <w:pPr>
              <w:rPr>
                <w:rFonts w:ascii="Arial" w:hAnsi="Arial" w:cs="Arial"/>
                <w:sz w:val="18"/>
              </w:rPr>
            </w:pPr>
          </w:p>
        </w:tc>
        <w:tc>
          <w:tcPr>
            <w:tcW w:w="64" w:type="pct"/>
            <w:vAlign w:val="bottom"/>
          </w:tcPr>
          <w:p w:rsidR="00376768" w:rsidRDefault="00376768">
            <w:pPr>
              <w:rPr>
                <w:rFonts w:ascii="Arial" w:hAnsi="Arial" w:cs="Arial"/>
                <w:sz w:val="18"/>
              </w:rPr>
            </w:pPr>
          </w:p>
        </w:tc>
        <w:tc>
          <w:tcPr>
            <w:tcW w:w="556" w:type="pct"/>
            <w:tcBorders>
              <w:bottom w:val="single" w:sz="4" w:space="0" w:color="auto"/>
            </w:tcBorders>
            <w:vAlign w:val="bottom"/>
          </w:tcPr>
          <w:p w:rsidR="00376768" w:rsidRDefault="00EC2B72">
            <w:pPr>
              <w:jc w:val="right"/>
              <w:rPr>
                <w:rFonts w:ascii="Arial" w:hAnsi="Arial" w:cs="Arial"/>
                <w:sz w:val="18"/>
              </w:rPr>
            </w:pPr>
            <w:r>
              <w:rPr>
                <w:rFonts w:ascii="Arial" w:hAnsi="Arial" w:cs="Arial"/>
                <w:sz w:val="18"/>
              </w:rPr>
              <w:t>—</w:t>
            </w:r>
          </w:p>
        </w:tc>
        <w:tc>
          <w:tcPr>
            <w:tcW w:w="70" w:type="pct"/>
            <w:vAlign w:val="bottom"/>
          </w:tcPr>
          <w:p w:rsidR="00376768" w:rsidRDefault="00376768">
            <w:pPr>
              <w:rPr>
                <w:rFonts w:ascii="Arial" w:hAnsi="Arial" w:cs="Arial"/>
                <w:sz w:val="18"/>
              </w:rPr>
            </w:pPr>
          </w:p>
        </w:tc>
      </w:tr>
      <w:tr w:rsidR="00376768">
        <w:trPr>
          <w:jc w:val="center"/>
        </w:trPr>
        <w:tc>
          <w:tcPr>
            <w:tcW w:w="3502" w:type="pct"/>
            <w:vAlign w:val="bottom"/>
          </w:tcPr>
          <w:p w:rsidR="00376768" w:rsidRDefault="00376768">
            <w:pPr>
              <w:tabs>
                <w:tab w:val="left" w:leader="dot" w:pos="8640"/>
              </w:tabs>
              <w:rPr>
                <w:rFonts w:ascii="Arial" w:hAnsi="Arial" w:cs="Arial"/>
                <w:sz w:val="18"/>
              </w:rPr>
            </w:pPr>
          </w:p>
        </w:tc>
        <w:tc>
          <w:tcPr>
            <w:tcW w:w="101" w:type="pct"/>
            <w:vAlign w:val="bottom"/>
          </w:tcPr>
          <w:p w:rsidR="00376768" w:rsidRDefault="00376768">
            <w:pPr>
              <w:rPr>
                <w:rFonts w:ascii="Arial" w:hAnsi="Arial" w:cs="Arial"/>
                <w:sz w:val="18"/>
              </w:rPr>
            </w:pPr>
          </w:p>
        </w:tc>
        <w:tc>
          <w:tcPr>
            <w:tcW w:w="70" w:type="pct"/>
            <w:vAlign w:val="bottom"/>
          </w:tcPr>
          <w:p w:rsidR="00376768" w:rsidRDefault="00376768">
            <w:pPr>
              <w:rPr>
                <w:rFonts w:ascii="Arial" w:hAnsi="Arial" w:cs="Arial"/>
                <w:sz w:val="18"/>
              </w:rPr>
            </w:pPr>
          </w:p>
        </w:tc>
        <w:tc>
          <w:tcPr>
            <w:tcW w:w="537" w:type="pct"/>
            <w:tcBorders>
              <w:top w:val="single" w:sz="4" w:space="0" w:color="auto"/>
            </w:tcBorders>
            <w:vAlign w:val="bottom"/>
          </w:tcPr>
          <w:p w:rsidR="00376768" w:rsidRDefault="00376768">
            <w:pPr>
              <w:jc w:val="right"/>
              <w:rPr>
                <w:rFonts w:ascii="Arial" w:hAnsi="Arial" w:cs="Arial"/>
                <w:sz w:val="18"/>
              </w:rPr>
            </w:pPr>
          </w:p>
        </w:tc>
        <w:tc>
          <w:tcPr>
            <w:tcW w:w="101" w:type="pct"/>
            <w:vAlign w:val="bottom"/>
          </w:tcPr>
          <w:p w:rsidR="00376768" w:rsidRDefault="00376768">
            <w:pPr>
              <w:rPr>
                <w:rFonts w:ascii="Arial" w:hAnsi="Arial" w:cs="Arial"/>
                <w:sz w:val="18"/>
              </w:rPr>
            </w:pPr>
          </w:p>
        </w:tc>
        <w:tc>
          <w:tcPr>
            <w:tcW w:w="64" w:type="pct"/>
            <w:vAlign w:val="bottom"/>
          </w:tcPr>
          <w:p w:rsidR="00376768" w:rsidRDefault="00376768">
            <w:pPr>
              <w:rPr>
                <w:rFonts w:ascii="Arial" w:hAnsi="Arial" w:cs="Arial"/>
                <w:sz w:val="18"/>
              </w:rPr>
            </w:pPr>
          </w:p>
        </w:tc>
        <w:tc>
          <w:tcPr>
            <w:tcW w:w="556" w:type="pct"/>
            <w:tcBorders>
              <w:top w:val="single" w:sz="4" w:space="0" w:color="auto"/>
            </w:tcBorders>
            <w:vAlign w:val="bottom"/>
          </w:tcPr>
          <w:p w:rsidR="00376768" w:rsidRDefault="00376768">
            <w:pPr>
              <w:jc w:val="right"/>
              <w:rPr>
                <w:rFonts w:ascii="Arial" w:hAnsi="Arial" w:cs="Arial"/>
                <w:sz w:val="18"/>
              </w:rPr>
            </w:pPr>
          </w:p>
        </w:tc>
        <w:tc>
          <w:tcPr>
            <w:tcW w:w="70" w:type="pct"/>
            <w:vAlign w:val="bottom"/>
          </w:tcPr>
          <w:p w:rsidR="00376768" w:rsidRDefault="00376768">
            <w:pPr>
              <w:rPr>
                <w:rFonts w:ascii="Arial" w:hAnsi="Arial" w:cs="Arial"/>
                <w:sz w:val="18"/>
              </w:rPr>
            </w:pPr>
          </w:p>
        </w:tc>
      </w:tr>
      <w:tr w:rsidR="00376768">
        <w:trPr>
          <w:jc w:val="center"/>
        </w:trPr>
        <w:tc>
          <w:tcPr>
            <w:tcW w:w="3502" w:type="pct"/>
            <w:vAlign w:val="bottom"/>
          </w:tcPr>
          <w:p w:rsidR="00376768" w:rsidRDefault="00EC2B72">
            <w:pPr>
              <w:tabs>
                <w:tab w:val="left" w:leader="dot" w:pos="8640"/>
              </w:tabs>
              <w:rPr>
                <w:rFonts w:ascii="Arial" w:hAnsi="Arial" w:cs="Arial"/>
                <w:sz w:val="18"/>
              </w:rPr>
            </w:pPr>
            <w:r>
              <w:rPr>
                <w:rFonts w:ascii="Arial" w:hAnsi="Arial" w:cs="Arial"/>
                <w:sz w:val="18"/>
              </w:rPr>
              <w:t>Total fees</w:t>
            </w:r>
          </w:p>
        </w:tc>
        <w:tc>
          <w:tcPr>
            <w:tcW w:w="101" w:type="pct"/>
            <w:vAlign w:val="bottom"/>
          </w:tcPr>
          <w:p w:rsidR="00376768" w:rsidRDefault="00376768">
            <w:pPr>
              <w:rPr>
                <w:rFonts w:ascii="Arial" w:hAnsi="Arial" w:cs="Arial"/>
                <w:sz w:val="18"/>
              </w:rPr>
            </w:pPr>
          </w:p>
        </w:tc>
        <w:tc>
          <w:tcPr>
            <w:tcW w:w="70" w:type="pct"/>
            <w:vAlign w:val="bottom"/>
          </w:tcPr>
          <w:p w:rsidR="00376768" w:rsidRDefault="00376768">
            <w:pPr>
              <w:rPr>
                <w:rFonts w:ascii="Arial" w:hAnsi="Arial" w:cs="Arial"/>
                <w:sz w:val="18"/>
              </w:rPr>
            </w:pPr>
          </w:p>
        </w:tc>
        <w:tc>
          <w:tcPr>
            <w:tcW w:w="537" w:type="pct"/>
            <w:tcBorders>
              <w:bottom w:val="double" w:sz="4" w:space="0" w:color="auto"/>
            </w:tcBorders>
            <w:vAlign w:val="bottom"/>
          </w:tcPr>
          <w:p w:rsidR="00376768" w:rsidRDefault="00EC2B72">
            <w:pPr>
              <w:jc w:val="right"/>
              <w:rPr>
                <w:rFonts w:ascii="Arial" w:hAnsi="Arial" w:cs="Arial"/>
                <w:sz w:val="18"/>
              </w:rPr>
            </w:pPr>
            <w:r>
              <w:rPr>
                <w:rFonts w:ascii="Arial" w:hAnsi="Arial" w:cs="Arial"/>
                <w:sz w:val="18"/>
              </w:rPr>
              <w:t>$1,557,049</w:t>
            </w:r>
          </w:p>
        </w:tc>
        <w:tc>
          <w:tcPr>
            <w:tcW w:w="101" w:type="pct"/>
            <w:vAlign w:val="bottom"/>
          </w:tcPr>
          <w:p w:rsidR="00376768" w:rsidRDefault="00376768">
            <w:pPr>
              <w:rPr>
                <w:rFonts w:ascii="Arial" w:hAnsi="Arial" w:cs="Arial"/>
                <w:sz w:val="18"/>
              </w:rPr>
            </w:pPr>
          </w:p>
        </w:tc>
        <w:tc>
          <w:tcPr>
            <w:tcW w:w="64" w:type="pct"/>
            <w:vAlign w:val="bottom"/>
          </w:tcPr>
          <w:p w:rsidR="00376768" w:rsidRDefault="00376768">
            <w:pPr>
              <w:rPr>
                <w:rFonts w:ascii="Arial" w:hAnsi="Arial" w:cs="Arial"/>
                <w:sz w:val="18"/>
              </w:rPr>
            </w:pPr>
          </w:p>
        </w:tc>
        <w:tc>
          <w:tcPr>
            <w:tcW w:w="556" w:type="pct"/>
            <w:tcBorders>
              <w:bottom w:val="double" w:sz="4" w:space="0" w:color="auto"/>
            </w:tcBorders>
            <w:vAlign w:val="bottom"/>
          </w:tcPr>
          <w:p w:rsidR="00376768" w:rsidRDefault="00EC2B72">
            <w:pPr>
              <w:jc w:val="right"/>
              <w:rPr>
                <w:rFonts w:ascii="Arial" w:hAnsi="Arial" w:cs="Arial"/>
                <w:sz w:val="18"/>
              </w:rPr>
            </w:pPr>
            <w:r>
              <w:rPr>
                <w:rFonts w:ascii="Arial" w:hAnsi="Arial" w:cs="Arial"/>
                <w:sz w:val="18"/>
              </w:rPr>
              <w:t>$1,542,145</w:t>
            </w:r>
          </w:p>
        </w:tc>
        <w:tc>
          <w:tcPr>
            <w:tcW w:w="70" w:type="pct"/>
            <w:vAlign w:val="bottom"/>
          </w:tcPr>
          <w:p w:rsidR="00376768" w:rsidRDefault="00376768">
            <w:pPr>
              <w:rPr>
                <w:rFonts w:ascii="Arial" w:hAnsi="Arial" w:cs="Arial"/>
                <w:sz w:val="18"/>
              </w:rPr>
            </w:pPr>
          </w:p>
        </w:tc>
      </w:tr>
    </w:tbl>
    <w:p w:rsidR="00376768" w:rsidRDefault="00EC2B72">
      <w:pPr>
        <w:spacing w:before="160"/>
        <w:ind w:firstLine="360"/>
        <w:jc w:val="both"/>
        <w:rPr>
          <w:rFonts w:ascii="Arial" w:hAnsi="Arial" w:cs="Arial"/>
        </w:rPr>
      </w:pPr>
      <w:r>
        <w:rPr>
          <w:rFonts w:ascii="Arial" w:hAnsi="Arial" w:cs="Arial"/>
        </w:rPr>
        <w:t>The Audit Committee reviews summaries of Ernst &amp; Young’s services and related fees and concluded that Ernst &amp; Young’s provision of audit-related services during 2016 and 2017 was compatible with maintaining Ernst &amp; Young’s independence. All Ernst &amp; Young services are pre-approved by the Audit Committee.</w:t>
      </w:r>
    </w:p>
    <w:p w:rsidR="00376768" w:rsidRDefault="00EC2B72">
      <w:pPr>
        <w:spacing w:before="160"/>
        <w:rPr>
          <w:rFonts w:ascii="Arial" w:hAnsi="Arial" w:cs="Arial"/>
          <w:b/>
          <w:bCs/>
        </w:rPr>
      </w:pPr>
      <w:r>
        <w:rPr>
          <w:rFonts w:ascii="Arial" w:hAnsi="Arial" w:cs="Arial"/>
          <w:b/>
          <w:bCs/>
          <w:i/>
          <w:iCs/>
        </w:rPr>
        <w:t xml:space="preserve">Policy </w:t>
      </w:r>
      <w:bookmarkStart w:id="9" w:name="a009_v1"/>
      <w:bookmarkEnd w:id="9"/>
      <w:r>
        <w:rPr>
          <w:rFonts w:ascii="Arial" w:hAnsi="Arial" w:cs="Arial"/>
          <w:b/>
          <w:bCs/>
          <w:i/>
          <w:iCs/>
        </w:rPr>
        <w:t>for Approval of Audit and Permitted Non-Audit Services</w:t>
      </w:r>
    </w:p>
    <w:p w:rsidR="00376768" w:rsidRDefault="00EC2B72">
      <w:pPr>
        <w:spacing w:before="160"/>
        <w:ind w:firstLine="360"/>
        <w:jc w:val="both"/>
        <w:rPr>
          <w:rFonts w:ascii="Arial" w:hAnsi="Arial" w:cs="Arial"/>
        </w:rPr>
      </w:pPr>
      <w:r>
        <w:rPr>
          <w:rFonts w:ascii="Arial" w:hAnsi="Arial" w:cs="Arial"/>
        </w:rPr>
        <w:t xml:space="preserve">The Audit Committee’s policy is to review in advance, and grant any appropriate pre-approvals of (i) all audit services to be performed by the independent auditor and (ii) all non-audit services to be provided by the independent registered public accounting firm as permitted by Section 10A of the Exchange Act, and, in connection therewith, to approve all fees and other terms of such engagement, provided that pre-approval of de </w:t>
      </w:r>
      <w:proofErr w:type="spellStart"/>
      <w:r>
        <w:rPr>
          <w:rFonts w:ascii="Arial" w:hAnsi="Arial" w:cs="Arial"/>
        </w:rPr>
        <w:t>minimis</w:t>
      </w:r>
      <w:proofErr w:type="spellEnd"/>
      <w:r>
        <w:rPr>
          <w:rFonts w:ascii="Arial" w:hAnsi="Arial" w:cs="Arial"/>
        </w:rPr>
        <w:t xml:space="preserve"> services shall not be required to the extent provided by, and subject to the requirements of, the Exchange Act. The Audit Committee will consider annually for pre-approval a list of specific services and categories of services, including audit and audit-related services, for the upcoming or current fiscal year. All non-audit services are approved by the Audit Committee in advance in accordance with the policy on a case-by-case basis. Any service that is not included in the approved list of services or that does not fit within the definition of a pre-approved service is required to be presented separately to the Audit Committee for consideration at its next regular meeting or, if earlier consideration is required, by other more expeditious means of communication. If the estimated fees for non-audit services are $50,000 or less, management may obtain approval from the Chairman of the Audit Committee in lieu of full Committee action. In 2017, all Ernst &amp; Young professional fees were pre-approved in accordance with the Company’s pre-approval policies then in place.</w:t>
      </w:r>
    </w:p>
    <w:p w:rsidR="00376768" w:rsidRDefault="00EC2B72">
      <w:pPr>
        <w:jc w:val="center"/>
        <w:rPr>
          <w:rFonts w:ascii="Arial" w:hAnsi="Arial" w:cs="Arial"/>
          <w:szCs w:val="20"/>
        </w:rPr>
      </w:pPr>
      <w:r>
        <w:rPr>
          <w:rFonts w:ascii="Arial" w:hAnsi="Arial" w:cs="Arial"/>
        </w:rPr>
        <w:br w:type="page"/>
      </w:r>
      <w:r>
        <w:rPr>
          <w:rFonts w:ascii="Arial" w:hAnsi="Arial" w:cs="Arial"/>
          <w:b/>
          <w:bCs/>
          <w:szCs w:val="20"/>
        </w:rPr>
        <w:lastRenderedPageBreak/>
        <w:t>C</w:t>
      </w:r>
      <w:bookmarkStart w:id="10" w:name="a010_v1"/>
      <w:bookmarkEnd w:id="10"/>
      <w:r>
        <w:rPr>
          <w:rFonts w:ascii="Arial" w:hAnsi="Arial" w:cs="Arial"/>
          <w:b/>
          <w:bCs/>
          <w:szCs w:val="20"/>
        </w:rPr>
        <w:t>ORPORATE GOVERNANCE</w:t>
      </w:r>
    </w:p>
    <w:p w:rsidR="00376768" w:rsidRDefault="00EC2B72">
      <w:pPr>
        <w:spacing w:before="160"/>
        <w:jc w:val="both"/>
        <w:rPr>
          <w:rFonts w:ascii="Arial" w:hAnsi="Arial" w:cs="Arial"/>
          <w:szCs w:val="20"/>
        </w:rPr>
      </w:pPr>
      <w:r>
        <w:rPr>
          <w:rFonts w:ascii="Arial" w:hAnsi="Arial" w:cs="Arial"/>
          <w:b/>
          <w:bCs/>
          <w:i/>
          <w:iCs/>
          <w:szCs w:val="20"/>
        </w:rPr>
        <w:t>The Bo</w:t>
      </w:r>
      <w:bookmarkStart w:id="11" w:name="a011_v1"/>
      <w:bookmarkEnd w:id="11"/>
      <w:r>
        <w:rPr>
          <w:rFonts w:ascii="Arial" w:hAnsi="Arial" w:cs="Arial"/>
          <w:b/>
          <w:bCs/>
          <w:i/>
          <w:iCs/>
          <w:szCs w:val="20"/>
        </w:rPr>
        <w:t>ard, Board Meetings, Independence, and Tenure</w:t>
      </w:r>
    </w:p>
    <w:p w:rsidR="00376768" w:rsidRDefault="00EC2B72">
      <w:pPr>
        <w:spacing w:before="160"/>
        <w:ind w:firstLine="360"/>
        <w:jc w:val="both"/>
        <w:rPr>
          <w:rFonts w:ascii="Arial" w:hAnsi="Arial" w:cs="Arial"/>
          <w:szCs w:val="20"/>
        </w:rPr>
      </w:pPr>
      <w:r>
        <w:rPr>
          <w:rFonts w:ascii="Arial" w:hAnsi="Arial" w:cs="Arial"/>
          <w:szCs w:val="20"/>
        </w:rPr>
        <w:t>Since the 2016 Annual Meeting, the Board size has been eight members. During 2017, the Board held five meetings. The Board has determined that all of the directors, except Mr. Robert P. Bauer, qualify as “independent” as defined by applicable NASDAQ Stock Market (“NASDAQ”) rules, considered the independence criteria set forth in the NASDAQ rules as to compensation committee members before determining the independence of all of the members of the Compensation Committee, and also determined that all members of the Audit Committee qualify as “independent” for purposes of the rules promulgated under the Exchange Act specifically related to audit committee member independence. In making these determinations, the Board concluded that none of its directors (other than Mr. Bauer) has a relationship which, in the opinion of the Board, would interfere with the exercise of independent judgment in carrying out a director’s responsibilities. The Company’s Corporate Governance Guidelines do not establish term limits that could deprive the Company of the insight developed by Board members over time, but rather provides for periodic reviews of each incumbent’s performance. Additionally, except for special circumstances as may be determined by the Board, since December 2017, no director may be nominated for reelection to the Board if he or she would be age 75 or older at the time of election.</w:t>
      </w:r>
    </w:p>
    <w:p w:rsidR="00376768" w:rsidRDefault="00EC2B72">
      <w:pPr>
        <w:spacing w:before="160"/>
        <w:jc w:val="both"/>
        <w:rPr>
          <w:rFonts w:ascii="Arial" w:hAnsi="Arial" w:cs="Arial"/>
          <w:szCs w:val="20"/>
        </w:rPr>
      </w:pPr>
      <w:r>
        <w:rPr>
          <w:rFonts w:ascii="Arial" w:hAnsi="Arial" w:cs="Arial"/>
          <w:b/>
          <w:bCs/>
          <w:i/>
          <w:iCs/>
          <w:szCs w:val="20"/>
        </w:rPr>
        <w:t>Bo</w:t>
      </w:r>
      <w:bookmarkStart w:id="12" w:name="a012_v1"/>
      <w:bookmarkEnd w:id="12"/>
      <w:r>
        <w:rPr>
          <w:rFonts w:ascii="Arial" w:hAnsi="Arial" w:cs="Arial"/>
          <w:b/>
          <w:bCs/>
          <w:i/>
          <w:iCs/>
          <w:szCs w:val="20"/>
        </w:rPr>
        <w:t>ard Leadership Structure</w:t>
      </w:r>
    </w:p>
    <w:p w:rsidR="00376768" w:rsidRDefault="00EC2B72">
      <w:pPr>
        <w:spacing w:before="160"/>
        <w:ind w:firstLine="360"/>
        <w:jc w:val="both"/>
        <w:rPr>
          <w:rFonts w:ascii="Arial" w:hAnsi="Arial" w:cs="Arial"/>
          <w:szCs w:val="20"/>
        </w:rPr>
      </w:pPr>
      <w:r>
        <w:rPr>
          <w:rFonts w:ascii="Arial" w:hAnsi="Arial" w:cs="Arial"/>
          <w:szCs w:val="20"/>
        </w:rPr>
        <w:t>Under the NASDAQ rules, Mr. Foster, Chairman of the Board, qualifies as an “independent” director since his employment with the Company ended on May 27, 2008. The Board has evaluated Mr. Foster’s independence in the same manner as all other directors and strongly believes that he is “independent” and that his economic interests are more closely aligned with those of the Company’s shareholders than with those of management. Although the Board does not necessarily object to combining the roles of Chairman of the Board and Chief Executive Officer (“CEO”), the Board has chosen not to combine those positions because it believes that Mr. Foster’s depth of experience and his detachment from management make Mr. Foster the best qualified individual to serve as Chairman of the Board. Since the Chairman of the Board and CEO roles are not combined, the Board has determined there is no need for a “lead independent director” position.</w:t>
      </w:r>
    </w:p>
    <w:p w:rsidR="00376768" w:rsidRDefault="00EC2B72">
      <w:pPr>
        <w:spacing w:before="160"/>
        <w:jc w:val="both"/>
        <w:rPr>
          <w:rFonts w:ascii="Arial" w:hAnsi="Arial" w:cs="Arial"/>
          <w:szCs w:val="20"/>
        </w:rPr>
      </w:pPr>
      <w:r>
        <w:rPr>
          <w:rFonts w:ascii="Arial" w:hAnsi="Arial" w:cs="Arial"/>
          <w:b/>
          <w:bCs/>
          <w:i/>
          <w:iCs/>
          <w:szCs w:val="20"/>
        </w:rPr>
        <w:t>B</w:t>
      </w:r>
      <w:bookmarkStart w:id="13" w:name="a013_v1"/>
      <w:bookmarkEnd w:id="13"/>
      <w:r>
        <w:rPr>
          <w:rFonts w:ascii="Arial" w:hAnsi="Arial" w:cs="Arial"/>
          <w:b/>
          <w:bCs/>
          <w:i/>
          <w:iCs/>
          <w:szCs w:val="20"/>
        </w:rPr>
        <w:t>oard Attendance</w:t>
      </w:r>
    </w:p>
    <w:p w:rsidR="00376768" w:rsidRDefault="00EC2B72">
      <w:pPr>
        <w:spacing w:before="160"/>
        <w:ind w:firstLine="360"/>
        <w:jc w:val="both"/>
        <w:rPr>
          <w:rFonts w:ascii="Arial" w:hAnsi="Arial" w:cs="Arial"/>
          <w:szCs w:val="20"/>
        </w:rPr>
      </w:pPr>
      <w:r>
        <w:rPr>
          <w:rFonts w:ascii="Arial" w:hAnsi="Arial" w:cs="Arial"/>
          <w:szCs w:val="20"/>
        </w:rPr>
        <w:t>The Company’s Corporate Governance Guidelines include an expectation that the directors regularly attend shareholders’ meetings. In 2017, each currently serving director attended the 2017 Annual Meeting of Shareholders.</w:t>
      </w:r>
    </w:p>
    <w:p w:rsidR="00376768" w:rsidRDefault="00EC2B72">
      <w:pPr>
        <w:spacing w:before="160"/>
        <w:ind w:firstLine="360"/>
        <w:jc w:val="both"/>
        <w:rPr>
          <w:rFonts w:ascii="Arial" w:hAnsi="Arial" w:cs="Arial"/>
          <w:szCs w:val="20"/>
        </w:rPr>
      </w:pPr>
      <w:r>
        <w:rPr>
          <w:rFonts w:ascii="Arial" w:hAnsi="Arial" w:cs="Arial"/>
          <w:szCs w:val="20"/>
        </w:rPr>
        <w:t>All of the directors attended 100% of the meetings of the Board and the committees on which they served in 2017 (to the extent such directors were serving on the Board or such committees at the times of those meetings).</w:t>
      </w:r>
    </w:p>
    <w:p w:rsidR="00376768" w:rsidRDefault="00EC2B72">
      <w:pPr>
        <w:spacing w:before="160"/>
        <w:jc w:val="both"/>
        <w:rPr>
          <w:rFonts w:ascii="Arial" w:hAnsi="Arial" w:cs="Arial"/>
          <w:szCs w:val="20"/>
        </w:rPr>
      </w:pPr>
      <w:r>
        <w:rPr>
          <w:rFonts w:ascii="Arial" w:hAnsi="Arial" w:cs="Arial"/>
          <w:b/>
          <w:bCs/>
          <w:i/>
          <w:iCs/>
          <w:szCs w:val="20"/>
        </w:rPr>
        <w:t>Boa</w:t>
      </w:r>
      <w:bookmarkStart w:id="14" w:name="a014_v1"/>
      <w:bookmarkEnd w:id="14"/>
      <w:r>
        <w:rPr>
          <w:rFonts w:ascii="Arial" w:hAnsi="Arial" w:cs="Arial"/>
          <w:b/>
          <w:bCs/>
          <w:i/>
          <w:iCs/>
          <w:szCs w:val="20"/>
        </w:rPr>
        <w:t>rd’s Role in Risk Oversight</w:t>
      </w:r>
    </w:p>
    <w:p w:rsidR="00376768" w:rsidRDefault="00EC2B72">
      <w:pPr>
        <w:spacing w:before="160" w:after="100"/>
        <w:ind w:firstLine="360"/>
        <w:jc w:val="both"/>
        <w:rPr>
          <w:rFonts w:ascii="Arial" w:hAnsi="Arial" w:cs="Arial"/>
          <w:szCs w:val="20"/>
        </w:rPr>
      </w:pPr>
      <w:r>
        <w:rPr>
          <w:rFonts w:ascii="Arial" w:hAnsi="Arial" w:cs="Arial"/>
          <w:szCs w:val="20"/>
        </w:rPr>
        <w:t>The Board is actively involved in overseeing risk management. Operational and strategic presentations by management to the Board include consideration of the challenges and risks to the Company’s business, which are discussed by the Board and management. The Board also reviews and discusses management reports which specifically address risk topics. The CEO, assisted by senior management, is the “risk officer” responsible for managing and mitigating the Company’s risks.</w:t>
      </w:r>
    </w:p>
    <w:p w:rsidR="00376768" w:rsidRDefault="00EC2B72">
      <w:pPr>
        <w:spacing w:before="160"/>
        <w:ind w:firstLine="360"/>
        <w:jc w:val="both"/>
        <w:rPr>
          <w:rFonts w:ascii="Arial" w:hAnsi="Arial" w:cs="Arial"/>
          <w:szCs w:val="20"/>
        </w:rPr>
      </w:pPr>
      <w:r>
        <w:rPr>
          <w:rFonts w:ascii="Arial" w:hAnsi="Arial" w:cs="Arial"/>
          <w:szCs w:val="20"/>
        </w:rPr>
        <w:t>In addition, each of our Board committees considers risks that are relevant to the areas within its jurisdiction. For example, the Audit Committee periodically requests that management address critical accounting issues and then considers the impact these issues may have on the Company’s financial position and risk profile. The Audit Committee also assesses the adequacy of internal controls. The Compensation Committee develops executive compensation programs with a view toward providing incentives that are aligned with key performance results, without encouraging excessive risks. On an annual basis, the Nomination and Governance Committee oversees risk by reviewing the structure and function of the Board committees.</w:t>
      </w:r>
    </w:p>
    <w:p w:rsidR="00376768" w:rsidRDefault="00EC2B72">
      <w:pPr>
        <w:spacing w:before="160"/>
        <w:jc w:val="both"/>
        <w:rPr>
          <w:rFonts w:ascii="Arial" w:hAnsi="Arial" w:cs="Arial"/>
          <w:szCs w:val="20"/>
        </w:rPr>
      </w:pPr>
      <w:r>
        <w:rPr>
          <w:rFonts w:ascii="Arial" w:hAnsi="Arial" w:cs="Arial"/>
          <w:b/>
          <w:bCs/>
          <w:i/>
          <w:iCs/>
          <w:szCs w:val="20"/>
        </w:rPr>
        <w:t>Di</w:t>
      </w:r>
      <w:bookmarkStart w:id="15" w:name="a015_v1"/>
      <w:bookmarkEnd w:id="15"/>
      <w:r>
        <w:rPr>
          <w:rFonts w:ascii="Arial" w:hAnsi="Arial" w:cs="Arial"/>
          <w:b/>
          <w:bCs/>
          <w:i/>
          <w:iCs/>
          <w:szCs w:val="20"/>
        </w:rPr>
        <w:t>versity</w:t>
      </w:r>
    </w:p>
    <w:p w:rsidR="00376768" w:rsidRDefault="00EC2B72">
      <w:pPr>
        <w:spacing w:before="160"/>
        <w:ind w:firstLine="360"/>
        <w:jc w:val="both"/>
        <w:rPr>
          <w:rFonts w:ascii="Arial" w:hAnsi="Arial" w:cs="Arial"/>
          <w:szCs w:val="20"/>
        </w:rPr>
      </w:pPr>
      <w:r>
        <w:rPr>
          <w:rFonts w:ascii="Arial" w:hAnsi="Arial" w:cs="Arial"/>
          <w:szCs w:val="20"/>
        </w:rPr>
        <w:t>Although not part of any formal policy, our goal is to maintain a diverse Board, with directors possessing complementary skills and experiences who together can address the issues which affect our Company.</w:t>
      </w:r>
    </w:p>
    <w:p w:rsidR="00376768" w:rsidRDefault="00EC2B72">
      <w:pPr>
        <w:spacing w:before="160"/>
        <w:jc w:val="both"/>
        <w:rPr>
          <w:rFonts w:ascii="Arial" w:hAnsi="Arial" w:cs="Arial"/>
          <w:szCs w:val="20"/>
        </w:rPr>
      </w:pPr>
      <w:r>
        <w:rPr>
          <w:rFonts w:ascii="Arial" w:hAnsi="Arial" w:cs="Arial"/>
          <w:b/>
          <w:bCs/>
          <w:i/>
          <w:iCs/>
          <w:szCs w:val="20"/>
        </w:rPr>
        <w:t>Co</w:t>
      </w:r>
      <w:bookmarkStart w:id="16" w:name="a016_v1"/>
      <w:bookmarkEnd w:id="16"/>
      <w:r>
        <w:rPr>
          <w:rFonts w:ascii="Arial" w:hAnsi="Arial" w:cs="Arial"/>
          <w:b/>
          <w:bCs/>
          <w:i/>
          <w:iCs/>
          <w:szCs w:val="20"/>
        </w:rPr>
        <w:t>mmunications with Directors</w:t>
      </w:r>
    </w:p>
    <w:p w:rsidR="00376768" w:rsidRDefault="00EC2B72">
      <w:pPr>
        <w:spacing w:before="160"/>
        <w:ind w:firstLine="360"/>
        <w:jc w:val="both"/>
        <w:rPr>
          <w:rFonts w:ascii="Arial" w:hAnsi="Arial" w:cs="Arial"/>
          <w:szCs w:val="20"/>
        </w:rPr>
      </w:pPr>
      <w:r>
        <w:rPr>
          <w:rFonts w:ascii="Arial" w:hAnsi="Arial" w:cs="Arial"/>
          <w:szCs w:val="20"/>
        </w:rPr>
        <w:t xml:space="preserve">Shareholders and other parties interested in communicating directly with the Chairman of the Board or with the non-management directors as a group may do so by writing to L.B. Foster Company, 415 Holiday Drive, Pittsburgh, PA 15220, Attn: Chairman of the Board or Attn: Independent Directors; such parties may also email the Corporate Secretary at </w:t>
      </w:r>
      <w:r>
        <w:rPr>
          <w:rFonts w:ascii="Arial" w:hAnsi="Arial" w:cs="Arial"/>
          <w:szCs w:val="20"/>
          <w:u w:val="single"/>
        </w:rPr>
        <w:t>corporatesecretary@lbfoster.com</w:t>
      </w:r>
      <w:r>
        <w:rPr>
          <w:rFonts w:ascii="Arial" w:hAnsi="Arial" w:cs="Arial"/>
          <w:szCs w:val="20"/>
        </w:rPr>
        <w:t xml:space="preserve">. The Corporate Secretary of the Company will review all such correspondence and shall </w:t>
      </w:r>
      <w:r>
        <w:rPr>
          <w:rFonts w:ascii="Arial" w:hAnsi="Arial" w:cs="Arial"/>
          <w:szCs w:val="20"/>
        </w:rPr>
        <w:lastRenderedPageBreak/>
        <w:t>regularly forward to the Board a summary of all such correspondence and copies of all correspondence that, in the opinion of the Corporate Secretary, deal with the functions of the Board or committees thereof or that otherwise require the Board’s attention. Directors may at any time review a log of all correspondence received by the Company that is addressed to members of the Board and request copies of any such correspondence. Concerns relating to accounting, internal controls, or auditing are referred to the Audit Committee Chair who may direct such matters to the Company’s internal audit department or handle them in accordance with procedures established by the Audit Committee for such matters.</w:t>
      </w:r>
    </w:p>
    <w:p w:rsidR="00376768" w:rsidRDefault="00EC2B72">
      <w:pPr>
        <w:spacing w:before="160"/>
        <w:jc w:val="both"/>
        <w:rPr>
          <w:rFonts w:ascii="Arial" w:hAnsi="Arial" w:cs="Arial"/>
          <w:szCs w:val="20"/>
        </w:rPr>
      </w:pPr>
      <w:r>
        <w:rPr>
          <w:rFonts w:ascii="Arial" w:hAnsi="Arial" w:cs="Arial"/>
          <w:b/>
          <w:bCs/>
          <w:i/>
          <w:iCs/>
          <w:szCs w:val="20"/>
        </w:rPr>
        <w:t>B</w:t>
      </w:r>
      <w:bookmarkStart w:id="17" w:name="a017_v1"/>
      <w:bookmarkEnd w:id="17"/>
      <w:r>
        <w:rPr>
          <w:rFonts w:ascii="Arial" w:hAnsi="Arial" w:cs="Arial"/>
          <w:b/>
          <w:bCs/>
          <w:i/>
          <w:iCs/>
          <w:szCs w:val="20"/>
        </w:rPr>
        <w:t>oard Committees</w:t>
      </w:r>
    </w:p>
    <w:p w:rsidR="00376768" w:rsidRDefault="00EC2B72">
      <w:pPr>
        <w:spacing w:before="160"/>
        <w:ind w:firstLine="360"/>
        <w:jc w:val="both"/>
        <w:rPr>
          <w:rFonts w:ascii="Arial" w:hAnsi="Arial" w:cs="Arial"/>
          <w:szCs w:val="20"/>
        </w:rPr>
      </w:pPr>
      <w:r>
        <w:rPr>
          <w:rFonts w:ascii="Arial" w:hAnsi="Arial" w:cs="Arial"/>
          <w:szCs w:val="20"/>
        </w:rPr>
        <w:t>Historically, the Board has had three standing committees: the Audit Committee, the Compensation Committee, and the Nomination and Governance Committee, each of which is comprised of independent directors, as defined by applicable SEC, NASDAQ, and Internal Revenue Code rules. Each of the committees has a written charter approved by the Board. In October 2016, the Board created a Strategy Committee and approved a written charter for its operation.</w:t>
      </w:r>
    </w:p>
    <w:p w:rsidR="00376768" w:rsidRDefault="00EC2B72">
      <w:pPr>
        <w:spacing w:before="160"/>
        <w:jc w:val="both"/>
        <w:rPr>
          <w:rFonts w:ascii="Arial" w:hAnsi="Arial" w:cs="Arial"/>
          <w:szCs w:val="20"/>
        </w:rPr>
      </w:pPr>
      <w:r>
        <w:rPr>
          <w:rFonts w:ascii="Arial" w:hAnsi="Arial" w:cs="Arial"/>
          <w:i/>
          <w:iCs/>
          <w:szCs w:val="20"/>
        </w:rPr>
        <w:t>Audit Committee</w:t>
      </w:r>
    </w:p>
    <w:p w:rsidR="00376768" w:rsidRDefault="00EC2B72">
      <w:pPr>
        <w:spacing w:before="160" w:after="100"/>
        <w:ind w:firstLine="360"/>
        <w:jc w:val="both"/>
        <w:rPr>
          <w:rFonts w:ascii="Arial" w:hAnsi="Arial" w:cs="Arial"/>
          <w:szCs w:val="20"/>
        </w:rPr>
      </w:pPr>
      <w:r>
        <w:rPr>
          <w:rFonts w:ascii="Arial" w:hAnsi="Arial" w:cs="Arial"/>
          <w:szCs w:val="20"/>
        </w:rPr>
        <w:t xml:space="preserve">The current members of the Audit Committee are Ms. Owen (Chair), Mr. </w:t>
      </w:r>
      <w:proofErr w:type="spellStart"/>
      <w:r>
        <w:rPr>
          <w:rFonts w:ascii="Arial" w:hAnsi="Arial" w:cs="Arial"/>
          <w:szCs w:val="20"/>
        </w:rPr>
        <w:t>Rackoff</w:t>
      </w:r>
      <w:proofErr w:type="spellEnd"/>
      <w:r>
        <w:rPr>
          <w:rFonts w:ascii="Arial" w:hAnsi="Arial" w:cs="Arial"/>
          <w:szCs w:val="20"/>
        </w:rPr>
        <w:t>, and Ms. Rowland. The Board has determined that Ms. Owen is an “audit committee financial expert” as defined under applicable rules of the SEC.</w:t>
      </w:r>
    </w:p>
    <w:p w:rsidR="00376768" w:rsidRDefault="00EC2B72">
      <w:pPr>
        <w:spacing w:before="160"/>
        <w:ind w:firstLine="360"/>
        <w:jc w:val="both"/>
        <w:rPr>
          <w:rFonts w:ascii="Arial" w:hAnsi="Arial" w:cs="Arial"/>
          <w:szCs w:val="20"/>
        </w:rPr>
      </w:pPr>
      <w:r>
        <w:rPr>
          <w:rFonts w:ascii="Arial" w:hAnsi="Arial" w:cs="Arial"/>
          <w:szCs w:val="20"/>
        </w:rPr>
        <w:t xml:space="preserve">The Audit Committee, which held five meetings during 2017, one of which was telephonic, is responsible for overseeing, with management, the work and findings of the independent registered public accounting firm, as well as the effectiveness of the Company’s internal auditing department and the adequacy of our internal controls and the accounting principles employed in financial reporting. The Audit Committee also is responsible for the appointment and compensation of our independent registered public accounting firm and for reviewing and, if appropriate, approving transactions with related persons. The Audit Committee’s Charter is posted on the Company’s website, </w:t>
      </w:r>
      <w:r>
        <w:rPr>
          <w:rFonts w:ascii="Arial" w:hAnsi="Arial" w:cs="Arial"/>
          <w:b/>
          <w:bCs/>
          <w:szCs w:val="20"/>
          <w:u w:val="single"/>
        </w:rPr>
        <w:t>www.lbfoster.com</w:t>
      </w:r>
      <w:r>
        <w:rPr>
          <w:rFonts w:ascii="Arial" w:hAnsi="Arial" w:cs="Arial"/>
          <w:szCs w:val="20"/>
        </w:rPr>
        <w:t>.</w:t>
      </w:r>
    </w:p>
    <w:p w:rsidR="00376768" w:rsidRDefault="00EC2B72">
      <w:pPr>
        <w:spacing w:before="160"/>
        <w:jc w:val="both"/>
        <w:rPr>
          <w:rFonts w:ascii="Arial" w:hAnsi="Arial" w:cs="Arial"/>
          <w:szCs w:val="20"/>
        </w:rPr>
      </w:pPr>
      <w:r>
        <w:rPr>
          <w:rFonts w:ascii="Arial" w:hAnsi="Arial" w:cs="Arial"/>
          <w:i/>
          <w:iCs/>
          <w:szCs w:val="20"/>
        </w:rPr>
        <w:t>Compensation Committee</w:t>
      </w:r>
    </w:p>
    <w:p w:rsidR="00376768" w:rsidRDefault="00EC2B72">
      <w:pPr>
        <w:spacing w:before="160"/>
        <w:ind w:firstLine="360"/>
        <w:jc w:val="both"/>
        <w:rPr>
          <w:rFonts w:ascii="Arial" w:hAnsi="Arial" w:cs="Arial"/>
          <w:szCs w:val="20"/>
        </w:rPr>
      </w:pPr>
      <w:r>
        <w:rPr>
          <w:rFonts w:ascii="Arial" w:hAnsi="Arial" w:cs="Arial"/>
          <w:szCs w:val="20"/>
        </w:rPr>
        <w:t xml:space="preserve">The current members of the Compensation Committee are Messrs. </w:t>
      </w:r>
      <w:proofErr w:type="spellStart"/>
      <w:r>
        <w:rPr>
          <w:rFonts w:ascii="Arial" w:hAnsi="Arial" w:cs="Arial"/>
          <w:szCs w:val="20"/>
        </w:rPr>
        <w:t>Rackoff</w:t>
      </w:r>
      <w:proofErr w:type="spellEnd"/>
      <w:r>
        <w:rPr>
          <w:rFonts w:ascii="Arial" w:hAnsi="Arial" w:cs="Arial"/>
          <w:szCs w:val="20"/>
        </w:rPr>
        <w:t xml:space="preserve"> (Chair), </w:t>
      </w:r>
      <w:proofErr w:type="spellStart"/>
      <w:r>
        <w:rPr>
          <w:rFonts w:ascii="Arial" w:hAnsi="Arial" w:cs="Arial"/>
          <w:szCs w:val="20"/>
        </w:rPr>
        <w:t>Jungé</w:t>
      </w:r>
      <w:proofErr w:type="spellEnd"/>
      <w:r>
        <w:rPr>
          <w:rFonts w:ascii="Arial" w:hAnsi="Arial" w:cs="Arial"/>
          <w:szCs w:val="20"/>
        </w:rPr>
        <w:t xml:space="preserve">, and </w:t>
      </w:r>
      <w:proofErr w:type="spellStart"/>
      <w:r>
        <w:rPr>
          <w:rFonts w:ascii="Arial" w:hAnsi="Arial" w:cs="Arial"/>
          <w:szCs w:val="20"/>
        </w:rPr>
        <w:t>Vizi</w:t>
      </w:r>
      <w:proofErr w:type="spellEnd"/>
      <w:r>
        <w:rPr>
          <w:rFonts w:ascii="Arial" w:hAnsi="Arial" w:cs="Arial"/>
          <w:szCs w:val="20"/>
        </w:rPr>
        <w:t xml:space="preserve"> and Ms. Owen.</w:t>
      </w:r>
    </w:p>
    <w:p w:rsidR="00376768" w:rsidRDefault="00EC2B72">
      <w:pPr>
        <w:spacing w:before="160"/>
        <w:ind w:firstLine="360"/>
        <w:jc w:val="both"/>
        <w:rPr>
          <w:rFonts w:ascii="Arial" w:hAnsi="Arial" w:cs="Arial"/>
          <w:szCs w:val="20"/>
        </w:rPr>
      </w:pPr>
      <w:r>
        <w:rPr>
          <w:rFonts w:ascii="Arial" w:hAnsi="Arial" w:cs="Arial"/>
          <w:szCs w:val="20"/>
        </w:rPr>
        <w:t xml:space="preserve">The Compensation Committee, which met on six occasions in 2017, two of which were telephonic, is responsible for approving executive compensation programs, officer compensation (and submits the CEO’s compensation for ratification by the Board), and equity awards to employees. The Compensation Committee has the authority under its charter to delegate its duties and responsibilities (or functions) to one or more members of the Committee or the Board, or to the Company’s officers, when appropriate, but no such delegation shall be permitted if the authority is required by law, regulation, or listing standard to be exercised by the Compensation Committee as a whole or is otherwise prohibited by law, regulation or listing standard. The Compensation Committee has delegated authority to the Company’s CEO to grant restricted stock awards under the 2006 Omnibus Incentive Plan to non-executive employees in an amount not to exceed 15,250 shares. The Compensation Committee’s Charter is available at the Company’s website </w:t>
      </w:r>
      <w:r>
        <w:rPr>
          <w:rFonts w:ascii="Arial" w:hAnsi="Arial" w:cs="Arial"/>
          <w:b/>
          <w:bCs/>
          <w:szCs w:val="20"/>
          <w:u w:val="single"/>
        </w:rPr>
        <w:t>www.lbfoster.com</w:t>
      </w:r>
      <w:r>
        <w:rPr>
          <w:rFonts w:ascii="Arial" w:hAnsi="Arial" w:cs="Arial"/>
          <w:szCs w:val="20"/>
        </w:rPr>
        <w:t>.</w:t>
      </w:r>
    </w:p>
    <w:p w:rsidR="00376768" w:rsidRDefault="00EC2B72">
      <w:pPr>
        <w:spacing w:before="160"/>
        <w:ind w:firstLine="360"/>
        <w:jc w:val="both"/>
        <w:rPr>
          <w:rFonts w:ascii="Arial" w:hAnsi="Arial" w:cs="Arial"/>
          <w:szCs w:val="20"/>
        </w:rPr>
      </w:pPr>
      <w:r>
        <w:rPr>
          <w:rFonts w:ascii="Arial" w:hAnsi="Arial" w:cs="Arial"/>
          <w:szCs w:val="20"/>
        </w:rPr>
        <w:t>The Compensation Committee currently uses a “Comparator Group” of twenty similarly-sized companies based on the recommendation of the Committee’s executive compensation consultant, identified in the “Compensation Discussion and Analysis” section of this Proxy Statement.</w:t>
      </w:r>
    </w:p>
    <w:p w:rsidR="00376768" w:rsidRDefault="00EC2B72">
      <w:pPr>
        <w:spacing w:before="160"/>
        <w:ind w:firstLine="360"/>
        <w:jc w:val="both"/>
        <w:rPr>
          <w:rFonts w:ascii="Arial" w:hAnsi="Arial" w:cs="Arial"/>
          <w:szCs w:val="20"/>
        </w:rPr>
      </w:pPr>
      <w:r>
        <w:rPr>
          <w:rFonts w:ascii="Arial" w:hAnsi="Arial" w:cs="Arial"/>
          <w:szCs w:val="20"/>
        </w:rPr>
        <w:t>The Compensation Committee has authority to engage consultants, legal counsel, and other advisors, and retained Pay Governance, LLC (“Consultant”) to provide consulting services on the Company’s executive compensation practices and appropriate levels of and structures for executive compensation. The use of a consultant provides additional assurance that our executive compensation programs are reasonable, competitive, and consistent with our objectives. The Consultant is engaged directly by the Compensation Committee, regularly participates, as appropriate, in its meetings, including executive sessions of the Committee that exclude management, and advises the Compensation Committee with respect to compensation trends and best practices, plan design, and the reasonableness of compensation awards. In addition, with respect to the CEO, the Consultant prepares specific compensation analyses for the Compensation Committee’s consideration. The CEO does not participate in the development of these analyses</w:t>
      </w:r>
      <w:r>
        <w:rPr>
          <w:rFonts w:ascii="Arial" w:hAnsi="Arial" w:cs="Arial"/>
          <w:i/>
          <w:iCs/>
          <w:szCs w:val="20"/>
        </w:rPr>
        <w:t xml:space="preserve">. </w:t>
      </w:r>
      <w:r>
        <w:rPr>
          <w:rFonts w:ascii="Arial" w:hAnsi="Arial" w:cs="Arial"/>
          <w:szCs w:val="20"/>
        </w:rPr>
        <w:t>The Consultant has served as the Committee’s independent compensation consultant since 2007, and the Committee believes that its consultant should be able to advise the Compensation Committee independent of management’s influence.</w:t>
      </w:r>
    </w:p>
    <w:p w:rsidR="00376768" w:rsidRDefault="00EC2B72">
      <w:pPr>
        <w:spacing w:before="160" w:after="100"/>
        <w:ind w:firstLine="360"/>
        <w:jc w:val="both"/>
        <w:rPr>
          <w:rFonts w:ascii="Arial" w:hAnsi="Arial" w:cs="Arial"/>
          <w:szCs w:val="20"/>
        </w:rPr>
      </w:pPr>
      <w:r>
        <w:rPr>
          <w:rFonts w:ascii="Arial" w:hAnsi="Arial" w:cs="Arial"/>
          <w:szCs w:val="20"/>
        </w:rPr>
        <w:t xml:space="preserve">For the year ended December 31, 2017, the Consultant provided no services to the Company other than executive compensation consulting services to the Compensation Committee. The Compensation Committee assessed the independence of the Consultant pursuant to SEC rules and concluded that the Consultant’s work for it does not raise a conflict of interest. At least annually, the Committee reviews the types of advice and services provided by the Consultant and the fees charged for those services. The Consultant reports directly to the Compensation Committee on all executive compensation matters; regularly meets separately with the Compensation Committee outside the presence of </w:t>
      </w:r>
      <w:r>
        <w:rPr>
          <w:rFonts w:ascii="Arial" w:hAnsi="Arial" w:cs="Arial"/>
          <w:szCs w:val="20"/>
        </w:rPr>
        <w:lastRenderedPageBreak/>
        <w:t>management; and speaks separately with the Compensation Committee chair and other Compensation Committee members between meetings, as needed.</w:t>
      </w:r>
    </w:p>
    <w:p w:rsidR="00376768" w:rsidRDefault="00EC2B72">
      <w:pPr>
        <w:spacing w:before="160"/>
        <w:ind w:firstLine="360"/>
        <w:jc w:val="both"/>
        <w:rPr>
          <w:rFonts w:ascii="Arial" w:hAnsi="Arial" w:cs="Arial"/>
          <w:szCs w:val="20"/>
        </w:rPr>
      </w:pPr>
      <w:r>
        <w:rPr>
          <w:rFonts w:ascii="Arial" w:hAnsi="Arial" w:cs="Arial"/>
          <w:szCs w:val="20"/>
        </w:rPr>
        <w:t>The Compensation Committee gives significant weight to the CEO’s recommendations regarding other executive officers’ compensation; such other executive officers are not present when their compensation is being determined. The CEO is not present when his compensation is being finally determined.</w:t>
      </w:r>
    </w:p>
    <w:p w:rsidR="00376768" w:rsidRDefault="00EC2B72">
      <w:pPr>
        <w:spacing w:before="160"/>
        <w:ind w:firstLine="360"/>
        <w:jc w:val="both"/>
        <w:rPr>
          <w:rFonts w:ascii="Arial" w:hAnsi="Arial" w:cs="Arial"/>
          <w:szCs w:val="20"/>
        </w:rPr>
      </w:pPr>
      <w:r>
        <w:rPr>
          <w:rFonts w:ascii="Arial" w:hAnsi="Arial" w:cs="Arial"/>
          <w:i/>
          <w:iCs/>
          <w:szCs w:val="20"/>
        </w:rPr>
        <w:t xml:space="preserve">Consideration of Risk </w:t>
      </w:r>
      <w:proofErr w:type="gramStart"/>
      <w:r>
        <w:rPr>
          <w:rFonts w:ascii="Arial" w:hAnsi="Arial" w:cs="Arial"/>
          <w:i/>
          <w:iCs/>
          <w:szCs w:val="20"/>
        </w:rPr>
        <w:t>Within</w:t>
      </w:r>
      <w:proofErr w:type="gramEnd"/>
      <w:r>
        <w:rPr>
          <w:rFonts w:ascii="Arial" w:hAnsi="Arial" w:cs="Arial"/>
          <w:i/>
          <w:iCs/>
          <w:szCs w:val="20"/>
        </w:rPr>
        <w:t xml:space="preserve"> Compensation Arrangements</w:t>
      </w:r>
    </w:p>
    <w:p w:rsidR="00376768" w:rsidRDefault="00EC2B72">
      <w:pPr>
        <w:spacing w:before="160"/>
        <w:ind w:firstLine="360"/>
        <w:jc w:val="both"/>
        <w:rPr>
          <w:rFonts w:ascii="Arial" w:hAnsi="Arial" w:cs="Arial"/>
          <w:szCs w:val="20"/>
        </w:rPr>
      </w:pPr>
      <w:r>
        <w:rPr>
          <w:rFonts w:ascii="Arial" w:hAnsi="Arial" w:cs="Arial"/>
          <w:szCs w:val="20"/>
        </w:rPr>
        <w:t>In designing incentive plans, the Company attempts to mitigate risk by avoiding unintended compensation windfalls. Attention is devoted to avoiding incentives to engage in excessively risky business behavior.</w:t>
      </w:r>
    </w:p>
    <w:p w:rsidR="00376768" w:rsidRDefault="00EC2B72">
      <w:pPr>
        <w:spacing w:before="160"/>
        <w:ind w:firstLine="360"/>
        <w:jc w:val="both"/>
        <w:rPr>
          <w:rFonts w:ascii="Arial" w:hAnsi="Arial" w:cs="Arial"/>
          <w:szCs w:val="20"/>
        </w:rPr>
      </w:pPr>
      <w:r>
        <w:rPr>
          <w:rFonts w:ascii="Arial" w:hAnsi="Arial" w:cs="Arial"/>
          <w:szCs w:val="20"/>
        </w:rPr>
        <w:t>The Compensation Committee has considered whether other elements of the executive compensation program promote risk taking at levels that are unacceptable to the Company. The Committee considered the following factors related to risk:</w:t>
      </w:r>
    </w:p>
    <w:p w:rsidR="00376768" w:rsidRDefault="00EC2B72">
      <w:pPr>
        <w:spacing w:before="160"/>
        <w:ind w:left="720" w:hanging="360"/>
        <w:rPr>
          <w:rFonts w:ascii="Arial" w:hAnsi="Arial" w:cs="Arial"/>
          <w:szCs w:val="20"/>
        </w:rPr>
      </w:pPr>
      <w:r>
        <w:rPr>
          <w:rFonts w:ascii="Arial" w:hAnsi="Arial" w:cs="Arial"/>
          <w:szCs w:val="20"/>
        </w:rPr>
        <w:sym w:font="Symbol" w:char="F0B7"/>
      </w:r>
      <w:r>
        <w:rPr>
          <w:rFonts w:ascii="Arial" w:hAnsi="Arial" w:cs="Arial"/>
          <w:szCs w:val="20"/>
        </w:rPr>
        <w:tab/>
        <w:t>Compensation philosophy that targets salaries and incentives at the market median;</w:t>
      </w:r>
    </w:p>
    <w:p w:rsidR="00376768" w:rsidRDefault="00EC2B72">
      <w:pPr>
        <w:ind w:left="720" w:hanging="360"/>
        <w:rPr>
          <w:rFonts w:ascii="Arial" w:hAnsi="Arial" w:cs="Arial"/>
          <w:szCs w:val="20"/>
        </w:rPr>
      </w:pPr>
      <w:r>
        <w:rPr>
          <w:rFonts w:ascii="Arial" w:hAnsi="Arial" w:cs="Arial"/>
          <w:szCs w:val="20"/>
        </w:rPr>
        <w:sym w:font="Symbol" w:char="F0B7"/>
      </w:r>
      <w:r>
        <w:rPr>
          <w:rFonts w:ascii="Arial" w:hAnsi="Arial" w:cs="Arial"/>
          <w:szCs w:val="20"/>
        </w:rPr>
        <w:tab/>
        <w:t>The use of a capital-based performance metric, Return on Invested Capital (“ROIC”), which holds executives accountable for the efficient use of Company capital;</w:t>
      </w:r>
    </w:p>
    <w:p w:rsidR="00376768" w:rsidRDefault="00EC2B72">
      <w:pPr>
        <w:ind w:left="720" w:hanging="360"/>
        <w:rPr>
          <w:rFonts w:ascii="Arial" w:hAnsi="Arial" w:cs="Arial"/>
          <w:szCs w:val="20"/>
        </w:rPr>
      </w:pPr>
      <w:r>
        <w:rPr>
          <w:rFonts w:ascii="Arial" w:hAnsi="Arial" w:cs="Arial"/>
          <w:szCs w:val="20"/>
        </w:rPr>
        <w:sym w:font="Symbol" w:char="F0B7"/>
      </w:r>
      <w:r>
        <w:rPr>
          <w:rFonts w:ascii="Arial" w:hAnsi="Arial" w:cs="Arial"/>
          <w:szCs w:val="20"/>
        </w:rPr>
        <w:tab/>
        <w:t>Short-term and long-term performance-based incentive awards that are capped;</w:t>
      </w:r>
    </w:p>
    <w:p w:rsidR="00376768" w:rsidRDefault="00EC2B72">
      <w:pPr>
        <w:ind w:left="720" w:hanging="360"/>
        <w:rPr>
          <w:rFonts w:ascii="Arial" w:hAnsi="Arial" w:cs="Arial"/>
          <w:szCs w:val="20"/>
        </w:rPr>
      </w:pPr>
      <w:r>
        <w:rPr>
          <w:rFonts w:ascii="Arial" w:hAnsi="Arial" w:cs="Arial"/>
          <w:szCs w:val="20"/>
        </w:rPr>
        <w:sym w:font="Symbol" w:char="F0B7"/>
      </w:r>
      <w:r>
        <w:rPr>
          <w:rFonts w:ascii="Arial" w:hAnsi="Arial" w:cs="Arial"/>
          <w:szCs w:val="20"/>
        </w:rPr>
        <w:tab/>
        <w:t>Long-term equity incentives allocated to two separate vehicles (restricted stock and performance share units) with a performance or time vesting period of at least three years in length;</w:t>
      </w:r>
    </w:p>
    <w:p w:rsidR="00376768" w:rsidRDefault="00EC2B72">
      <w:pPr>
        <w:ind w:left="720" w:hanging="360"/>
        <w:rPr>
          <w:rFonts w:ascii="Arial" w:hAnsi="Arial" w:cs="Arial"/>
          <w:szCs w:val="20"/>
        </w:rPr>
      </w:pPr>
      <w:r>
        <w:rPr>
          <w:rFonts w:ascii="Arial" w:hAnsi="Arial" w:cs="Arial"/>
          <w:szCs w:val="20"/>
        </w:rPr>
        <w:sym w:font="Symbol" w:char="F0B7"/>
      </w:r>
      <w:r>
        <w:rPr>
          <w:rFonts w:ascii="Arial" w:hAnsi="Arial" w:cs="Arial"/>
          <w:szCs w:val="20"/>
        </w:rPr>
        <w:tab/>
        <w:t>The use of a mix of performance metrics in our annual and long-term incentive programs, including ROIC, Working Capital as a Percentage of Sales, Adjusted Earnings Before Interest, Taxes, Depreciation, and Amortization (“EBITDA”) and Compound Annual Growth Rate of Earnings from continuing operations (“Earnings CAGR”);</w:t>
      </w:r>
    </w:p>
    <w:p w:rsidR="00376768" w:rsidRDefault="00EC2B72">
      <w:pPr>
        <w:ind w:left="720" w:hanging="360"/>
        <w:rPr>
          <w:rFonts w:ascii="Arial" w:hAnsi="Arial" w:cs="Arial"/>
          <w:szCs w:val="20"/>
        </w:rPr>
      </w:pPr>
      <w:r>
        <w:rPr>
          <w:rFonts w:ascii="Arial" w:hAnsi="Arial" w:cs="Arial"/>
          <w:szCs w:val="20"/>
        </w:rPr>
        <w:sym w:font="Symbol" w:char="F0B7"/>
      </w:r>
      <w:r>
        <w:rPr>
          <w:rFonts w:ascii="Arial" w:hAnsi="Arial" w:cs="Arial"/>
          <w:szCs w:val="20"/>
        </w:rPr>
        <w:tab/>
        <w:t>Anti-hedging and anti-pledging policies;</w:t>
      </w:r>
    </w:p>
    <w:p w:rsidR="00376768" w:rsidRDefault="00EC2B72">
      <w:pPr>
        <w:ind w:left="720" w:hanging="360"/>
        <w:rPr>
          <w:rFonts w:ascii="Arial" w:hAnsi="Arial" w:cs="Arial"/>
          <w:szCs w:val="20"/>
        </w:rPr>
      </w:pPr>
      <w:r>
        <w:rPr>
          <w:rFonts w:ascii="Arial" w:hAnsi="Arial" w:cs="Arial"/>
          <w:szCs w:val="20"/>
        </w:rPr>
        <w:sym w:font="Symbol" w:char="F0B7"/>
      </w:r>
      <w:r>
        <w:rPr>
          <w:rFonts w:ascii="Arial" w:hAnsi="Arial" w:cs="Arial"/>
          <w:szCs w:val="20"/>
        </w:rPr>
        <w:tab/>
        <w:t>Stock Ownership Policy; and</w:t>
      </w:r>
    </w:p>
    <w:p w:rsidR="00376768" w:rsidRDefault="00EC2B72">
      <w:pPr>
        <w:ind w:left="720" w:hanging="360"/>
        <w:rPr>
          <w:rFonts w:ascii="Arial" w:hAnsi="Arial" w:cs="Arial"/>
          <w:szCs w:val="20"/>
        </w:rPr>
      </w:pPr>
      <w:r>
        <w:rPr>
          <w:rFonts w:ascii="Arial" w:hAnsi="Arial" w:cs="Arial"/>
          <w:szCs w:val="20"/>
        </w:rPr>
        <w:sym w:font="Symbol" w:char="F0B7"/>
      </w:r>
      <w:r>
        <w:rPr>
          <w:rFonts w:ascii="Arial" w:hAnsi="Arial" w:cs="Arial"/>
          <w:szCs w:val="20"/>
        </w:rPr>
        <w:tab/>
      </w:r>
      <w:proofErr w:type="gramStart"/>
      <w:r>
        <w:rPr>
          <w:rFonts w:ascii="Arial" w:hAnsi="Arial" w:cs="Arial"/>
          <w:szCs w:val="20"/>
        </w:rPr>
        <w:t>Incentive compensation recoupment (“</w:t>
      </w:r>
      <w:proofErr w:type="spellStart"/>
      <w:r>
        <w:rPr>
          <w:rFonts w:ascii="Arial" w:hAnsi="Arial" w:cs="Arial"/>
          <w:szCs w:val="20"/>
        </w:rPr>
        <w:t>clawback</w:t>
      </w:r>
      <w:proofErr w:type="spellEnd"/>
      <w:r>
        <w:rPr>
          <w:rFonts w:ascii="Arial" w:hAnsi="Arial" w:cs="Arial"/>
          <w:szCs w:val="20"/>
        </w:rPr>
        <w:t>”) provisions.</w:t>
      </w:r>
      <w:proofErr w:type="gramEnd"/>
    </w:p>
    <w:p w:rsidR="00376768" w:rsidRDefault="00EC2B72">
      <w:pPr>
        <w:spacing w:before="160"/>
        <w:ind w:firstLine="360"/>
        <w:jc w:val="both"/>
        <w:rPr>
          <w:rFonts w:ascii="Arial" w:hAnsi="Arial" w:cs="Arial"/>
          <w:szCs w:val="20"/>
        </w:rPr>
      </w:pPr>
      <w:r>
        <w:rPr>
          <w:rFonts w:ascii="Arial" w:hAnsi="Arial" w:cs="Arial"/>
          <w:szCs w:val="20"/>
        </w:rPr>
        <w:t>The Company believes that the above factors, as well as the overall governance and administration of the executive compensation program, serve to manage risk in a manner that is acceptable to the Company and its shareholders and that such compensation policies and practices do not encourage our executives or other employees to take excessive risks that are reasonably likely to have a material adverse effect on the Company.</w:t>
      </w:r>
    </w:p>
    <w:p w:rsidR="00376768" w:rsidRDefault="00EC2B72">
      <w:pPr>
        <w:spacing w:before="160"/>
        <w:ind w:firstLine="360"/>
        <w:jc w:val="both"/>
        <w:rPr>
          <w:rFonts w:ascii="Arial" w:hAnsi="Arial" w:cs="Arial"/>
          <w:szCs w:val="20"/>
        </w:rPr>
      </w:pPr>
      <w:r>
        <w:rPr>
          <w:rFonts w:ascii="Arial" w:hAnsi="Arial" w:cs="Arial"/>
          <w:szCs w:val="20"/>
        </w:rPr>
        <w:t>For more information regarding the Compensation Committee’s processes and procedures for setting executive compensation, see the “Compensation Discussion and Analysis” section of this Proxy Statement.</w:t>
      </w:r>
    </w:p>
    <w:p w:rsidR="00376768" w:rsidRDefault="00EC2B72">
      <w:pPr>
        <w:spacing w:before="160"/>
        <w:jc w:val="both"/>
        <w:rPr>
          <w:rFonts w:ascii="Arial" w:hAnsi="Arial" w:cs="Arial"/>
          <w:szCs w:val="20"/>
        </w:rPr>
      </w:pPr>
      <w:r>
        <w:rPr>
          <w:rFonts w:ascii="Arial" w:hAnsi="Arial" w:cs="Arial"/>
          <w:i/>
          <w:iCs/>
          <w:szCs w:val="20"/>
        </w:rPr>
        <w:t>Nomination and Governance Committee</w:t>
      </w:r>
    </w:p>
    <w:p w:rsidR="00376768" w:rsidRDefault="00EC2B72">
      <w:pPr>
        <w:spacing w:before="160"/>
        <w:ind w:firstLine="360"/>
        <w:jc w:val="both"/>
        <w:rPr>
          <w:rFonts w:ascii="Arial" w:hAnsi="Arial" w:cs="Arial"/>
          <w:szCs w:val="20"/>
        </w:rPr>
      </w:pPr>
      <w:r>
        <w:rPr>
          <w:rFonts w:ascii="Arial" w:hAnsi="Arial" w:cs="Arial"/>
          <w:szCs w:val="20"/>
        </w:rPr>
        <w:t xml:space="preserve">The current members of the Nomination and Governance Committee are Ms. Rowland (Chair) and Messrs. </w:t>
      </w:r>
      <w:proofErr w:type="spellStart"/>
      <w:r>
        <w:rPr>
          <w:rFonts w:ascii="Arial" w:hAnsi="Arial" w:cs="Arial"/>
          <w:szCs w:val="20"/>
        </w:rPr>
        <w:t>Jungé</w:t>
      </w:r>
      <w:proofErr w:type="spellEnd"/>
      <w:r>
        <w:rPr>
          <w:rFonts w:ascii="Arial" w:hAnsi="Arial" w:cs="Arial"/>
          <w:szCs w:val="20"/>
        </w:rPr>
        <w:t xml:space="preserve">, </w:t>
      </w:r>
      <w:proofErr w:type="spellStart"/>
      <w:r>
        <w:rPr>
          <w:rFonts w:ascii="Arial" w:hAnsi="Arial" w:cs="Arial"/>
          <w:szCs w:val="20"/>
        </w:rPr>
        <w:t>Purgason</w:t>
      </w:r>
      <w:proofErr w:type="spellEnd"/>
      <w:r>
        <w:rPr>
          <w:rFonts w:ascii="Arial" w:hAnsi="Arial" w:cs="Arial"/>
          <w:szCs w:val="20"/>
        </w:rPr>
        <w:t xml:space="preserve">, and </w:t>
      </w:r>
      <w:proofErr w:type="spellStart"/>
      <w:r>
        <w:rPr>
          <w:rFonts w:ascii="Arial" w:hAnsi="Arial" w:cs="Arial"/>
          <w:szCs w:val="20"/>
        </w:rPr>
        <w:t>Vizi</w:t>
      </w:r>
      <w:proofErr w:type="spellEnd"/>
      <w:r>
        <w:rPr>
          <w:rFonts w:ascii="Arial" w:hAnsi="Arial" w:cs="Arial"/>
          <w:szCs w:val="20"/>
        </w:rPr>
        <w:t>.</w:t>
      </w:r>
    </w:p>
    <w:p w:rsidR="00376768" w:rsidRDefault="00EC2B72">
      <w:pPr>
        <w:spacing w:before="160"/>
        <w:ind w:firstLine="360"/>
        <w:jc w:val="both"/>
        <w:rPr>
          <w:rFonts w:ascii="Arial" w:hAnsi="Arial" w:cs="Arial"/>
          <w:szCs w:val="20"/>
        </w:rPr>
      </w:pPr>
      <w:r>
        <w:rPr>
          <w:rFonts w:ascii="Arial" w:hAnsi="Arial" w:cs="Arial"/>
          <w:szCs w:val="20"/>
        </w:rPr>
        <w:t>The Nomination and Governance Committee, which met on four occasions in 2017, is responsible for overseeing corporate governance, proposing director nominees to the full Board, recommending which directors should serve on various Board committees, and recommending who should serve as Chairman of the Board and chairman of each of the Board’s committees. The Nomination and Governance Committee also recommends to the full Board appropriate compensation for non-employee directors.</w:t>
      </w:r>
    </w:p>
    <w:p w:rsidR="00376768" w:rsidRDefault="00EC2B72">
      <w:pPr>
        <w:spacing w:before="160"/>
        <w:ind w:firstLine="360"/>
        <w:jc w:val="both"/>
        <w:rPr>
          <w:rFonts w:ascii="Arial" w:hAnsi="Arial" w:cs="Arial"/>
          <w:szCs w:val="20"/>
        </w:rPr>
      </w:pPr>
      <w:r>
        <w:rPr>
          <w:rFonts w:ascii="Arial" w:hAnsi="Arial" w:cs="Arial"/>
          <w:szCs w:val="20"/>
        </w:rPr>
        <w:t xml:space="preserve">The Nomination and Governance Committee endeavors to maintain a diverse Board consisting of individuals who are financially literate and whose experiences and backgrounds will enable the Board to provide meaningful counsel to, and oversight of, </w:t>
      </w:r>
      <w:proofErr w:type="gramStart"/>
      <w:r>
        <w:rPr>
          <w:rFonts w:ascii="Arial" w:hAnsi="Arial" w:cs="Arial"/>
          <w:szCs w:val="20"/>
        </w:rPr>
        <w:t>management.</w:t>
      </w:r>
      <w:proofErr w:type="gramEnd"/>
      <w:r>
        <w:rPr>
          <w:rFonts w:ascii="Arial" w:hAnsi="Arial" w:cs="Arial"/>
          <w:szCs w:val="20"/>
        </w:rPr>
        <w:t xml:space="preserve"> The Nomination and Governance Committee recommends to the full Board nominees who will create and maintain a Board that satisfies applicable legal and regulatory requirements. In support of these goals, the Nomination and Governance Committee oversees the directors’ continuing education, which includes seminars focused on strategic and governance issues and discussions with outside advisors. The Nomination and Governance Committee, with the Chairman of the Board, oversees an annual evaluation of the Board’s performance. The Nomination and Governance Committee’s Charter is available on the Company’s website, </w:t>
      </w:r>
      <w:r>
        <w:rPr>
          <w:rFonts w:ascii="Arial" w:hAnsi="Arial" w:cs="Arial"/>
          <w:b/>
          <w:bCs/>
          <w:szCs w:val="20"/>
          <w:u w:val="single"/>
        </w:rPr>
        <w:t>www.lbfoster.com</w:t>
      </w:r>
      <w:r>
        <w:rPr>
          <w:rFonts w:ascii="Arial" w:hAnsi="Arial" w:cs="Arial"/>
          <w:szCs w:val="20"/>
        </w:rPr>
        <w:t>.</w:t>
      </w:r>
    </w:p>
    <w:p w:rsidR="00376768" w:rsidRDefault="00EC2B72">
      <w:pPr>
        <w:spacing w:before="160"/>
        <w:ind w:firstLine="360"/>
        <w:jc w:val="both"/>
        <w:rPr>
          <w:rFonts w:ascii="Arial" w:hAnsi="Arial" w:cs="Arial"/>
          <w:szCs w:val="20"/>
        </w:rPr>
      </w:pPr>
      <w:r>
        <w:rPr>
          <w:rFonts w:ascii="Arial" w:hAnsi="Arial" w:cs="Arial"/>
          <w:szCs w:val="20"/>
        </w:rPr>
        <w:t>In selecting nominees for election to the Board, the Nomination and Governance Committee will consider submissions from shareholders and will consider shareholder-recommended nominees with the same weight as other nominees. A shareholder wishing to recommend a nominee may notify the Corporate Secretary or any member of the Nomination and Governance Committee in writing and provide the information required by Section 2.05 of the Company’s By-laws, including the following:</w:t>
      </w:r>
    </w:p>
    <w:p w:rsidR="00376768" w:rsidRDefault="00EC2B72">
      <w:pPr>
        <w:spacing w:before="160"/>
        <w:ind w:left="720" w:hanging="360"/>
        <w:jc w:val="both"/>
        <w:rPr>
          <w:rFonts w:ascii="Arial" w:hAnsi="Arial" w:cs="Arial"/>
          <w:szCs w:val="20"/>
        </w:rPr>
      </w:pPr>
      <w:r>
        <w:rPr>
          <w:rFonts w:ascii="Arial" w:hAnsi="Arial" w:cs="Arial"/>
          <w:szCs w:val="20"/>
        </w:rPr>
        <w:lastRenderedPageBreak/>
        <w:sym w:font="Symbol" w:char="F0B7"/>
      </w:r>
      <w:r>
        <w:rPr>
          <w:rFonts w:ascii="Arial" w:hAnsi="Arial" w:cs="Arial"/>
          <w:szCs w:val="20"/>
        </w:rPr>
        <w:tab/>
      </w:r>
      <w:proofErr w:type="gramStart"/>
      <w:r>
        <w:rPr>
          <w:rFonts w:ascii="Arial" w:hAnsi="Arial" w:cs="Arial"/>
          <w:szCs w:val="20"/>
        </w:rPr>
        <w:t>Timely written notice to the Corporate Secretary of the Company.</w:t>
      </w:r>
      <w:proofErr w:type="gramEnd"/>
      <w:r>
        <w:rPr>
          <w:rFonts w:ascii="Arial" w:hAnsi="Arial" w:cs="Arial"/>
          <w:szCs w:val="20"/>
        </w:rPr>
        <w:t xml:space="preserve"> The deadlines for providing notice to the Company of a proposed director nomination at our next Annual Meeting are set forth in the Company’s By-laws and summarized in “Additional Information.”</w:t>
      </w:r>
    </w:p>
    <w:p w:rsidR="00376768" w:rsidRDefault="00EC2B72">
      <w:pPr>
        <w:ind w:left="720" w:hanging="360"/>
        <w:jc w:val="both"/>
        <w:rPr>
          <w:rFonts w:ascii="Arial" w:hAnsi="Arial" w:cs="Arial"/>
          <w:szCs w:val="20"/>
        </w:rPr>
      </w:pPr>
      <w:r>
        <w:rPr>
          <w:rFonts w:ascii="Arial" w:hAnsi="Arial" w:cs="Arial"/>
          <w:szCs w:val="20"/>
        </w:rPr>
        <w:sym w:font="Symbol" w:char="F0B7"/>
      </w:r>
      <w:r>
        <w:rPr>
          <w:rFonts w:ascii="Arial" w:hAnsi="Arial" w:cs="Arial"/>
          <w:szCs w:val="20"/>
        </w:rPr>
        <w:tab/>
        <w:t>The notice provided to the Corporate Secretary must include all information relating to a director nominee that would be required to be disclosed in a proxy statement or other filings, including such person’s written consent to being named in the proxy statement as a nominee and to serving as a director if elected.</w:t>
      </w:r>
    </w:p>
    <w:p w:rsidR="00376768" w:rsidRDefault="00EC2B72">
      <w:pPr>
        <w:ind w:left="720" w:hanging="360"/>
        <w:jc w:val="both"/>
        <w:rPr>
          <w:rFonts w:ascii="Arial" w:hAnsi="Arial" w:cs="Arial"/>
          <w:szCs w:val="20"/>
        </w:rPr>
      </w:pPr>
      <w:r>
        <w:rPr>
          <w:rFonts w:ascii="Arial" w:hAnsi="Arial" w:cs="Arial"/>
          <w:szCs w:val="20"/>
        </w:rPr>
        <w:sym w:font="Symbol" w:char="F0B7"/>
      </w:r>
      <w:r>
        <w:rPr>
          <w:rFonts w:ascii="Arial" w:hAnsi="Arial" w:cs="Arial"/>
          <w:szCs w:val="20"/>
        </w:rPr>
        <w:tab/>
        <w:t>The notice provided to the Corporate Secretary must include a description of all direct and indirect compensation and other material monetary agreements, arrangements, and understandings during the past three years, and any other material relationships, between or among the shareholder proponent and the beneficial owner, if any, on whose behalf the nomination is made, and each proposed nominee.</w:t>
      </w:r>
    </w:p>
    <w:p w:rsidR="00376768" w:rsidRDefault="00EC2B72">
      <w:pPr>
        <w:ind w:left="720" w:hanging="360"/>
        <w:jc w:val="both"/>
        <w:rPr>
          <w:rFonts w:ascii="Arial" w:hAnsi="Arial" w:cs="Arial"/>
          <w:szCs w:val="20"/>
        </w:rPr>
      </w:pPr>
      <w:r>
        <w:rPr>
          <w:rFonts w:ascii="Arial" w:hAnsi="Arial" w:cs="Arial"/>
          <w:szCs w:val="20"/>
        </w:rPr>
        <w:sym w:font="Symbol" w:char="F0B7"/>
      </w:r>
      <w:r>
        <w:rPr>
          <w:rFonts w:ascii="Arial" w:hAnsi="Arial" w:cs="Arial"/>
          <w:szCs w:val="20"/>
        </w:rPr>
        <w:tab/>
        <w:t>The notice provided to the Corporate Secretary must include a completed and signed questionnaire, representation and agreement as provided in Section 2.05(c) of the Company’s By-laws.</w:t>
      </w:r>
    </w:p>
    <w:p w:rsidR="00376768" w:rsidRDefault="00EC2B72">
      <w:pPr>
        <w:ind w:left="720" w:hanging="360"/>
        <w:jc w:val="both"/>
        <w:rPr>
          <w:rFonts w:ascii="Arial" w:hAnsi="Arial" w:cs="Arial"/>
          <w:szCs w:val="20"/>
        </w:rPr>
      </w:pPr>
      <w:r>
        <w:rPr>
          <w:rFonts w:ascii="Arial" w:hAnsi="Arial" w:cs="Arial"/>
          <w:szCs w:val="20"/>
        </w:rPr>
        <w:sym w:font="Symbol" w:char="F0B7"/>
      </w:r>
      <w:r>
        <w:rPr>
          <w:rFonts w:ascii="Arial" w:hAnsi="Arial" w:cs="Arial"/>
          <w:szCs w:val="20"/>
        </w:rPr>
        <w:tab/>
        <w:t>Such other information as may reasonably be required by the Company to determine the eligibility of such proposed nominee to serve as an independent director of the Company or that could be material to a reasonable shareholder’s understanding of the independence, or lack thereof, of such nominee.</w:t>
      </w:r>
    </w:p>
    <w:p w:rsidR="00376768" w:rsidRDefault="00EC2B72">
      <w:pPr>
        <w:spacing w:before="160"/>
        <w:ind w:firstLine="360"/>
        <w:jc w:val="both"/>
        <w:rPr>
          <w:rFonts w:ascii="Arial" w:hAnsi="Arial" w:cs="Arial"/>
          <w:szCs w:val="20"/>
        </w:rPr>
      </w:pPr>
      <w:r>
        <w:rPr>
          <w:rFonts w:ascii="Arial" w:hAnsi="Arial" w:cs="Arial"/>
          <w:szCs w:val="20"/>
        </w:rPr>
        <w:t xml:space="preserve">Submissions should be sent to the Company’s principal executive offices, 415 Holiday Drive, Pittsburgh, PA 15220, </w:t>
      </w:r>
      <w:proofErr w:type="gramStart"/>
      <w:r>
        <w:rPr>
          <w:rFonts w:ascii="Arial" w:hAnsi="Arial" w:cs="Arial"/>
          <w:szCs w:val="20"/>
        </w:rPr>
        <w:t>Attn</w:t>
      </w:r>
      <w:proofErr w:type="gramEnd"/>
      <w:r>
        <w:rPr>
          <w:rFonts w:ascii="Arial" w:hAnsi="Arial" w:cs="Arial"/>
          <w:szCs w:val="20"/>
        </w:rPr>
        <w:t xml:space="preserve">: Corporate Secretary. Please see “Additional Information” on pages 68-69 for the applicable deadlines for submitting proposals relating to director nominations. The foregoing summary of our shareholder director nomination procedures is not complete and is qualified in its entirety by reference to the full text of the Company’s By-laws that has been publicly filed with the SEC and is available at </w:t>
      </w:r>
      <w:r>
        <w:rPr>
          <w:rFonts w:ascii="Arial" w:hAnsi="Arial" w:cs="Arial"/>
          <w:i/>
          <w:iCs/>
          <w:szCs w:val="20"/>
          <w:u w:val="single"/>
        </w:rPr>
        <w:t>www.sec.gov</w:t>
      </w:r>
      <w:r>
        <w:rPr>
          <w:rFonts w:ascii="Arial" w:hAnsi="Arial" w:cs="Arial"/>
          <w:szCs w:val="20"/>
        </w:rPr>
        <w:t>.</w:t>
      </w:r>
    </w:p>
    <w:p w:rsidR="00376768" w:rsidRDefault="00EC2B72">
      <w:pPr>
        <w:spacing w:before="160"/>
        <w:ind w:firstLine="360"/>
        <w:jc w:val="both"/>
        <w:rPr>
          <w:rFonts w:ascii="Arial" w:hAnsi="Arial" w:cs="Arial"/>
          <w:szCs w:val="20"/>
        </w:rPr>
      </w:pPr>
      <w:r>
        <w:rPr>
          <w:rFonts w:ascii="Arial" w:hAnsi="Arial" w:cs="Arial"/>
          <w:i/>
          <w:iCs/>
          <w:szCs w:val="20"/>
        </w:rPr>
        <w:t>Agreement with Shareholders</w:t>
      </w:r>
    </w:p>
    <w:p w:rsidR="00376768" w:rsidRDefault="00EC2B72">
      <w:pPr>
        <w:spacing w:before="160"/>
        <w:ind w:firstLine="360"/>
        <w:jc w:val="both"/>
        <w:rPr>
          <w:rFonts w:ascii="Arial" w:hAnsi="Arial" w:cs="Arial"/>
          <w:szCs w:val="20"/>
        </w:rPr>
      </w:pPr>
      <w:r>
        <w:rPr>
          <w:rFonts w:ascii="Arial" w:hAnsi="Arial" w:cs="Arial"/>
          <w:szCs w:val="20"/>
        </w:rPr>
        <w:t>Pursuant to the Investors Agreement described above, the Board agreed to appoint Mr. </w:t>
      </w:r>
      <w:proofErr w:type="spellStart"/>
      <w:r>
        <w:rPr>
          <w:rFonts w:ascii="Arial" w:hAnsi="Arial" w:cs="Arial"/>
          <w:szCs w:val="20"/>
        </w:rPr>
        <w:t>Vizi</w:t>
      </w:r>
      <w:proofErr w:type="spellEnd"/>
      <w:r>
        <w:rPr>
          <w:rFonts w:ascii="Arial" w:hAnsi="Arial" w:cs="Arial"/>
          <w:szCs w:val="20"/>
        </w:rPr>
        <w:t xml:space="preserve"> to the Board for a term expiring at the 2016 Annual Meeting, as well as to (i) appoint Mr. </w:t>
      </w:r>
      <w:proofErr w:type="spellStart"/>
      <w:r>
        <w:rPr>
          <w:rFonts w:ascii="Arial" w:hAnsi="Arial" w:cs="Arial"/>
          <w:szCs w:val="20"/>
        </w:rPr>
        <w:t>Vizi</w:t>
      </w:r>
      <w:proofErr w:type="spellEnd"/>
      <w:r>
        <w:rPr>
          <w:rFonts w:ascii="Arial" w:hAnsi="Arial" w:cs="Arial"/>
          <w:szCs w:val="20"/>
        </w:rPr>
        <w:t xml:space="preserve"> to the Compensation and Nomination and Governance Committees of the Board, (ii) nominate Mr. </w:t>
      </w:r>
      <w:proofErr w:type="spellStart"/>
      <w:r>
        <w:rPr>
          <w:rFonts w:ascii="Arial" w:hAnsi="Arial" w:cs="Arial"/>
          <w:szCs w:val="20"/>
        </w:rPr>
        <w:t>Vizi</w:t>
      </w:r>
      <w:proofErr w:type="spellEnd"/>
      <w:r>
        <w:rPr>
          <w:rFonts w:ascii="Arial" w:hAnsi="Arial" w:cs="Arial"/>
          <w:szCs w:val="20"/>
        </w:rPr>
        <w:t xml:space="preserve"> for election to the Board at the 2016 Annual Meeting and (iii) not increase the size of the Board beyond nine members without the consent of Mr. </w:t>
      </w:r>
      <w:proofErr w:type="spellStart"/>
      <w:r>
        <w:rPr>
          <w:rFonts w:ascii="Arial" w:hAnsi="Arial" w:cs="Arial"/>
          <w:szCs w:val="20"/>
        </w:rPr>
        <w:t>Vizi</w:t>
      </w:r>
      <w:proofErr w:type="spellEnd"/>
      <w:r>
        <w:rPr>
          <w:rFonts w:ascii="Arial" w:hAnsi="Arial" w:cs="Arial"/>
          <w:szCs w:val="20"/>
        </w:rPr>
        <w:t xml:space="preserve"> for the duration of the Standstill Period. The Investors Agreement also requires the Investor Group, during the pendency of the Standstill Period, to take certain actions, including to vote, or cause to be voted, all shares of common stock beneficially owned by each member of the Investor Group in favor of (a) each of the directors nominated by the Board and recommended by the Board in the election of directors (and not in favor of any other nominees to serve on the Board), and (b) except in connection with any “Opposition Matter” (as described below) or any Institutional Shareholder Services Inc. (“</w:t>
      </w:r>
      <w:r>
        <w:rPr>
          <w:rFonts w:ascii="Arial" w:hAnsi="Arial" w:cs="Arial"/>
          <w:szCs w:val="20"/>
          <w:u w:val="single"/>
        </w:rPr>
        <w:t>ISS</w:t>
      </w:r>
      <w:r>
        <w:rPr>
          <w:rFonts w:ascii="Arial" w:hAnsi="Arial" w:cs="Arial"/>
          <w:szCs w:val="20"/>
        </w:rPr>
        <w:t>”) or Glass, Lewis &amp; Co., LLC (“</w:t>
      </w:r>
      <w:r>
        <w:rPr>
          <w:rFonts w:ascii="Arial" w:hAnsi="Arial" w:cs="Arial"/>
          <w:szCs w:val="20"/>
          <w:u w:val="single"/>
        </w:rPr>
        <w:t>Glass Lewis</w:t>
      </w:r>
      <w:r>
        <w:rPr>
          <w:rFonts w:ascii="Arial" w:hAnsi="Arial" w:cs="Arial"/>
          <w:szCs w:val="20"/>
        </w:rPr>
        <w:t xml:space="preserve">”) voting recommendation, each of the shareholder proposals listed on the Company’s proxy card or voting instruction form as identified in the Company’s proxy statement in accordance with the Board’s recommendations, including in favor of all other matters recommended for shareholder approval by the Board, and not execute any proxy card or voting instruction form in respect of such shareholders’ meeting other than the proxy card and related voting instruction form being solicited by or on behalf of the Board. Under the terms of the Investors Agreement, in the event that ISS or Glass Lewis has recommendations other than those presented by the Board with respect to any proposal (other than the election of directors), each member of the Investor Group is permitted to vote in accordance with the ISS or Glass Lewis voting recommendation but, notwithstanding such recommendation, only on the proxy card and related voting instruction form being solicited by or on behalf of the Board even if ISS or Glass Lewis recommended that the Investors vote on another proxy card or voting instruction form. For purposes of the Investors Agreement, “Opposition Matter” means any of the following transactions or events, to the extent submitted by the Board to the Company’s shareholders for approval: the sale or transfer of all or substantially all of the Company’s assets in one or a series of transactions; the sale or transfer of a majority of the outstanding shares of common stock (through a merger, stock purchase, or otherwise); any merger, consolidation, acquisition of control or other business combination; any tender or exchange offer; any dissolution, liquidation, or reorganization; any changes in the Company’s capital structure (including the issuance of more than 20% of the Company’s then outstanding shares of common stock); change in control transactions; or financings requiring approval by NASDAQ’s shareholder approval rules; in each case, that has been approved by the Board but voted against by Mr. </w:t>
      </w:r>
      <w:proofErr w:type="spellStart"/>
      <w:r>
        <w:rPr>
          <w:rFonts w:ascii="Arial" w:hAnsi="Arial" w:cs="Arial"/>
          <w:szCs w:val="20"/>
        </w:rPr>
        <w:t>Vizi</w:t>
      </w:r>
      <w:proofErr w:type="spellEnd"/>
      <w:r>
        <w:rPr>
          <w:rFonts w:ascii="Arial" w:hAnsi="Arial" w:cs="Arial"/>
          <w:szCs w:val="20"/>
        </w:rPr>
        <w:t xml:space="preserve">. The Standstill Period was extended under the Investors Agreement in February 2017 when the Board nominated Mr. </w:t>
      </w:r>
      <w:proofErr w:type="spellStart"/>
      <w:r>
        <w:rPr>
          <w:rFonts w:ascii="Arial" w:hAnsi="Arial" w:cs="Arial"/>
          <w:szCs w:val="20"/>
        </w:rPr>
        <w:t>Vizi</w:t>
      </w:r>
      <w:proofErr w:type="spellEnd"/>
      <w:r>
        <w:rPr>
          <w:rFonts w:ascii="Arial" w:hAnsi="Arial" w:cs="Arial"/>
          <w:szCs w:val="20"/>
        </w:rPr>
        <w:t xml:space="preserve"> to stand for reelection at the 2017 Annual </w:t>
      </w:r>
      <w:proofErr w:type="gramStart"/>
      <w:r>
        <w:rPr>
          <w:rFonts w:ascii="Arial" w:hAnsi="Arial" w:cs="Arial"/>
          <w:szCs w:val="20"/>
        </w:rPr>
        <w:t>Meeting,</w:t>
      </w:r>
      <w:proofErr w:type="gramEnd"/>
      <w:r>
        <w:rPr>
          <w:rFonts w:ascii="Arial" w:hAnsi="Arial" w:cs="Arial"/>
          <w:szCs w:val="20"/>
        </w:rPr>
        <w:t xml:space="preserve"> Mr. </w:t>
      </w:r>
      <w:proofErr w:type="spellStart"/>
      <w:r>
        <w:rPr>
          <w:rFonts w:ascii="Arial" w:hAnsi="Arial" w:cs="Arial"/>
          <w:szCs w:val="20"/>
        </w:rPr>
        <w:t>Vizi</w:t>
      </w:r>
      <w:proofErr w:type="spellEnd"/>
      <w:r>
        <w:rPr>
          <w:rFonts w:ascii="Arial" w:hAnsi="Arial" w:cs="Arial"/>
          <w:szCs w:val="20"/>
        </w:rPr>
        <w:t xml:space="preserve"> consented to such nomination and was actually elected by the shareholders. The Standstill Period expired on February 13, 2018, ten (10) calendar days prior to the expiration of the advance notice period for the submission by shareholders of director nominations for consideration at the Company’s 2018 Annual Meeting of Shareholders.</w:t>
      </w:r>
    </w:p>
    <w:p w:rsidR="00376768" w:rsidRDefault="00EC2B72">
      <w:pPr>
        <w:spacing w:before="160"/>
        <w:ind w:firstLine="360"/>
        <w:jc w:val="both"/>
        <w:rPr>
          <w:rFonts w:ascii="Arial" w:hAnsi="Arial" w:cs="Arial"/>
          <w:szCs w:val="20"/>
        </w:rPr>
      </w:pPr>
      <w:r>
        <w:rPr>
          <w:rFonts w:ascii="Arial" w:hAnsi="Arial" w:cs="Arial"/>
          <w:i/>
          <w:iCs/>
          <w:szCs w:val="20"/>
        </w:rPr>
        <w:t>Non-Employee Director Compensation</w:t>
      </w:r>
    </w:p>
    <w:p w:rsidR="00376768" w:rsidRDefault="00EC2B72">
      <w:pPr>
        <w:spacing w:before="160"/>
        <w:ind w:firstLine="360"/>
        <w:jc w:val="both"/>
        <w:rPr>
          <w:rFonts w:ascii="Arial" w:hAnsi="Arial" w:cs="Arial"/>
          <w:szCs w:val="20"/>
        </w:rPr>
      </w:pPr>
      <w:r>
        <w:rPr>
          <w:rFonts w:ascii="Arial" w:hAnsi="Arial" w:cs="Arial"/>
          <w:szCs w:val="20"/>
        </w:rPr>
        <w:t xml:space="preserve">The Nomination and Governance Committee determines appropriate levels of compensation for our non-employee directors by reviewing surveys and data from other publicly-traded companies and conferring with other directors, and outside advisors as necessary, to obtain information on competitive compensation practices and uses this information as </w:t>
      </w:r>
      <w:r>
        <w:rPr>
          <w:rFonts w:ascii="Arial" w:hAnsi="Arial" w:cs="Arial"/>
          <w:szCs w:val="20"/>
        </w:rPr>
        <w:lastRenderedPageBreak/>
        <w:t>a tool to determine appropriate levels of non-employee director compensation. The Nomination and Governance Committee then makes recommendations regarding non-employee director compensation to the Board for approval. The Committee commissioned a director compensation assessment that was conducted by Pay Governance, the Compensation Committee’s independent consultant, in February 2018. Pay Governance compared the Company’s directors’ compensation levels and program practices to those of the Company’s comparator group and a broader set of over 150 general industry companies of similar size to L.B. Foster. Pay Governance also informed the Committee of current trends and practices in directors’ compensation, which includes shareholder approval of equity award limits to directors. Pay Governance noted the Company maintains a directors’ equity award limit of $300,000 in Company stock, which is contained in the Amended and Restated 2006 Omnibus Incentive Plan approved by the Company’s shareholders. This limit prevents any individual director from receiving more than $300,000 in Company stock in any individual year.</w:t>
      </w:r>
    </w:p>
    <w:p w:rsidR="00376768" w:rsidRDefault="00EC2B72">
      <w:pPr>
        <w:spacing w:before="160"/>
        <w:jc w:val="both"/>
        <w:rPr>
          <w:rFonts w:ascii="Arial" w:hAnsi="Arial" w:cs="Arial"/>
          <w:szCs w:val="20"/>
        </w:rPr>
      </w:pPr>
      <w:r>
        <w:rPr>
          <w:rFonts w:ascii="Arial" w:hAnsi="Arial" w:cs="Arial"/>
          <w:i/>
          <w:iCs/>
          <w:szCs w:val="20"/>
        </w:rPr>
        <w:t>Strategy Committee</w:t>
      </w:r>
    </w:p>
    <w:p w:rsidR="00376768" w:rsidRDefault="00EC2B72">
      <w:pPr>
        <w:spacing w:before="160"/>
        <w:ind w:firstLine="360"/>
        <w:jc w:val="both"/>
        <w:rPr>
          <w:rFonts w:ascii="Arial" w:hAnsi="Arial" w:cs="Arial"/>
          <w:szCs w:val="20"/>
        </w:rPr>
      </w:pPr>
      <w:r>
        <w:rPr>
          <w:rFonts w:ascii="Arial" w:hAnsi="Arial" w:cs="Arial"/>
          <w:szCs w:val="20"/>
        </w:rPr>
        <w:t xml:space="preserve">On October 26, 2016, the Board created the Strategy Committee, which is currently composed of the following Board members: Messrs. Foster (Chair), </w:t>
      </w:r>
      <w:proofErr w:type="spellStart"/>
      <w:r>
        <w:rPr>
          <w:rFonts w:ascii="Arial" w:hAnsi="Arial" w:cs="Arial"/>
          <w:szCs w:val="20"/>
        </w:rPr>
        <w:t>Rackoff</w:t>
      </w:r>
      <w:proofErr w:type="spellEnd"/>
      <w:r>
        <w:rPr>
          <w:rFonts w:ascii="Arial" w:hAnsi="Arial" w:cs="Arial"/>
          <w:szCs w:val="20"/>
        </w:rPr>
        <w:t xml:space="preserve">, Bauer, and </w:t>
      </w:r>
      <w:proofErr w:type="spellStart"/>
      <w:r>
        <w:rPr>
          <w:rFonts w:ascii="Arial" w:hAnsi="Arial" w:cs="Arial"/>
          <w:szCs w:val="20"/>
        </w:rPr>
        <w:t>Vizi</w:t>
      </w:r>
      <w:proofErr w:type="spellEnd"/>
      <w:r>
        <w:rPr>
          <w:rFonts w:ascii="Arial" w:hAnsi="Arial" w:cs="Arial"/>
          <w:szCs w:val="20"/>
        </w:rPr>
        <w:t>.</w:t>
      </w:r>
    </w:p>
    <w:p w:rsidR="00376768" w:rsidRDefault="00EC2B72">
      <w:pPr>
        <w:spacing w:before="160"/>
        <w:ind w:firstLine="360"/>
        <w:jc w:val="both"/>
        <w:rPr>
          <w:rFonts w:ascii="Arial" w:hAnsi="Arial" w:cs="Arial"/>
          <w:szCs w:val="20"/>
        </w:rPr>
      </w:pPr>
      <w:r>
        <w:rPr>
          <w:rFonts w:ascii="Arial" w:hAnsi="Arial" w:cs="Arial"/>
          <w:szCs w:val="20"/>
        </w:rPr>
        <w:t>The Strategy Committee, which held three meetings in 2017, is responsible for assessing strategy to meet the Company’s ongoing goals and objectives. In executing its duties, the Strategy Committee shall have all necessary and appropriate resources to discharge its responsibilities, and while the members may receive compensation for service on the Committee, the members do not currently receive any compensation for such service.</w:t>
      </w:r>
    </w:p>
    <w:p w:rsidR="00376768" w:rsidRDefault="00EC2B72">
      <w:pPr>
        <w:spacing w:before="160"/>
        <w:jc w:val="both"/>
        <w:rPr>
          <w:rFonts w:ascii="Arial" w:hAnsi="Arial" w:cs="Arial"/>
          <w:szCs w:val="20"/>
        </w:rPr>
      </w:pPr>
      <w:r>
        <w:rPr>
          <w:rFonts w:ascii="Arial" w:hAnsi="Arial" w:cs="Arial"/>
          <w:b/>
          <w:bCs/>
          <w:i/>
          <w:iCs/>
          <w:szCs w:val="20"/>
        </w:rPr>
        <w:t>Add</w:t>
      </w:r>
      <w:bookmarkStart w:id="18" w:name="a018_v1"/>
      <w:bookmarkEnd w:id="18"/>
      <w:r>
        <w:rPr>
          <w:rFonts w:ascii="Arial" w:hAnsi="Arial" w:cs="Arial"/>
          <w:b/>
          <w:bCs/>
          <w:i/>
          <w:iCs/>
          <w:szCs w:val="20"/>
        </w:rPr>
        <w:t>itional Corporate Governance Matters</w:t>
      </w:r>
    </w:p>
    <w:p w:rsidR="00376768" w:rsidRDefault="00EC2B72">
      <w:pPr>
        <w:spacing w:before="160"/>
        <w:ind w:firstLine="360"/>
        <w:jc w:val="both"/>
        <w:rPr>
          <w:rFonts w:ascii="Arial" w:hAnsi="Arial" w:cs="Arial"/>
          <w:szCs w:val="20"/>
        </w:rPr>
      </w:pPr>
      <w:r>
        <w:rPr>
          <w:rFonts w:ascii="Arial" w:hAnsi="Arial" w:cs="Arial"/>
          <w:i/>
          <w:iCs/>
          <w:szCs w:val="20"/>
        </w:rPr>
        <w:t>Director Education</w:t>
      </w:r>
    </w:p>
    <w:p w:rsidR="00376768" w:rsidRDefault="00EC2B72">
      <w:pPr>
        <w:spacing w:before="160"/>
        <w:ind w:firstLine="360"/>
        <w:jc w:val="both"/>
        <w:rPr>
          <w:rFonts w:ascii="Arial" w:hAnsi="Arial" w:cs="Arial"/>
          <w:szCs w:val="20"/>
        </w:rPr>
      </w:pPr>
      <w:r>
        <w:rPr>
          <w:rFonts w:ascii="Arial" w:hAnsi="Arial" w:cs="Arial"/>
          <w:szCs w:val="20"/>
        </w:rPr>
        <w:t>The Company is committed to providing directors with opportunities and resources for continuing education for corporate governance and business related issues as may be appropriate, and routinely has third parties provide presentations on current legal, governance, compensation and accounting matters during Board meetings. The Nomination and Governance Committee disseminates continuing education materials collected by directors and provides time for directors to discuss issues and best practices addressed in seminars or programs with the other directors on a regular basis.</w:t>
      </w:r>
    </w:p>
    <w:p w:rsidR="00376768" w:rsidRDefault="00EC2B72">
      <w:pPr>
        <w:spacing w:before="160"/>
        <w:ind w:firstLine="360"/>
        <w:jc w:val="both"/>
        <w:rPr>
          <w:rFonts w:ascii="Arial" w:hAnsi="Arial" w:cs="Arial"/>
          <w:szCs w:val="20"/>
        </w:rPr>
      </w:pPr>
      <w:r>
        <w:rPr>
          <w:rFonts w:ascii="Arial" w:hAnsi="Arial" w:cs="Arial"/>
          <w:i/>
          <w:iCs/>
          <w:szCs w:val="20"/>
        </w:rPr>
        <w:t>Board Assessment</w:t>
      </w:r>
    </w:p>
    <w:p w:rsidR="00376768" w:rsidRDefault="00EC2B72">
      <w:pPr>
        <w:spacing w:before="160"/>
        <w:ind w:firstLine="360"/>
        <w:jc w:val="both"/>
        <w:rPr>
          <w:rFonts w:ascii="Arial" w:hAnsi="Arial" w:cs="Arial"/>
          <w:szCs w:val="20"/>
        </w:rPr>
      </w:pPr>
      <w:r>
        <w:rPr>
          <w:rFonts w:ascii="Arial" w:hAnsi="Arial" w:cs="Arial"/>
          <w:szCs w:val="20"/>
        </w:rPr>
        <w:t>The Board assesses the effectiveness of the Board and its committees on an annual basis.</w:t>
      </w:r>
    </w:p>
    <w:p w:rsidR="00376768" w:rsidRDefault="00EC2B72">
      <w:pPr>
        <w:spacing w:before="160"/>
        <w:ind w:firstLine="360"/>
        <w:jc w:val="both"/>
        <w:rPr>
          <w:rFonts w:ascii="Arial" w:hAnsi="Arial" w:cs="Arial"/>
          <w:szCs w:val="20"/>
        </w:rPr>
      </w:pPr>
      <w:r>
        <w:rPr>
          <w:rFonts w:ascii="Arial" w:hAnsi="Arial" w:cs="Arial"/>
          <w:i/>
          <w:iCs/>
          <w:szCs w:val="20"/>
        </w:rPr>
        <w:t>Code of Conduct and Ethics</w:t>
      </w:r>
    </w:p>
    <w:p w:rsidR="00376768" w:rsidRDefault="00EC2B72">
      <w:pPr>
        <w:spacing w:before="160"/>
        <w:ind w:firstLine="360"/>
        <w:jc w:val="both"/>
        <w:rPr>
          <w:rFonts w:ascii="Arial" w:hAnsi="Arial" w:cs="Arial"/>
          <w:szCs w:val="20"/>
        </w:rPr>
      </w:pPr>
      <w:r>
        <w:rPr>
          <w:rFonts w:ascii="Arial" w:hAnsi="Arial" w:cs="Arial"/>
          <w:szCs w:val="20"/>
        </w:rPr>
        <w:t xml:space="preserve">The Company adopted a policy on the code of conduct and ethics that applies to all the Company’s directors, officers and employees, including its CEO, chief financial officer and chief accounting officer. We have posted a current copy of the policy, entitled “Legal and Ethical Conduct Policy,” on our website, </w:t>
      </w:r>
      <w:r>
        <w:rPr>
          <w:rFonts w:ascii="Arial" w:hAnsi="Arial" w:cs="Arial"/>
          <w:b/>
          <w:bCs/>
          <w:szCs w:val="20"/>
          <w:u w:val="single"/>
        </w:rPr>
        <w:t>www.lbfoster.com</w:t>
      </w:r>
      <w:r>
        <w:rPr>
          <w:rFonts w:ascii="Arial" w:hAnsi="Arial" w:cs="Arial"/>
          <w:szCs w:val="20"/>
        </w:rPr>
        <w:t>.</w:t>
      </w:r>
    </w:p>
    <w:p w:rsidR="00376768" w:rsidRDefault="00EC2B72">
      <w:pPr>
        <w:spacing w:before="160"/>
        <w:ind w:firstLine="360"/>
        <w:jc w:val="both"/>
        <w:rPr>
          <w:rFonts w:ascii="Arial" w:hAnsi="Arial" w:cs="Arial"/>
          <w:szCs w:val="20"/>
        </w:rPr>
      </w:pPr>
      <w:r>
        <w:rPr>
          <w:rFonts w:ascii="Arial" w:hAnsi="Arial" w:cs="Arial"/>
          <w:i/>
          <w:iCs/>
          <w:szCs w:val="20"/>
        </w:rPr>
        <w:t>Ownership Guidelines for Non-Employee Directors</w:t>
      </w:r>
    </w:p>
    <w:p w:rsidR="00376768" w:rsidRDefault="00EC2B72">
      <w:pPr>
        <w:spacing w:before="160"/>
        <w:ind w:firstLine="360"/>
        <w:jc w:val="both"/>
        <w:rPr>
          <w:rFonts w:ascii="Arial" w:hAnsi="Arial" w:cs="Arial"/>
          <w:szCs w:val="20"/>
        </w:rPr>
      </w:pPr>
      <w:r>
        <w:rPr>
          <w:rFonts w:ascii="Arial" w:hAnsi="Arial" w:cs="Arial"/>
          <w:szCs w:val="20"/>
        </w:rPr>
        <w:t>Within five years of first being elected to the Board, the Company’s non-employee directors are expected to own Company common stock valued at least three times their respective annual cash compensation for services as a director. All non-employee directors serving in 2017 were compliant with these Guidelines. In 2018, the Ownership Guidelines were increased to a requirement of at least four times the annual base compensation.</w:t>
      </w:r>
    </w:p>
    <w:p w:rsidR="00376768" w:rsidRDefault="00EC2B72">
      <w:pPr>
        <w:spacing w:before="160"/>
        <w:ind w:firstLine="360"/>
        <w:jc w:val="both"/>
        <w:rPr>
          <w:rFonts w:ascii="Arial" w:hAnsi="Arial" w:cs="Arial"/>
          <w:szCs w:val="20"/>
        </w:rPr>
      </w:pPr>
      <w:r>
        <w:rPr>
          <w:rFonts w:ascii="Arial" w:hAnsi="Arial" w:cs="Arial"/>
          <w:i/>
          <w:iCs/>
          <w:szCs w:val="20"/>
        </w:rPr>
        <w:t>Rights Agreement</w:t>
      </w:r>
    </w:p>
    <w:p w:rsidR="00376768" w:rsidRDefault="00EC2B72">
      <w:pPr>
        <w:spacing w:before="160"/>
        <w:ind w:firstLine="360"/>
        <w:jc w:val="both"/>
        <w:rPr>
          <w:rFonts w:ascii="Arial" w:hAnsi="Arial" w:cs="Arial"/>
          <w:szCs w:val="20"/>
        </w:rPr>
      </w:pPr>
      <w:r>
        <w:rPr>
          <w:rFonts w:ascii="Arial" w:hAnsi="Arial" w:cs="Arial"/>
          <w:szCs w:val="20"/>
        </w:rPr>
        <w:t>The Company has not had a rights agreement in place since October 2016.</w:t>
      </w:r>
    </w:p>
    <w:p w:rsidR="00376768" w:rsidRDefault="00EC2B72">
      <w:pPr>
        <w:spacing w:before="160"/>
        <w:jc w:val="both"/>
        <w:rPr>
          <w:rFonts w:ascii="Arial" w:hAnsi="Arial" w:cs="Arial"/>
          <w:szCs w:val="20"/>
        </w:rPr>
      </w:pPr>
      <w:r>
        <w:rPr>
          <w:rFonts w:ascii="Arial" w:hAnsi="Arial" w:cs="Arial"/>
          <w:b/>
          <w:bCs/>
          <w:i/>
          <w:iCs/>
          <w:szCs w:val="20"/>
        </w:rPr>
        <w:t>Tra</w:t>
      </w:r>
      <w:bookmarkStart w:id="19" w:name="a019_v1"/>
      <w:bookmarkEnd w:id="19"/>
      <w:r>
        <w:rPr>
          <w:rFonts w:ascii="Arial" w:hAnsi="Arial" w:cs="Arial"/>
          <w:b/>
          <w:bCs/>
          <w:i/>
          <w:iCs/>
          <w:szCs w:val="20"/>
        </w:rPr>
        <w:t xml:space="preserve">nsactions </w:t>
      </w:r>
      <w:proofErr w:type="gramStart"/>
      <w:r>
        <w:rPr>
          <w:rFonts w:ascii="Arial" w:hAnsi="Arial" w:cs="Arial"/>
          <w:b/>
          <w:bCs/>
          <w:i/>
          <w:iCs/>
          <w:szCs w:val="20"/>
        </w:rPr>
        <w:t>With</w:t>
      </w:r>
      <w:proofErr w:type="gramEnd"/>
      <w:r>
        <w:rPr>
          <w:rFonts w:ascii="Arial" w:hAnsi="Arial" w:cs="Arial"/>
          <w:b/>
          <w:bCs/>
          <w:i/>
          <w:iCs/>
          <w:szCs w:val="20"/>
        </w:rPr>
        <w:t xml:space="preserve"> Related Parties</w:t>
      </w:r>
    </w:p>
    <w:p w:rsidR="00376768" w:rsidRDefault="00EC2B72">
      <w:pPr>
        <w:spacing w:before="160"/>
        <w:ind w:firstLine="360"/>
        <w:jc w:val="both"/>
        <w:rPr>
          <w:rFonts w:ascii="Arial" w:hAnsi="Arial" w:cs="Arial"/>
          <w:szCs w:val="20"/>
        </w:rPr>
      </w:pPr>
      <w:r>
        <w:rPr>
          <w:rFonts w:ascii="Arial" w:hAnsi="Arial" w:cs="Arial"/>
          <w:szCs w:val="20"/>
        </w:rPr>
        <w:t xml:space="preserve">The Company is not aware of any transaction since the beginning of 2017, or any currently proposed transaction, in which the Company was, or is to be, a participant and the amount involved exceeds $120,000 and in which any of the Company’s directors, executive officers, five percent shareholders or certain family members of any of the foregoing persons or business entities with which such persons are affiliated had or will have a material interest, directly or indirectly. The Company’s Legal and Ethical Conduct Policy generally addresses the topic of conflicts of interest, which includes transactions qualifying as “related party transactions.” In addition, on an annual basis, the Company requires each director, executive officer, and salaried employee to disclose in writing any situations which may give rise to a conflict of interest. The Company’s Internal Audit Department reviews and summarizes any such disclosures. The Audit </w:t>
      </w:r>
      <w:r>
        <w:rPr>
          <w:rFonts w:ascii="Arial" w:hAnsi="Arial" w:cs="Arial"/>
          <w:szCs w:val="20"/>
        </w:rPr>
        <w:lastRenderedPageBreak/>
        <w:t>Committee Charter provides that the Audit Committee is responsible for reviewing and, if appropriate, approving related party transactions as defined under Item 404 of SEC Regulation S-K.</w:t>
      </w:r>
    </w:p>
    <w:p w:rsidR="00376768" w:rsidRDefault="00EC2B72">
      <w:pPr>
        <w:spacing w:before="160"/>
        <w:jc w:val="both"/>
        <w:rPr>
          <w:rFonts w:ascii="Arial" w:hAnsi="Arial" w:cs="Arial"/>
          <w:szCs w:val="20"/>
        </w:rPr>
      </w:pPr>
      <w:r>
        <w:rPr>
          <w:rFonts w:ascii="Arial" w:hAnsi="Arial" w:cs="Arial"/>
          <w:b/>
          <w:bCs/>
          <w:i/>
          <w:iCs/>
          <w:szCs w:val="20"/>
        </w:rPr>
        <w:t>C</w:t>
      </w:r>
      <w:bookmarkStart w:id="20" w:name="a020_v1"/>
      <w:bookmarkEnd w:id="20"/>
      <w:r>
        <w:rPr>
          <w:rFonts w:ascii="Arial" w:hAnsi="Arial" w:cs="Arial"/>
          <w:b/>
          <w:bCs/>
          <w:i/>
          <w:iCs/>
          <w:szCs w:val="20"/>
        </w:rPr>
        <w:t>ompensation Committee Interlocks and Insider Participation</w:t>
      </w:r>
    </w:p>
    <w:p w:rsidR="00376768" w:rsidRDefault="00EC2B72">
      <w:pPr>
        <w:spacing w:before="160"/>
        <w:ind w:firstLine="360"/>
        <w:jc w:val="both"/>
        <w:rPr>
          <w:rFonts w:ascii="Arial" w:hAnsi="Arial" w:cs="Arial"/>
          <w:szCs w:val="20"/>
        </w:rPr>
      </w:pPr>
      <w:r>
        <w:rPr>
          <w:rFonts w:ascii="Arial" w:hAnsi="Arial" w:cs="Arial"/>
          <w:szCs w:val="20"/>
        </w:rPr>
        <w:t>All members of the Compensation Committee are independent directors, and none are present or past employees or officers of the Company or any of its subsidiaries. No member of the Compensation Committee has had any relationship with the Company requiring disclosure under Item 404 of SEC Regulation S-K. The Company’s executive officers have not served on the Board or Compensation Committee (or other committee serving an equivalent function) of any other entity, whose executive officers have served on the Company’s Board or Compensation Committee.</w:t>
      </w:r>
    </w:p>
    <w:p w:rsidR="00376768" w:rsidRDefault="00EC2B72">
      <w:pPr>
        <w:spacing w:before="160"/>
        <w:jc w:val="both"/>
        <w:rPr>
          <w:rFonts w:ascii="Arial" w:hAnsi="Arial" w:cs="Arial"/>
          <w:szCs w:val="20"/>
        </w:rPr>
      </w:pPr>
      <w:r>
        <w:rPr>
          <w:rFonts w:ascii="Arial" w:hAnsi="Arial" w:cs="Arial"/>
          <w:b/>
          <w:bCs/>
          <w:i/>
          <w:iCs/>
          <w:szCs w:val="20"/>
        </w:rPr>
        <w:t>Se</w:t>
      </w:r>
      <w:bookmarkStart w:id="21" w:name="a021_v1"/>
      <w:bookmarkEnd w:id="21"/>
      <w:r>
        <w:rPr>
          <w:rFonts w:ascii="Arial" w:hAnsi="Arial" w:cs="Arial"/>
          <w:b/>
          <w:bCs/>
          <w:i/>
          <w:iCs/>
          <w:szCs w:val="20"/>
        </w:rPr>
        <w:t>ction 16(a) Beneficial Ownership Reporting Compliance</w:t>
      </w:r>
    </w:p>
    <w:p w:rsidR="00376768" w:rsidRDefault="00EC2B72">
      <w:pPr>
        <w:spacing w:before="160"/>
        <w:ind w:firstLine="360"/>
        <w:jc w:val="both"/>
        <w:rPr>
          <w:rFonts w:ascii="Arial" w:hAnsi="Arial" w:cs="Arial"/>
          <w:szCs w:val="20"/>
        </w:rPr>
      </w:pPr>
      <w:r>
        <w:rPr>
          <w:rFonts w:ascii="Arial" w:hAnsi="Arial" w:cs="Arial"/>
          <w:szCs w:val="20"/>
        </w:rPr>
        <w:t>Section 16(a) of the Exchange Act requires the Company’s officers and directors, and persons who own more than 10% of a registered class of the Company’s equity securities, to file reports of ownership and changes in ownership of such securities with the SEC and NASDAQ. Officers, directors, and beneficial owners of more than 10% of the Company’s shares are required by applicable regulations to furnish the Company with copies of all Section 16(a) forms they file.</w:t>
      </w:r>
    </w:p>
    <w:p w:rsidR="00376768" w:rsidRDefault="00EC2B72">
      <w:pPr>
        <w:spacing w:before="160"/>
        <w:ind w:firstLine="360"/>
        <w:jc w:val="both"/>
        <w:rPr>
          <w:rFonts w:ascii="Arial" w:hAnsi="Arial" w:cs="Arial"/>
          <w:szCs w:val="20"/>
        </w:rPr>
      </w:pPr>
      <w:r>
        <w:rPr>
          <w:rFonts w:ascii="Arial" w:hAnsi="Arial" w:cs="Arial"/>
          <w:szCs w:val="20"/>
        </w:rPr>
        <w:t xml:space="preserve">Based solely upon a review of the copies of the forms furnished to the Company, or written representations from certain reporting persons that no Forms 5 </w:t>
      </w:r>
      <w:proofErr w:type="gramStart"/>
      <w:r>
        <w:rPr>
          <w:rFonts w:ascii="Arial" w:hAnsi="Arial" w:cs="Arial"/>
          <w:szCs w:val="20"/>
        </w:rPr>
        <w:t>were</w:t>
      </w:r>
      <w:proofErr w:type="gramEnd"/>
      <w:r>
        <w:rPr>
          <w:rFonts w:ascii="Arial" w:hAnsi="Arial" w:cs="Arial"/>
          <w:szCs w:val="20"/>
        </w:rPr>
        <w:t xml:space="preserve"> required, we believe that all filing requirements applicable to our officers and directors and 10% beneficial owners were met through December 31, 2017. However, Mr. </w:t>
      </w:r>
      <w:proofErr w:type="spellStart"/>
      <w:r>
        <w:rPr>
          <w:rFonts w:ascii="Arial" w:hAnsi="Arial" w:cs="Arial"/>
          <w:szCs w:val="20"/>
        </w:rPr>
        <w:t>Vizi</w:t>
      </w:r>
      <w:proofErr w:type="spellEnd"/>
      <w:r>
        <w:rPr>
          <w:rFonts w:ascii="Arial" w:hAnsi="Arial" w:cs="Arial"/>
          <w:szCs w:val="20"/>
        </w:rPr>
        <w:t xml:space="preserve"> and Legion Partners inadvertently filed a Form 4 one day late on October 4, 2017, regarding an acquisition of deferred stock units resulting from an election to receive stock in lieu of quarterly director cash payments.</w:t>
      </w:r>
    </w:p>
    <w:p w:rsidR="00376768" w:rsidRDefault="00EC2B72">
      <w:pPr>
        <w:spacing w:before="160"/>
        <w:jc w:val="center"/>
        <w:rPr>
          <w:rFonts w:ascii="Arial" w:hAnsi="Arial" w:cs="Arial"/>
          <w:szCs w:val="20"/>
        </w:rPr>
      </w:pPr>
      <w:r>
        <w:rPr>
          <w:rFonts w:ascii="Arial" w:hAnsi="Arial" w:cs="Arial"/>
          <w:b/>
          <w:bCs/>
          <w:szCs w:val="20"/>
        </w:rPr>
        <w:t>EXE</w:t>
      </w:r>
      <w:bookmarkStart w:id="22" w:name="a022_v1"/>
      <w:bookmarkEnd w:id="22"/>
      <w:r>
        <w:rPr>
          <w:rFonts w:ascii="Arial" w:hAnsi="Arial" w:cs="Arial"/>
          <w:b/>
          <w:bCs/>
          <w:szCs w:val="20"/>
        </w:rPr>
        <w:t>CUTIVE COMPENSATION</w:t>
      </w:r>
    </w:p>
    <w:p w:rsidR="00376768" w:rsidRDefault="00EC2B72">
      <w:pPr>
        <w:spacing w:before="160"/>
        <w:rPr>
          <w:rFonts w:ascii="Arial" w:hAnsi="Arial" w:cs="Arial"/>
          <w:szCs w:val="20"/>
        </w:rPr>
      </w:pPr>
      <w:r>
        <w:rPr>
          <w:rFonts w:ascii="Arial" w:hAnsi="Arial" w:cs="Arial"/>
          <w:b/>
          <w:bCs/>
          <w:i/>
          <w:iCs/>
          <w:szCs w:val="20"/>
        </w:rPr>
        <w:t>Co</w:t>
      </w:r>
      <w:bookmarkStart w:id="23" w:name="a023_v1"/>
      <w:bookmarkEnd w:id="23"/>
      <w:r>
        <w:rPr>
          <w:rFonts w:ascii="Arial" w:hAnsi="Arial" w:cs="Arial"/>
          <w:b/>
          <w:bCs/>
          <w:i/>
          <w:iCs/>
          <w:szCs w:val="20"/>
        </w:rPr>
        <w:t>mpensation Discussion and Analysis</w:t>
      </w:r>
    </w:p>
    <w:p w:rsidR="00376768" w:rsidRDefault="00EC2B72">
      <w:pPr>
        <w:spacing w:before="160"/>
        <w:jc w:val="center"/>
        <w:rPr>
          <w:rFonts w:ascii="Arial" w:hAnsi="Arial" w:cs="Arial"/>
          <w:szCs w:val="20"/>
        </w:rPr>
      </w:pPr>
      <w:r>
        <w:rPr>
          <w:rFonts w:ascii="Arial" w:hAnsi="Arial" w:cs="Arial"/>
          <w:b/>
          <w:bCs/>
          <w:i/>
          <w:iCs/>
          <w:szCs w:val="20"/>
          <w:u w:val="single"/>
        </w:rPr>
        <w:t>Int</w:t>
      </w:r>
      <w:bookmarkStart w:id="24" w:name="a024_v1"/>
      <w:bookmarkEnd w:id="24"/>
      <w:r>
        <w:rPr>
          <w:rFonts w:ascii="Arial" w:hAnsi="Arial" w:cs="Arial"/>
          <w:b/>
          <w:bCs/>
          <w:i/>
          <w:iCs/>
          <w:szCs w:val="20"/>
          <w:u w:val="single"/>
        </w:rPr>
        <w:t>roduction</w:t>
      </w:r>
    </w:p>
    <w:p w:rsidR="00376768" w:rsidRDefault="00EC2B72">
      <w:pPr>
        <w:spacing w:before="160"/>
        <w:ind w:firstLine="360"/>
        <w:jc w:val="both"/>
        <w:rPr>
          <w:rFonts w:ascii="Arial" w:hAnsi="Arial" w:cs="Arial"/>
          <w:szCs w:val="20"/>
        </w:rPr>
      </w:pPr>
      <w:r>
        <w:rPr>
          <w:rFonts w:ascii="Arial" w:hAnsi="Arial" w:cs="Arial"/>
          <w:szCs w:val="20"/>
        </w:rPr>
        <w:t>In this Compensation Discussion and Analysis (“CD&amp;A”), we summarize the compensation awarded to our executive officers listed in the Summary Compensation Table on page 54. We refer to these executive officers as our “named executive officers” or “NEOs.”</w:t>
      </w:r>
    </w:p>
    <w:p w:rsidR="00376768" w:rsidRDefault="00EC2B72">
      <w:pPr>
        <w:spacing w:before="160"/>
        <w:ind w:firstLine="360"/>
        <w:jc w:val="both"/>
        <w:rPr>
          <w:rFonts w:ascii="Arial" w:hAnsi="Arial" w:cs="Arial"/>
          <w:szCs w:val="20"/>
        </w:rPr>
      </w:pPr>
      <w:r>
        <w:rPr>
          <w:rFonts w:ascii="Arial" w:hAnsi="Arial" w:cs="Arial"/>
          <w:szCs w:val="20"/>
        </w:rPr>
        <w:t xml:space="preserve">For 2017, the NEOs were: </w:t>
      </w:r>
    </w:p>
    <w:p w:rsidR="00376768" w:rsidRDefault="00376768">
      <w:pPr>
        <w:jc w:val="both"/>
        <w:rPr>
          <w:rFonts w:ascii="Arial" w:hAnsi="Arial" w:cs="Arial"/>
          <w:szCs w:val="20"/>
        </w:rPr>
      </w:pPr>
    </w:p>
    <w:tbl>
      <w:tblPr>
        <w:tblW w:w="4500" w:type="pct"/>
        <w:jc w:val="center"/>
        <w:tblLayout w:type="fixed"/>
        <w:tblCellMar>
          <w:left w:w="0" w:type="dxa"/>
          <w:right w:w="0" w:type="dxa"/>
        </w:tblCellMar>
        <w:tblLook w:val="0000" w:firstRow="0" w:lastRow="0" w:firstColumn="0" w:lastColumn="0" w:noHBand="0" w:noVBand="0"/>
      </w:tblPr>
      <w:tblGrid>
        <w:gridCol w:w="2762"/>
        <w:gridCol w:w="6963"/>
      </w:tblGrid>
      <w:tr w:rsidR="00376768">
        <w:trPr>
          <w:jc w:val="center"/>
        </w:trPr>
        <w:tc>
          <w:tcPr>
            <w:tcW w:w="1420" w:type="pct"/>
            <w:tcBorders>
              <w:top w:val="single" w:sz="2" w:space="0" w:color="000000"/>
              <w:left w:val="single" w:sz="2" w:space="0" w:color="000000"/>
              <w:bottom w:val="single" w:sz="2" w:space="0" w:color="000000"/>
              <w:right w:val="single" w:sz="2" w:space="0" w:color="000000"/>
            </w:tcBorders>
            <w:shd w:val="clear" w:color="auto" w:fill="B5DBE7"/>
          </w:tcPr>
          <w:p w:rsidR="00376768" w:rsidRDefault="00EC2B72">
            <w:pPr>
              <w:spacing w:before="60" w:after="60"/>
              <w:ind w:left="346" w:hanging="173"/>
              <w:rPr>
                <w:rFonts w:ascii="Arial" w:hAnsi="Arial" w:cs="Arial"/>
                <w:sz w:val="18"/>
                <w:szCs w:val="16"/>
              </w:rPr>
            </w:pPr>
            <w:r>
              <w:rPr>
                <w:rFonts w:ascii="Arial" w:hAnsi="Arial" w:cs="Arial"/>
                <w:b/>
                <w:bCs/>
                <w:sz w:val="18"/>
                <w:szCs w:val="16"/>
                <w:u w:val="single"/>
              </w:rPr>
              <w:t>NAME</w:t>
            </w:r>
          </w:p>
        </w:tc>
        <w:tc>
          <w:tcPr>
            <w:tcW w:w="3580" w:type="pct"/>
            <w:tcBorders>
              <w:top w:val="single" w:sz="2" w:space="0" w:color="000000"/>
              <w:left w:val="single" w:sz="2" w:space="0" w:color="000000"/>
              <w:bottom w:val="single" w:sz="2" w:space="0" w:color="000000"/>
              <w:right w:val="single" w:sz="2" w:space="0" w:color="000000"/>
            </w:tcBorders>
            <w:shd w:val="clear" w:color="auto" w:fill="B5DBE7"/>
          </w:tcPr>
          <w:p w:rsidR="00376768" w:rsidRDefault="00EC2B72">
            <w:pPr>
              <w:spacing w:before="60" w:after="60"/>
              <w:jc w:val="center"/>
              <w:rPr>
                <w:rFonts w:ascii="Arial" w:hAnsi="Arial" w:cs="Arial"/>
                <w:sz w:val="18"/>
                <w:szCs w:val="16"/>
              </w:rPr>
            </w:pPr>
            <w:r>
              <w:rPr>
                <w:rFonts w:ascii="Arial" w:hAnsi="Arial" w:cs="Arial"/>
                <w:b/>
                <w:bCs/>
                <w:sz w:val="18"/>
                <w:szCs w:val="16"/>
                <w:u w:val="single"/>
              </w:rPr>
              <w:t>TITLE</w:t>
            </w:r>
          </w:p>
        </w:tc>
      </w:tr>
      <w:tr w:rsidR="00376768">
        <w:trPr>
          <w:jc w:val="center"/>
        </w:trPr>
        <w:tc>
          <w:tcPr>
            <w:tcW w:w="1420" w:type="pct"/>
            <w:tcBorders>
              <w:top w:val="single" w:sz="2" w:space="0" w:color="000000"/>
              <w:left w:val="single" w:sz="2" w:space="0" w:color="000000"/>
              <w:bottom w:val="single" w:sz="2" w:space="0" w:color="000000"/>
              <w:right w:val="single" w:sz="2" w:space="0" w:color="000000"/>
            </w:tcBorders>
          </w:tcPr>
          <w:p w:rsidR="00376768" w:rsidRDefault="00EC2B72">
            <w:pPr>
              <w:spacing w:before="60" w:after="60"/>
              <w:ind w:left="346" w:hanging="173"/>
              <w:rPr>
                <w:rFonts w:ascii="Arial" w:hAnsi="Arial" w:cs="Arial"/>
                <w:sz w:val="18"/>
                <w:szCs w:val="20"/>
              </w:rPr>
            </w:pPr>
            <w:r>
              <w:rPr>
                <w:rFonts w:ascii="Arial" w:hAnsi="Arial" w:cs="Arial"/>
                <w:sz w:val="18"/>
                <w:szCs w:val="20"/>
              </w:rPr>
              <w:t>Robert P. Bauer</w:t>
            </w:r>
          </w:p>
        </w:tc>
        <w:tc>
          <w:tcPr>
            <w:tcW w:w="3580" w:type="pct"/>
            <w:tcBorders>
              <w:top w:val="single" w:sz="2" w:space="0" w:color="000000"/>
              <w:left w:val="single" w:sz="2" w:space="0" w:color="000000"/>
              <w:bottom w:val="single" w:sz="2" w:space="0" w:color="000000"/>
              <w:right w:val="single" w:sz="2" w:space="0" w:color="000000"/>
            </w:tcBorders>
          </w:tcPr>
          <w:p w:rsidR="00376768" w:rsidRDefault="00EC2B72">
            <w:pPr>
              <w:spacing w:before="60" w:after="60"/>
              <w:ind w:left="346" w:hanging="173"/>
              <w:rPr>
                <w:rFonts w:ascii="Arial" w:hAnsi="Arial" w:cs="Arial"/>
                <w:sz w:val="18"/>
                <w:szCs w:val="20"/>
              </w:rPr>
            </w:pPr>
            <w:r>
              <w:rPr>
                <w:rFonts w:ascii="Arial" w:hAnsi="Arial" w:cs="Arial"/>
                <w:sz w:val="18"/>
                <w:szCs w:val="20"/>
              </w:rPr>
              <w:t>President and CEO</w:t>
            </w:r>
          </w:p>
        </w:tc>
      </w:tr>
      <w:tr w:rsidR="00376768">
        <w:trPr>
          <w:jc w:val="center"/>
        </w:trPr>
        <w:tc>
          <w:tcPr>
            <w:tcW w:w="1420" w:type="pct"/>
            <w:tcBorders>
              <w:top w:val="single" w:sz="2" w:space="0" w:color="000000"/>
              <w:left w:val="single" w:sz="2" w:space="0" w:color="000000"/>
              <w:bottom w:val="single" w:sz="2" w:space="0" w:color="000000"/>
              <w:right w:val="single" w:sz="2" w:space="0" w:color="000000"/>
            </w:tcBorders>
            <w:shd w:val="clear" w:color="auto" w:fill="DEEFF7"/>
          </w:tcPr>
          <w:p w:rsidR="00376768" w:rsidRDefault="00EC2B72">
            <w:pPr>
              <w:spacing w:before="60" w:after="60"/>
              <w:ind w:left="346" w:hanging="173"/>
              <w:rPr>
                <w:rFonts w:ascii="Arial" w:hAnsi="Arial" w:cs="Arial"/>
                <w:sz w:val="18"/>
                <w:szCs w:val="20"/>
              </w:rPr>
            </w:pPr>
            <w:r>
              <w:rPr>
                <w:rFonts w:ascii="Arial" w:hAnsi="Arial" w:cs="Arial"/>
                <w:sz w:val="18"/>
                <w:szCs w:val="20"/>
              </w:rPr>
              <w:t>James P. Maloney</w:t>
            </w:r>
          </w:p>
        </w:tc>
        <w:tc>
          <w:tcPr>
            <w:tcW w:w="3580" w:type="pct"/>
            <w:tcBorders>
              <w:top w:val="single" w:sz="2" w:space="0" w:color="000000"/>
              <w:left w:val="single" w:sz="2" w:space="0" w:color="000000"/>
              <w:bottom w:val="single" w:sz="2" w:space="0" w:color="000000"/>
              <w:right w:val="single" w:sz="2" w:space="0" w:color="000000"/>
            </w:tcBorders>
            <w:shd w:val="clear" w:color="auto" w:fill="DEEFF7"/>
          </w:tcPr>
          <w:p w:rsidR="00376768" w:rsidRDefault="00EC2B72">
            <w:pPr>
              <w:spacing w:before="60" w:after="60"/>
              <w:ind w:left="346" w:hanging="173"/>
              <w:rPr>
                <w:rFonts w:ascii="Arial" w:hAnsi="Arial" w:cs="Arial"/>
                <w:sz w:val="18"/>
                <w:szCs w:val="20"/>
              </w:rPr>
            </w:pPr>
            <w:r>
              <w:rPr>
                <w:rFonts w:ascii="Arial" w:hAnsi="Arial" w:cs="Arial"/>
                <w:sz w:val="18"/>
                <w:szCs w:val="20"/>
              </w:rPr>
              <w:t>Senior Vice President, Chief Financial Officer and Treasurer</w:t>
            </w:r>
          </w:p>
        </w:tc>
      </w:tr>
      <w:tr w:rsidR="00376768">
        <w:trPr>
          <w:jc w:val="center"/>
        </w:trPr>
        <w:tc>
          <w:tcPr>
            <w:tcW w:w="1420" w:type="pct"/>
            <w:tcBorders>
              <w:top w:val="single" w:sz="2" w:space="0" w:color="000000"/>
              <w:left w:val="single" w:sz="2" w:space="0" w:color="000000"/>
              <w:bottom w:val="single" w:sz="2" w:space="0" w:color="000000"/>
              <w:right w:val="single" w:sz="2" w:space="0" w:color="000000"/>
            </w:tcBorders>
          </w:tcPr>
          <w:p w:rsidR="00376768" w:rsidRDefault="00EC2B72">
            <w:pPr>
              <w:spacing w:before="60" w:after="60"/>
              <w:ind w:left="346" w:hanging="173"/>
              <w:rPr>
                <w:rFonts w:ascii="Arial" w:hAnsi="Arial" w:cs="Arial"/>
                <w:sz w:val="18"/>
                <w:szCs w:val="20"/>
              </w:rPr>
            </w:pPr>
            <w:r>
              <w:rPr>
                <w:rFonts w:ascii="Arial" w:hAnsi="Arial" w:cs="Arial"/>
                <w:sz w:val="18"/>
                <w:szCs w:val="20"/>
              </w:rPr>
              <w:t>David J. Russo*</w:t>
            </w:r>
          </w:p>
        </w:tc>
        <w:tc>
          <w:tcPr>
            <w:tcW w:w="3580" w:type="pct"/>
            <w:tcBorders>
              <w:top w:val="single" w:sz="2" w:space="0" w:color="000000"/>
              <w:left w:val="single" w:sz="2" w:space="0" w:color="000000"/>
              <w:bottom w:val="single" w:sz="2" w:space="0" w:color="000000"/>
              <w:right w:val="single" w:sz="2" w:space="0" w:color="000000"/>
            </w:tcBorders>
          </w:tcPr>
          <w:p w:rsidR="00376768" w:rsidRDefault="00EC2B72">
            <w:pPr>
              <w:spacing w:before="60" w:after="60"/>
              <w:ind w:left="346" w:hanging="173"/>
              <w:rPr>
                <w:rFonts w:ascii="Arial" w:hAnsi="Arial" w:cs="Arial"/>
                <w:sz w:val="18"/>
                <w:szCs w:val="20"/>
              </w:rPr>
            </w:pPr>
            <w:r>
              <w:rPr>
                <w:rFonts w:ascii="Arial" w:hAnsi="Arial" w:cs="Arial"/>
                <w:sz w:val="18"/>
                <w:szCs w:val="20"/>
              </w:rPr>
              <w:t>Former Senior Vice President, Chief Financial Officer and Treasurer</w:t>
            </w:r>
          </w:p>
        </w:tc>
      </w:tr>
      <w:tr w:rsidR="00376768">
        <w:trPr>
          <w:jc w:val="center"/>
        </w:trPr>
        <w:tc>
          <w:tcPr>
            <w:tcW w:w="1420" w:type="pct"/>
            <w:tcBorders>
              <w:top w:val="single" w:sz="2" w:space="0" w:color="000000"/>
              <w:left w:val="single" w:sz="2" w:space="0" w:color="000000"/>
              <w:bottom w:val="single" w:sz="2" w:space="0" w:color="000000"/>
              <w:right w:val="single" w:sz="2" w:space="0" w:color="000000"/>
            </w:tcBorders>
            <w:shd w:val="clear" w:color="auto" w:fill="DEEFF7"/>
          </w:tcPr>
          <w:p w:rsidR="00376768" w:rsidRDefault="00EC2B72">
            <w:pPr>
              <w:spacing w:before="60" w:after="60"/>
              <w:ind w:left="346" w:hanging="173"/>
              <w:rPr>
                <w:rFonts w:ascii="Arial" w:hAnsi="Arial" w:cs="Arial"/>
                <w:sz w:val="18"/>
                <w:szCs w:val="20"/>
              </w:rPr>
            </w:pPr>
            <w:r>
              <w:rPr>
                <w:rFonts w:ascii="Arial" w:hAnsi="Arial" w:cs="Arial"/>
                <w:sz w:val="18"/>
                <w:szCs w:val="20"/>
              </w:rPr>
              <w:t>Christopher T. Scanlon**</w:t>
            </w:r>
          </w:p>
        </w:tc>
        <w:tc>
          <w:tcPr>
            <w:tcW w:w="3580" w:type="pct"/>
            <w:tcBorders>
              <w:top w:val="single" w:sz="2" w:space="0" w:color="000000"/>
              <w:left w:val="single" w:sz="2" w:space="0" w:color="000000"/>
              <w:bottom w:val="single" w:sz="2" w:space="0" w:color="000000"/>
              <w:right w:val="single" w:sz="2" w:space="0" w:color="000000"/>
            </w:tcBorders>
            <w:shd w:val="clear" w:color="auto" w:fill="DEEFF7"/>
          </w:tcPr>
          <w:p w:rsidR="00376768" w:rsidRDefault="00EC2B72">
            <w:pPr>
              <w:spacing w:before="60" w:after="60"/>
              <w:ind w:left="346" w:hanging="173"/>
              <w:rPr>
                <w:rFonts w:ascii="Arial" w:hAnsi="Arial" w:cs="Arial"/>
                <w:sz w:val="18"/>
                <w:szCs w:val="20"/>
              </w:rPr>
            </w:pPr>
            <w:r>
              <w:rPr>
                <w:rFonts w:ascii="Arial" w:hAnsi="Arial" w:cs="Arial"/>
                <w:sz w:val="18"/>
                <w:szCs w:val="20"/>
              </w:rPr>
              <w:t>Former Controller and Chief Accounting Officer</w:t>
            </w:r>
          </w:p>
        </w:tc>
      </w:tr>
      <w:tr w:rsidR="00376768">
        <w:trPr>
          <w:jc w:val="center"/>
        </w:trPr>
        <w:tc>
          <w:tcPr>
            <w:tcW w:w="1420" w:type="pct"/>
            <w:tcBorders>
              <w:top w:val="single" w:sz="2" w:space="0" w:color="000000"/>
              <w:left w:val="single" w:sz="2" w:space="0" w:color="000000"/>
              <w:bottom w:val="single" w:sz="2" w:space="0" w:color="000000"/>
              <w:right w:val="single" w:sz="2" w:space="0" w:color="000000"/>
            </w:tcBorders>
          </w:tcPr>
          <w:p w:rsidR="00376768" w:rsidRDefault="00EC2B72">
            <w:pPr>
              <w:spacing w:before="60" w:after="60"/>
              <w:ind w:left="346" w:hanging="173"/>
              <w:rPr>
                <w:rFonts w:ascii="Arial" w:hAnsi="Arial" w:cs="Arial"/>
                <w:sz w:val="18"/>
                <w:szCs w:val="20"/>
              </w:rPr>
            </w:pPr>
            <w:r>
              <w:rPr>
                <w:rFonts w:ascii="Arial" w:hAnsi="Arial" w:cs="Arial"/>
                <w:sz w:val="18"/>
                <w:szCs w:val="20"/>
              </w:rPr>
              <w:t xml:space="preserve">John F. </w:t>
            </w:r>
            <w:proofErr w:type="spellStart"/>
            <w:r>
              <w:rPr>
                <w:rFonts w:ascii="Arial" w:hAnsi="Arial" w:cs="Arial"/>
                <w:sz w:val="18"/>
                <w:szCs w:val="20"/>
              </w:rPr>
              <w:t>Kasel</w:t>
            </w:r>
            <w:proofErr w:type="spellEnd"/>
          </w:p>
        </w:tc>
        <w:tc>
          <w:tcPr>
            <w:tcW w:w="3580" w:type="pct"/>
            <w:tcBorders>
              <w:top w:val="single" w:sz="2" w:space="0" w:color="000000"/>
              <w:left w:val="single" w:sz="2" w:space="0" w:color="000000"/>
              <w:bottom w:val="single" w:sz="2" w:space="0" w:color="000000"/>
              <w:right w:val="single" w:sz="2" w:space="0" w:color="000000"/>
            </w:tcBorders>
          </w:tcPr>
          <w:p w:rsidR="00376768" w:rsidRDefault="00EC2B72">
            <w:pPr>
              <w:spacing w:before="60" w:after="60"/>
              <w:ind w:left="346" w:hanging="173"/>
              <w:rPr>
                <w:rFonts w:ascii="Arial" w:hAnsi="Arial" w:cs="Arial"/>
                <w:sz w:val="18"/>
                <w:szCs w:val="20"/>
              </w:rPr>
            </w:pPr>
            <w:r>
              <w:rPr>
                <w:rFonts w:ascii="Arial" w:hAnsi="Arial" w:cs="Arial"/>
                <w:sz w:val="18"/>
                <w:szCs w:val="20"/>
              </w:rPr>
              <w:t>Senior Vice President, Rail Business</w:t>
            </w:r>
          </w:p>
        </w:tc>
      </w:tr>
      <w:tr w:rsidR="00376768">
        <w:trPr>
          <w:jc w:val="center"/>
        </w:trPr>
        <w:tc>
          <w:tcPr>
            <w:tcW w:w="1420" w:type="pct"/>
            <w:tcBorders>
              <w:top w:val="single" w:sz="2" w:space="0" w:color="000000"/>
              <w:left w:val="single" w:sz="2" w:space="0" w:color="000000"/>
              <w:bottom w:val="single" w:sz="2" w:space="0" w:color="000000"/>
              <w:right w:val="single" w:sz="2" w:space="0" w:color="000000"/>
            </w:tcBorders>
            <w:shd w:val="clear" w:color="auto" w:fill="DEEFF7"/>
          </w:tcPr>
          <w:p w:rsidR="00376768" w:rsidRDefault="00EC2B72">
            <w:pPr>
              <w:spacing w:before="60" w:after="60"/>
              <w:ind w:left="346" w:hanging="173"/>
              <w:rPr>
                <w:rFonts w:ascii="Arial" w:hAnsi="Arial" w:cs="Arial"/>
                <w:sz w:val="18"/>
                <w:szCs w:val="20"/>
              </w:rPr>
            </w:pPr>
            <w:r>
              <w:rPr>
                <w:rFonts w:ascii="Arial" w:hAnsi="Arial" w:cs="Arial"/>
                <w:sz w:val="18"/>
                <w:szCs w:val="20"/>
              </w:rPr>
              <w:t xml:space="preserve">Patrick J. </w:t>
            </w:r>
            <w:proofErr w:type="spellStart"/>
            <w:r>
              <w:rPr>
                <w:rFonts w:ascii="Arial" w:hAnsi="Arial" w:cs="Arial"/>
                <w:sz w:val="18"/>
                <w:szCs w:val="20"/>
              </w:rPr>
              <w:t>Guinee</w:t>
            </w:r>
            <w:proofErr w:type="spellEnd"/>
          </w:p>
        </w:tc>
        <w:tc>
          <w:tcPr>
            <w:tcW w:w="3580" w:type="pct"/>
            <w:tcBorders>
              <w:top w:val="single" w:sz="2" w:space="0" w:color="000000"/>
              <w:left w:val="single" w:sz="2" w:space="0" w:color="000000"/>
              <w:bottom w:val="single" w:sz="2" w:space="0" w:color="000000"/>
              <w:right w:val="single" w:sz="2" w:space="0" w:color="000000"/>
            </w:tcBorders>
            <w:shd w:val="clear" w:color="auto" w:fill="DEEFF7"/>
          </w:tcPr>
          <w:p w:rsidR="00376768" w:rsidRDefault="00EC2B72">
            <w:pPr>
              <w:spacing w:before="60" w:after="60"/>
              <w:ind w:left="346" w:hanging="173"/>
              <w:rPr>
                <w:rFonts w:ascii="Arial" w:hAnsi="Arial" w:cs="Arial"/>
                <w:sz w:val="18"/>
                <w:szCs w:val="20"/>
              </w:rPr>
            </w:pPr>
            <w:r>
              <w:rPr>
                <w:rFonts w:ascii="Arial" w:hAnsi="Arial" w:cs="Arial"/>
                <w:sz w:val="18"/>
                <w:szCs w:val="20"/>
              </w:rPr>
              <w:t>Senior Vice President, General Counsel and Corporate Secretary</w:t>
            </w:r>
          </w:p>
        </w:tc>
      </w:tr>
      <w:tr w:rsidR="00376768">
        <w:trPr>
          <w:jc w:val="center"/>
        </w:trPr>
        <w:tc>
          <w:tcPr>
            <w:tcW w:w="1420" w:type="pct"/>
            <w:tcBorders>
              <w:top w:val="single" w:sz="2" w:space="0" w:color="000000"/>
              <w:left w:val="single" w:sz="2" w:space="0" w:color="000000"/>
              <w:bottom w:val="single" w:sz="2" w:space="0" w:color="000000"/>
              <w:right w:val="single" w:sz="2" w:space="0" w:color="000000"/>
            </w:tcBorders>
          </w:tcPr>
          <w:p w:rsidR="00376768" w:rsidRDefault="00EC2B72">
            <w:pPr>
              <w:spacing w:before="60" w:after="60"/>
              <w:ind w:left="346" w:hanging="173"/>
              <w:rPr>
                <w:rFonts w:ascii="Arial" w:hAnsi="Arial" w:cs="Arial"/>
                <w:sz w:val="18"/>
                <w:szCs w:val="20"/>
              </w:rPr>
            </w:pPr>
            <w:r>
              <w:rPr>
                <w:rFonts w:ascii="Arial" w:hAnsi="Arial" w:cs="Arial"/>
                <w:sz w:val="18"/>
                <w:szCs w:val="20"/>
              </w:rPr>
              <w:t>Brian H. Kelly</w:t>
            </w:r>
          </w:p>
        </w:tc>
        <w:tc>
          <w:tcPr>
            <w:tcW w:w="3580" w:type="pct"/>
            <w:tcBorders>
              <w:top w:val="single" w:sz="2" w:space="0" w:color="000000"/>
              <w:left w:val="single" w:sz="2" w:space="0" w:color="000000"/>
              <w:bottom w:val="single" w:sz="2" w:space="0" w:color="000000"/>
              <w:right w:val="single" w:sz="2" w:space="0" w:color="000000"/>
            </w:tcBorders>
          </w:tcPr>
          <w:p w:rsidR="00376768" w:rsidRDefault="00EC2B72">
            <w:pPr>
              <w:spacing w:before="60" w:after="60"/>
              <w:ind w:left="346" w:hanging="173"/>
              <w:rPr>
                <w:rFonts w:ascii="Arial" w:hAnsi="Arial" w:cs="Arial"/>
                <w:sz w:val="18"/>
                <w:szCs w:val="20"/>
              </w:rPr>
            </w:pPr>
            <w:r>
              <w:rPr>
                <w:rFonts w:ascii="Arial" w:hAnsi="Arial" w:cs="Arial"/>
                <w:sz w:val="18"/>
                <w:szCs w:val="20"/>
              </w:rPr>
              <w:t>Senior Vice President, Human Resources and Administration</w:t>
            </w:r>
          </w:p>
        </w:tc>
      </w:tr>
    </w:tbl>
    <w:p w:rsidR="00376768" w:rsidRDefault="00376768">
      <w:pPr>
        <w:rPr>
          <w:sz w:val="16"/>
        </w:rPr>
      </w:pPr>
    </w:p>
    <w:tbl>
      <w:tblPr>
        <w:tblW w:w="4500" w:type="pct"/>
        <w:jc w:val="center"/>
        <w:tblLayout w:type="fixed"/>
        <w:tblCellMar>
          <w:left w:w="0" w:type="dxa"/>
          <w:right w:w="0" w:type="dxa"/>
        </w:tblCellMar>
        <w:tblLook w:val="0000" w:firstRow="0" w:lastRow="0" w:firstColumn="0" w:lastColumn="0" w:noHBand="0" w:noVBand="0"/>
      </w:tblPr>
      <w:tblGrid>
        <w:gridCol w:w="1944"/>
        <w:gridCol w:w="7776"/>
      </w:tblGrid>
      <w:tr w:rsidR="00376768">
        <w:trPr>
          <w:jc w:val="center"/>
        </w:trPr>
        <w:tc>
          <w:tcPr>
            <w:tcW w:w="1000" w:type="pct"/>
            <w:tcBorders>
              <w:bottom w:val="single" w:sz="2" w:space="0" w:color="000000"/>
            </w:tcBorders>
          </w:tcPr>
          <w:p w:rsidR="00376768" w:rsidRDefault="00376768">
            <w:pPr>
              <w:rPr>
                <w:sz w:val="2"/>
                <w:szCs w:val="2"/>
              </w:rPr>
            </w:pPr>
          </w:p>
        </w:tc>
        <w:tc>
          <w:tcPr>
            <w:tcW w:w="4000" w:type="pct"/>
          </w:tcPr>
          <w:p w:rsidR="00376768" w:rsidRDefault="00376768">
            <w:pPr>
              <w:rPr>
                <w:sz w:val="2"/>
                <w:szCs w:val="2"/>
              </w:rPr>
            </w:pPr>
          </w:p>
        </w:tc>
      </w:tr>
    </w:tbl>
    <w:p w:rsidR="00376768" w:rsidRDefault="00EC2B72">
      <w:pPr>
        <w:ind w:left="720"/>
        <w:rPr>
          <w:rFonts w:ascii="Arial" w:hAnsi="Arial" w:cs="Arial"/>
          <w:sz w:val="16"/>
          <w:szCs w:val="16"/>
        </w:rPr>
      </w:pPr>
      <w:r>
        <w:rPr>
          <w:rFonts w:ascii="Arial" w:hAnsi="Arial" w:cs="Arial"/>
          <w:sz w:val="16"/>
          <w:szCs w:val="16"/>
        </w:rPr>
        <w:t>*Mr. Russo resigned effective April 21, 2017.</w:t>
      </w:r>
    </w:p>
    <w:p w:rsidR="00376768" w:rsidRDefault="00376768">
      <w:pPr>
        <w:ind w:left="720"/>
        <w:rPr>
          <w:rFonts w:ascii="Arial" w:hAnsi="Arial" w:cs="Arial"/>
          <w:sz w:val="16"/>
          <w:szCs w:val="16"/>
        </w:rPr>
      </w:pPr>
    </w:p>
    <w:p w:rsidR="00376768" w:rsidRDefault="00EC2B72">
      <w:pPr>
        <w:ind w:left="720"/>
        <w:rPr>
          <w:rFonts w:ascii="Arial" w:hAnsi="Arial" w:cs="Arial"/>
          <w:sz w:val="16"/>
          <w:szCs w:val="16"/>
        </w:rPr>
      </w:pPr>
      <w:r>
        <w:rPr>
          <w:rFonts w:ascii="Arial" w:hAnsi="Arial" w:cs="Arial"/>
          <w:sz w:val="16"/>
          <w:szCs w:val="16"/>
        </w:rPr>
        <w:t>**Mr. Scanlon resigned effective March 30, 2018. He performed the duties of Chief Financial Officer on an interim basis from the date of Mr. Russo’s resignation until the hiring of Mr. Maloney as Chief Financial Officer.</w:t>
      </w:r>
    </w:p>
    <w:p w:rsidR="00376768" w:rsidRDefault="00EC2B72">
      <w:pPr>
        <w:jc w:val="center"/>
        <w:rPr>
          <w:rFonts w:ascii="Arial" w:hAnsi="Arial" w:cs="Arial"/>
          <w:szCs w:val="20"/>
        </w:rPr>
      </w:pPr>
      <w:r>
        <w:rPr>
          <w:rFonts w:ascii="Arial" w:hAnsi="Arial" w:cs="Arial"/>
          <w:b/>
          <w:bCs/>
          <w:i/>
          <w:iCs/>
          <w:szCs w:val="20"/>
          <w:u w:val="single"/>
        </w:rPr>
        <w:br w:type="page"/>
      </w:r>
      <w:r>
        <w:rPr>
          <w:rFonts w:ascii="Arial" w:hAnsi="Arial" w:cs="Arial"/>
          <w:b/>
          <w:bCs/>
          <w:i/>
          <w:iCs/>
          <w:szCs w:val="20"/>
          <w:u w:val="single"/>
        </w:rPr>
        <w:lastRenderedPageBreak/>
        <w:t>Ex</w:t>
      </w:r>
      <w:bookmarkStart w:id="25" w:name="a025_v1"/>
      <w:bookmarkEnd w:id="25"/>
      <w:r>
        <w:rPr>
          <w:rFonts w:ascii="Arial" w:hAnsi="Arial" w:cs="Arial"/>
          <w:b/>
          <w:bCs/>
          <w:i/>
          <w:iCs/>
          <w:szCs w:val="20"/>
          <w:u w:val="single"/>
        </w:rPr>
        <w:t>ecutive Summary</w:t>
      </w:r>
    </w:p>
    <w:p w:rsidR="00376768" w:rsidRDefault="00EC2B72">
      <w:pPr>
        <w:spacing w:before="160"/>
        <w:ind w:firstLine="360"/>
        <w:jc w:val="both"/>
        <w:rPr>
          <w:rFonts w:ascii="Arial" w:hAnsi="Arial" w:cs="Arial"/>
          <w:szCs w:val="20"/>
        </w:rPr>
      </w:pPr>
      <w:r>
        <w:rPr>
          <w:rFonts w:ascii="Arial" w:hAnsi="Arial" w:cs="Arial"/>
          <w:i/>
          <w:iCs/>
          <w:szCs w:val="20"/>
        </w:rPr>
        <w:t>Our Compensation Principles and Objectives</w:t>
      </w:r>
    </w:p>
    <w:p w:rsidR="00376768" w:rsidRDefault="00EC2B72">
      <w:pPr>
        <w:spacing w:before="160"/>
        <w:ind w:firstLine="360"/>
        <w:jc w:val="both"/>
        <w:rPr>
          <w:rFonts w:ascii="Arial" w:hAnsi="Arial" w:cs="Arial"/>
          <w:szCs w:val="20"/>
        </w:rPr>
      </w:pPr>
      <w:r>
        <w:rPr>
          <w:rFonts w:ascii="Arial" w:hAnsi="Arial" w:cs="Arial"/>
          <w:szCs w:val="20"/>
        </w:rPr>
        <w:t>The Company’s Compensation Committee (“Committee”) maintains a compensation philosophy that:</w:t>
      </w:r>
    </w:p>
    <w:p w:rsidR="00376768" w:rsidRDefault="00EC2B72">
      <w:pPr>
        <w:spacing w:before="160"/>
        <w:ind w:left="720" w:hanging="360"/>
        <w:jc w:val="both"/>
        <w:rPr>
          <w:rFonts w:ascii="Arial" w:hAnsi="Arial" w:cs="Arial"/>
          <w:szCs w:val="20"/>
        </w:rPr>
      </w:pPr>
      <w:r>
        <w:rPr>
          <w:rFonts w:ascii="Arial" w:hAnsi="Arial" w:cs="Arial"/>
          <w:szCs w:val="20"/>
        </w:rPr>
        <w:sym w:font="Symbol" w:char="F0B7"/>
      </w:r>
      <w:r>
        <w:rPr>
          <w:rFonts w:ascii="Arial" w:hAnsi="Arial" w:cs="Arial"/>
          <w:szCs w:val="20"/>
        </w:rPr>
        <w:tab/>
        <w:t>Facilitates the attraction and retention of talented and qualified executives; and</w:t>
      </w:r>
    </w:p>
    <w:p w:rsidR="00376768" w:rsidRDefault="00EC2B72">
      <w:pPr>
        <w:ind w:left="720" w:hanging="360"/>
        <w:jc w:val="both"/>
        <w:rPr>
          <w:rFonts w:ascii="Arial" w:hAnsi="Arial" w:cs="Arial"/>
          <w:szCs w:val="20"/>
        </w:rPr>
      </w:pPr>
      <w:r>
        <w:rPr>
          <w:rFonts w:ascii="Arial" w:hAnsi="Arial" w:cs="Arial"/>
          <w:szCs w:val="20"/>
        </w:rPr>
        <w:sym w:font="Symbol" w:char="F0B7"/>
      </w:r>
      <w:r>
        <w:rPr>
          <w:rFonts w:ascii="Arial" w:hAnsi="Arial" w:cs="Arial"/>
          <w:szCs w:val="20"/>
        </w:rPr>
        <w:tab/>
      </w:r>
      <w:proofErr w:type="gramStart"/>
      <w:r>
        <w:rPr>
          <w:rFonts w:ascii="Arial" w:hAnsi="Arial" w:cs="Arial"/>
          <w:szCs w:val="20"/>
        </w:rPr>
        <w:t>Seeks to align executive compensation with Company performance by rewarding initiative and positive financial and operating results, while being mindful of the current business climate.</w:t>
      </w:r>
      <w:proofErr w:type="gramEnd"/>
    </w:p>
    <w:p w:rsidR="00376768" w:rsidRDefault="00EC2B72">
      <w:pPr>
        <w:spacing w:before="160"/>
        <w:ind w:firstLine="360"/>
        <w:jc w:val="both"/>
        <w:rPr>
          <w:rFonts w:ascii="Arial" w:hAnsi="Arial" w:cs="Arial"/>
          <w:szCs w:val="20"/>
        </w:rPr>
      </w:pPr>
      <w:r>
        <w:rPr>
          <w:rFonts w:ascii="Arial" w:hAnsi="Arial" w:cs="Arial"/>
          <w:szCs w:val="20"/>
        </w:rPr>
        <w:t>To this end, the Company’s executive compensation program is designed to be balanced and reasonable and allow the Company to attract and retain the best talent available. Compensation opportunities are determined with reference to the 50th percentile or median of the market for positions of similar responsibility. In designing our plans, we do not use highly-leveraged incentives that we believe drive risky short-term behavior.</w:t>
      </w:r>
    </w:p>
    <w:p w:rsidR="00376768" w:rsidRDefault="00EC2B72">
      <w:pPr>
        <w:spacing w:before="160"/>
        <w:ind w:firstLine="360"/>
        <w:jc w:val="both"/>
        <w:rPr>
          <w:rFonts w:ascii="Arial" w:hAnsi="Arial" w:cs="Arial"/>
          <w:szCs w:val="20"/>
        </w:rPr>
      </w:pPr>
      <w:r>
        <w:rPr>
          <w:rFonts w:ascii="Arial" w:hAnsi="Arial" w:cs="Arial"/>
          <w:i/>
          <w:iCs/>
          <w:szCs w:val="20"/>
        </w:rPr>
        <w:t>Our Compensation Practices</w:t>
      </w:r>
    </w:p>
    <w:p w:rsidR="00376768" w:rsidRDefault="00EC2B72">
      <w:pPr>
        <w:spacing w:before="160"/>
        <w:ind w:firstLine="360"/>
        <w:jc w:val="both"/>
        <w:rPr>
          <w:rFonts w:ascii="Arial" w:hAnsi="Arial" w:cs="Arial"/>
          <w:szCs w:val="20"/>
        </w:rPr>
      </w:pPr>
      <w:r>
        <w:rPr>
          <w:rFonts w:ascii="Arial" w:hAnsi="Arial" w:cs="Arial"/>
          <w:szCs w:val="20"/>
        </w:rPr>
        <w:t>The Committee has implemented the following practices with respect to the Company’s executive compensation program:</w:t>
      </w:r>
    </w:p>
    <w:p w:rsidR="00376768" w:rsidRDefault="00EC2B72">
      <w:pPr>
        <w:spacing w:before="160"/>
        <w:jc w:val="both"/>
        <w:rPr>
          <w:rFonts w:ascii="Arial" w:hAnsi="Arial" w:cs="Arial"/>
          <w:szCs w:val="20"/>
        </w:rPr>
      </w:pPr>
      <w:r>
        <w:rPr>
          <w:rFonts w:ascii="Arial" w:hAnsi="Arial" w:cs="Arial"/>
          <w:b/>
          <w:bCs/>
          <w:szCs w:val="20"/>
        </w:rPr>
        <w:t>OUR PRACTICES INCLUDE:</w:t>
      </w:r>
    </w:p>
    <w:p w:rsidR="00376768" w:rsidRDefault="00EC2B72">
      <w:pPr>
        <w:spacing w:before="160"/>
        <w:ind w:left="720" w:hanging="360"/>
        <w:jc w:val="both"/>
        <w:rPr>
          <w:rFonts w:ascii="Arial" w:hAnsi="Arial" w:cs="Arial"/>
          <w:szCs w:val="20"/>
        </w:rPr>
      </w:pPr>
      <w:proofErr w:type="gramStart"/>
      <w:r>
        <w:rPr>
          <w:rFonts w:ascii="MS Gothic" w:eastAsia="MS Gothic" w:hAnsi="MS Gothic" w:cs="MS Gothic" w:hint="eastAsia"/>
          <w:szCs w:val="20"/>
        </w:rPr>
        <w:t>☑</w:t>
      </w:r>
      <w:r>
        <w:rPr>
          <w:rFonts w:ascii="MS Gothic" w:eastAsia="MS Gothic" w:hAnsi="MS Gothic" w:cs="MS Gothic"/>
          <w:szCs w:val="20"/>
        </w:rPr>
        <w:tab/>
      </w:r>
      <w:r>
        <w:rPr>
          <w:rFonts w:ascii="Arial" w:hAnsi="Arial" w:cs="Arial"/>
          <w:i/>
          <w:iCs/>
          <w:szCs w:val="20"/>
        </w:rPr>
        <w:t>Committee Independence.</w:t>
      </w:r>
      <w:proofErr w:type="gramEnd"/>
      <w:r>
        <w:rPr>
          <w:rFonts w:ascii="Arial" w:hAnsi="Arial" w:cs="Arial"/>
          <w:i/>
          <w:iCs/>
          <w:szCs w:val="20"/>
        </w:rPr>
        <w:t xml:space="preserve"> </w:t>
      </w:r>
      <w:r>
        <w:rPr>
          <w:rFonts w:ascii="Arial" w:hAnsi="Arial" w:cs="Arial"/>
          <w:szCs w:val="20"/>
        </w:rPr>
        <w:t>The Committee consists of independent directors and reserves time at each meeting to meet in executive session without management present.</w:t>
      </w:r>
    </w:p>
    <w:p w:rsidR="00376768" w:rsidRDefault="00EC2B72">
      <w:pPr>
        <w:spacing w:before="160"/>
        <w:ind w:left="720" w:hanging="360"/>
        <w:jc w:val="both"/>
        <w:rPr>
          <w:rFonts w:ascii="Arial" w:hAnsi="Arial" w:cs="Arial"/>
          <w:szCs w:val="20"/>
        </w:rPr>
      </w:pPr>
      <w:proofErr w:type="gramStart"/>
      <w:r>
        <w:rPr>
          <w:rFonts w:ascii="MS Gothic" w:eastAsia="MS Gothic" w:hAnsi="MS Gothic" w:cs="MS Gothic" w:hint="eastAsia"/>
          <w:szCs w:val="20"/>
        </w:rPr>
        <w:t>☑</w:t>
      </w:r>
      <w:r>
        <w:rPr>
          <w:rFonts w:ascii="MS Gothic" w:eastAsia="MS Gothic" w:hAnsi="MS Gothic" w:cs="MS Gothic"/>
          <w:szCs w:val="20"/>
        </w:rPr>
        <w:tab/>
      </w:r>
      <w:r>
        <w:rPr>
          <w:rFonts w:ascii="Arial" w:hAnsi="Arial" w:cs="Arial"/>
          <w:i/>
          <w:iCs/>
          <w:szCs w:val="20"/>
        </w:rPr>
        <w:t>Independent Compensation Consultant.</w:t>
      </w:r>
      <w:proofErr w:type="gramEnd"/>
      <w:r>
        <w:rPr>
          <w:rFonts w:ascii="Arial" w:hAnsi="Arial" w:cs="Arial"/>
          <w:i/>
          <w:iCs/>
          <w:szCs w:val="20"/>
        </w:rPr>
        <w:t xml:space="preserve"> </w:t>
      </w:r>
      <w:r>
        <w:rPr>
          <w:rFonts w:ascii="Arial" w:hAnsi="Arial" w:cs="Arial"/>
          <w:szCs w:val="20"/>
        </w:rPr>
        <w:t>The Committee has engaged its own independent compensation consultant and annually assesses the consultant’s performance, fees and independence, including whether any type of conflict of interest exists.</w:t>
      </w:r>
    </w:p>
    <w:p w:rsidR="00376768" w:rsidRDefault="00EC2B72">
      <w:pPr>
        <w:spacing w:before="160"/>
        <w:ind w:left="720" w:hanging="360"/>
        <w:jc w:val="both"/>
        <w:rPr>
          <w:rFonts w:ascii="Arial" w:hAnsi="Arial" w:cs="Arial"/>
          <w:szCs w:val="20"/>
        </w:rPr>
      </w:pPr>
      <w:proofErr w:type="gramStart"/>
      <w:r>
        <w:rPr>
          <w:rFonts w:ascii="MS Gothic" w:eastAsia="MS Gothic" w:hAnsi="MS Gothic" w:cs="MS Gothic" w:hint="eastAsia"/>
          <w:szCs w:val="20"/>
        </w:rPr>
        <w:t>☑</w:t>
      </w:r>
      <w:r>
        <w:rPr>
          <w:rFonts w:ascii="MS Gothic" w:eastAsia="MS Gothic" w:hAnsi="MS Gothic" w:cs="MS Gothic"/>
          <w:szCs w:val="20"/>
        </w:rPr>
        <w:tab/>
      </w:r>
      <w:r>
        <w:rPr>
          <w:rFonts w:ascii="Arial" w:hAnsi="Arial" w:cs="Arial"/>
          <w:i/>
          <w:iCs/>
          <w:szCs w:val="20"/>
        </w:rPr>
        <w:t>Goal Setting and Performance Evaluation for CEO and Other NEOs.</w:t>
      </w:r>
      <w:proofErr w:type="gramEnd"/>
      <w:r>
        <w:rPr>
          <w:rFonts w:ascii="Arial" w:hAnsi="Arial" w:cs="Arial"/>
          <w:i/>
          <w:iCs/>
          <w:szCs w:val="20"/>
        </w:rPr>
        <w:t xml:space="preserve"> </w:t>
      </w:r>
      <w:r>
        <w:rPr>
          <w:rFonts w:ascii="Arial" w:hAnsi="Arial" w:cs="Arial"/>
          <w:szCs w:val="20"/>
        </w:rPr>
        <w:t>The Committee, with the input of the full Board, engages in formal goal setting and performance evaluation processes for both the CEO and other NEOs. The CEO participates in this process with respect to other NEOs.</w:t>
      </w:r>
    </w:p>
    <w:p w:rsidR="00376768" w:rsidRDefault="00EC2B72">
      <w:pPr>
        <w:spacing w:before="160"/>
        <w:ind w:left="720" w:hanging="360"/>
        <w:jc w:val="both"/>
        <w:rPr>
          <w:rFonts w:ascii="Arial" w:hAnsi="Arial" w:cs="Arial"/>
          <w:szCs w:val="20"/>
        </w:rPr>
      </w:pPr>
      <w:proofErr w:type="gramStart"/>
      <w:r>
        <w:rPr>
          <w:rFonts w:ascii="MS Gothic" w:eastAsia="MS Gothic" w:hAnsi="MS Gothic" w:cs="MS Gothic" w:hint="eastAsia"/>
          <w:szCs w:val="20"/>
        </w:rPr>
        <w:t>☑</w:t>
      </w:r>
      <w:r>
        <w:rPr>
          <w:rFonts w:ascii="MS Gothic" w:eastAsia="MS Gothic" w:hAnsi="MS Gothic" w:cs="MS Gothic"/>
          <w:szCs w:val="20"/>
        </w:rPr>
        <w:tab/>
      </w:r>
      <w:r>
        <w:rPr>
          <w:rFonts w:ascii="Arial" w:hAnsi="Arial" w:cs="Arial"/>
          <w:i/>
          <w:iCs/>
          <w:szCs w:val="20"/>
        </w:rPr>
        <w:t>Peer Group.</w:t>
      </w:r>
      <w:proofErr w:type="gramEnd"/>
      <w:r>
        <w:rPr>
          <w:rFonts w:ascii="Arial" w:hAnsi="Arial" w:cs="Arial"/>
          <w:i/>
          <w:iCs/>
          <w:szCs w:val="20"/>
        </w:rPr>
        <w:t xml:space="preserve"> </w:t>
      </w:r>
      <w:r>
        <w:rPr>
          <w:rFonts w:ascii="Arial" w:hAnsi="Arial" w:cs="Arial"/>
          <w:szCs w:val="20"/>
        </w:rPr>
        <w:t>The Committee has established formal selection criteria for its comparator peer group companies listed on page 38 (the “Comparator Group”) and annually evaluates the composition of the Comparator Group to ensure the appropriateness of its component companies.</w:t>
      </w:r>
    </w:p>
    <w:p w:rsidR="00376768" w:rsidRDefault="00EC2B72">
      <w:pPr>
        <w:spacing w:before="160"/>
        <w:ind w:left="720" w:hanging="360"/>
        <w:jc w:val="both"/>
        <w:rPr>
          <w:rFonts w:ascii="Arial" w:hAnsi="Arial" w:cs="Arial"/>
          <w:szCs w:val="20"/>
        </w:rPr>
      </w:pPr>
      <w:r>
        <w:rPr>
          <w:rFonts w:ascii="MS Gothic" w:eastAsia="MS Gothic" w:hAnsi="MS Gothic" w:cs="MS Gothic" w:hint="eastAsia"/>
          <w:szCs w:val="20"/>
        </w:rPr>
        <w:t>☑</w:t>
      </w:r>
      <w:r>
        <w:rPr>
          <w:rFonts w:ascii="MS Gothic" w:eastAsia="MS Gothic" w:hAnsi="MS Gothic" w:cs="MS Gothic"/>
          <w:szCs w:val="20"/>
        </w:rPr>
        <w:tab/>
      </w:r>
      <w:r>
        <w:rPr>
          <w:rFonts w:ascii="Arial" w:hAnsi="Arial" w:cs="Arial"/>
          <w:i/>
          <w:iCs/>
          <w:szCs w:val="20"/>
        </w:rPr>
        <w:t xml:space="preserve">Pay for Performance. </w:t>
      </w:r>
      <w:r>
        <w:rPr>
          <w:rFonts w:ascii="Arial" w:hAnsi="Arial" w:cs="Arial"/>
          <w:szCs w:val="20"/>
        </w:rPr>
        <w:t>Our metrics are reviewed and selected by the Committee from a list of possible metrics authorized by the shareholder-approved 2006 Omnibus Incentive Plan and the shareholder-approved Executive Annual Incentive Compensation Plan (the “Annual Plan”), which was last approved in 2013.</w:t>
      </w:r>
    </w:p>
    <w:p w:rsidR="00376768" w:rsidRDefault="00EC2B72">
      <w:pPr>
        <w:spacing w:before="160"/>
        <w:ind w:left="720" w:hanging="360"/>
        <w:jc w:val="both"/>
        <w:rPr>
          <w:rFonts w:ascii="Arial" w:hAnsi="Arial" w:cs="Arial"/>
          <w:szCs w:val="20"/>
        </w:rPr>
      </w:pPr>
      <w:proofErr w:type="gramStart"/>
      <w:r>
        <w:rPr>
          <w:rFonts w:ascii="MS Gothic" w:eastAsia="MS Gothic" w:hAnsi="MS Gothic" w:cs="MS Gothic" w:hint="eastAsia"/>
          <w:szCs w:val="20"/>
        </w:rPr>
        <w:t>☑</w:t>
      </w:r>
      <w:r>
        <w:rPr>
          <w:rFonts w:ascii="MS Gothic" w:eastAsia="MS Gothic" w:hAnsi="MS Gothic" w:cs="MS Gothic"/>
          <w:szCs w:val="20"/>
        </w:rPr>
        <w:tab/>
      </w:r>
      <w:r>
        <w:rPr>
          <w:rFonts w:ascii="Arial" w:hAnsi="Arial" w:cs="Arial"/>
          <w:i/>
          <w:iCs/>
          <w:szCs w:val="20"/>
        </w:rPr>
        <w:t>Tally Sheets.</w:t>
      </w:r>
      <w:proofErr w:type="gramEnd"/>
      <w:r>
        <w:rPr>
          <w:rFonts w:ascii="Arial" w:hAnsi="Arial" w:cs="Arial"/>
          <w:i/>
          <w:iCs/>
          <w:szCs w:val="20"/>
        </w:rPr>
        <w:t xml:space="preserve"> </w:t>
      </w:r>
      <w:r>
        <w:rPr>
          <w:rFonts w:ascii="Arial" w:hAnsi="Arial" w:cs="Arial"/>
          <w:szCs w:val="20"/>
        </w:rPr>
        <w:t>In order to make well informed compensation decisions, the Committee reviews tally sheets that include an executive’s current and historical compensation amounts, stock ownership and retirement amounts, as well as amounts owed by the Company upon various termination scenarios.</w:t>
      </w:r>
    </w:p>
    <w:p w:rsidR="00376768" w:rsidRDefault="00EC2B72">
      <w:pPr>
        <w:spacing w:before="160"/>
        <w:ind w:left="720" w:hanging="360"/>
        <w:jc w:val="both"/>
        <w:rPr>
          <w:rFonts w:ascii="Arial" w:hAnsi="Arial" w:cs="Arial"/>
          <w:szCs w:val="20"/>
        </w:rPr>
      </w:pPr>
      <w:proofErr w:type="gramStart"/>
      <w:r>
        <w:rPr>
          <w:rFonts w:ascii="MS Gothic" w:eastAsia="MS Gothic" w:hAnsi="MS Gothic" w:cs="MS Gothic" w:hint="eastAsia"/>
          <w:szCs w:val="20"/>
        </w:rPr>
        <w:t>☑</w:t>
      </w:r>
      <w:r>
        <w:rPr>
          <w:rFonts w:ascii="MS Gothic" w:eastAsia="MS Gothic" w:hAnsi="MS Gothic" w:cs="MS Gothic"/>
          <w:szCs w:val="20"/>
        </w:rPr>
        <w:tab/>
      </w:r>
      <w:r>
        <w:rPr>
          <w:rFonts w:ascii="Arial" w:hAnsi="Arial" w:cs="Arial"/>
          <w:i/>
          <w:iCs/>
          <w:szCs w:val="20"/>
        </w:rPr>
        <w:t>Double Trigger Change-In-Control.</w:t>
      </w:r>
      <w:proofErr w:type="gramEnd"/>
      <w:r>
        <w:rPr>
          <w:rFonts w:ascii="Arial" w:hAnsi="Arial" w:cs="Arial"/>
          <w:i/>
          <w:iCs/>
          <w:szCs w:val="20"/>
        </w:rPr>
        <w:t xml:space="preserve"> </w:t>
      </w:r>
      <w:r>
        <w:rPr>
          <w:rFonts w:ascii="Arial" w:hAnsi="Arial" w:cs="Arial"/>
          <w:szCs w:val="20"/>
        </w:rPr>
        <w:t xml:space="preserve">We provide double trigger change-in-control protection to our executive officers, </w:t>
      </w:r>
      <w:proofErr w:type="gramStart"/>
      <w:r>
        <w:rPr>
          <w:rFonts w:ascii="Arial" w:hAnsi="Arial" w:cs="Arial"/>
          <w:szCs w:val="20"/>
        </w:rPr>
        <w:t>which</w:t>
      </w:r>
      <w:proofErr w:type="gramEnd"/>
      <w:r>
        <w:rPr>
          <w:rFonts w:ascii="Arial" w:hAnsi="Arial" w:cs="Arial"/>
          <w:szCs w:val="20"/>
        </w:rPr>
        <w:t xml:space="preserve"> means they may be entitled to severance of up to one or two times base salary and bonus only in the event of both a change-in-control of the Company and a qualifying employment termination (“double trigger”). Restricted stock awards also provide for double trigger change-in-control vesting.</w:t>
      </w:r>
    </w:p>
    <w:p w:rsidR="00376768" w:rsidRDefault="00EC2B72">
      <w:pPr>
        <w:spacing w:before="160"/>
        <w:ind w:left="720" w:hanging="360"/>
        <w:jc w:val="both"/>
        <w:rPr>
          <w:rFonts w:ascii="Arial" w:hAnsi="Arial" w:cs="Arial"/>
          <w:szCs w:val="20"/>
        </w:rPr>
      </w:pPr>
      <w:proofErr w:type="gramStart"/>
      <w:r>
        <w:rPr>
          <w:rFonts w:ascii="MS Gothic" w:eastAsia="MS Gothic" w:hAnsi="MS Gothic" w:cs="MS Gothic" w:hint="eastAsia"/>
          <w:szCs w:val="20"/>
        </w:rPr>
        <w:t>☑</w:t>
      </w:r>
      <w:r>
        <w:rPr>
          <w:rFonts w:ascii="MS Gothic" w:eastAsia="MS Gothic" w:hAnsi="MS Gothic" w:cs="MS Gothic"/>
          <w:szCs w:val="20"/>
        </w:rPr>
        <w:tab/>
      </w:r>
      <w:r>
        <w:rPr>
          <w:rFonts w:ascii="Arial" w:hAnsi="Arial" w:cs="Arial"/>
          <w:i/>
          <w:iCs/>
          <w:szCs w:val="20"/>
        </w:rPr>
        <w:t>Share Ownership Guidelines.</w:t>
      </w:r>
      <w:proofErr w:type="gramEnd"/>
      <w:r>
        <w:rPr>
          <w:rFonts w:ascii="Arial" w:hAnsi="Arial" w:cs="Arial"/>
          <w:i/>
          <w:iCs/>
          <w:szCs w:val="20"/>
        </w:rPr>
        <w:t xml:space="preserve"> </w:t>
      </w:r>
      <w:r>
        <w:rPr>
          <w:rFonts w:ascii="Arial" w:hAnsi="Arial" w:cs="Arial"/>
          <w:szCs w:val="20"/>
        </w:rPr>
        <w:t>We maintain rigorous share ownership guidelines, which are applicable to all executives and non-employee directors.</w:t>
      </w:r>
    </w:p>
    <w:p w:rsidR="00376768" w:rsidRDefault="00EC2B72">
      <w:pPr>
        <w:spacing w:before="160"/>
        <w:ind w:left="720" w:hanging="360"/>
        <w:jc w:val="both"/>
        <w:rPr>
          <w:rFonts w:ascii="Arial" w:hAnsi="Arial" w:cs="Arial"/>
          <w:szCs w:val="20"/>
        </w:rPr>
      </w:pPr>
      <w:proofErr w:type="gramStart"/>
      <w:r>
        <w:rPr>
          <w:rFonts w:ascii="MS Gothic" w:eastAsia="MS Gothic" w:hAnsi="MS Gothic" w:cs="MS Gothic" w:hint="eastAsia"/>
          <w:szCs w:val="20"/>
        </w:rPr>
        <w:t>☑</w:t>
      </w:r>
      <w:r>
        <w:rPr>
          <w:rFonts w:ascii="MS Gothic" w:eastAsia="MS Gothic" w:hAnsi="MS Gothic" w:cs="MS Gothic"/>
          <w:szCs w:val="20"/>
        </w:rPr>
        <w:tab/>
      </w:r>
      <w:proofErr w:type="spellStart"/>
      <w:r>
        <w:rPr>
          <w:rFonts w:ascii="Arial" w:hAnsi="Arial" w:cs="Arial"/>
          <w:i/>
          <w:iCs/>
          <w:szCs w:val="20"/>
        </w:rPr>
        <w:t>Clawback</w:t>
      </w:r>
      <w:proofErr w:type="spellEnd"/>
      <w:r>
        <w:rPr>
          <w:rFonts w:ascii="Arial" w:hAnsi="Arial" w:cs="Arial"/>
          <w:i/>
          <w:iCs/>
          <w:szCs w:val="20"/>
        </w:rPr>
        <w:t xml:space="preserve"> Policy.</w:t>
      </w:r>
      <w:proofErr w:type="gramEnd"/>
      <w:r>
        <w:rPr>
          <w:rFonts w:ascii="Arial" w:hAnsi="Arial" w:cs="Arial"/>
          <w:i/>
          <w:iCs/>
          <w:szCs w:val="20"/>
        </w:rPr>
        <w:t xml:space="preserve"> </w:t>
      </w:r>
      <w:r>
        <w:rPr>
          <w:rFonts w:ascii="Arial" w:hAnsi="Arial" w:cs="Arial"/>
          <w:szCs w:val="20"/>
        </w:rPr>
        <w:t>We have a recoupment provision that applies to our incentive arrangements in the event that our financial statements are restated due to material non-compliance with financial reporting requirements and the Committee determines that an incentive award recipient is culpable for such restatement.</w:t>
      </w:r>
    </w:p>
    <w:p w:rsidR="00376768" w:rsidRDefault="00EC2B72">
      <w:pPr>
        <w:spacing w:before="160"/>
        <w:ind w:left="720" w:hanging="360"/>
        <w:jc w:val="both"/>
        <w:rPr>
          <w:rFonts w:ascii="Arial" w:hAnsi="Arial" w:cs="Arial"/>
          <w:szCs w:val="20"/>
        </w:rPr>
      </w:pPr>
      <w:proofErr w:type="gramStart"/>
      <w:r>
        <w:rPr>
          <w:rFonts w:ascii="MS Gothic" w:eastAsia="MS Gothic" w:hAnsi="MS Gothic" w:cs="MS Gothic" w:hint="eastAsia"/>
          <w:szCs w:val="20"/>
        </w:rPr>
        <w:t>☑</w:t>
      </w:r>
      <w:r>
        <w:rPr>
          <w:rFonts w:ascii="MS Gothic" w:eastAsia="MS Gothic" w:hAnsi="MS Gothic" w:cs="MS Gothic"/>
          <w:szCs w:val="20"/>
        </w:rPr>
        <w:tab/>
      </w:r>
      <w:r>
        <w:rPr>
          <w:rFonts w:ascii="Arial" w:hAnsi="Arial" w:cs="Arial"/>
          <w:i/>
          <w:iCs/>
          <w:szCs w:val="20"/>
        </w:rPr>
        <w:t>Risk Mitigation.</w:t>
      </w:r>
      <w:proofErr w:type="gramEnd"/>
      <w:r>
        <w:rPr>
          <w:rFonts w:ascii="Arial" w:hAnsi="Arial" w:cs="Arial"/>
          <w:i/>
          <w:iCs/>
          <w:szCs w:val="20"/>
        </w:rPr>
        <w:t xml:space="preserve"> </w:t>
      </w:r>
      <w:r>
        <w:rPr>
          <w:rFonts w:ascii="Arial" w:hAnsi="Arial" w:cs="Arial"/>
          <w:szCs w:val="20"/>
        </w:rPr>
        <w:t xml:space="preserve">We mitigate undue risks associated with compensation through the use of caps on potential incentive payments; maintaining </w:t>
      </w:r>
      <w:proofErr w:type="spellStart"/>
      <w:r>
        <w:rPr>
          <w:rFonts w:ascii="Arial" w:hAnsi="Arial" w:cs="Arial"/>
          <w:szCs w:val="20"/>
        </w:rPr>
        <w:t>clawback</w:t>
      </w:r>
      <w:proofErr w:type="spellEnd"/>
      <w:r>
        <w:rPr>
          <w:rFonts w:ascii="Arial" w:hAnsi="Arial" w:cs="Arial"/>
          <w:szCs w:val="20"/>
        </w:rPr>
        <w:t xml:space="preserve"> provisions, anti-hedging, anti-pledging and stock ownership policies and guidelines; retention</w:t>
      </w:r>
      <w:r>
        <w:rPr>
          <w:rFonts w:ascii="Arial" w:hAnsi="Arial" w:cs="Arial"/>
          <w:b/>
          <w:bCs/>
          <w:szCs w:val="20"/>
        </w:rPr>
        <w:t xml:space="preserve"> </w:t>
      </w:r>
      <w:r>
        <w:rPr>
          <w:rFonts w:ascii="Arial" w:hAnsi="Arial" w:cs="Arial"/>
          <w:szCs w:val="20"/>
        </w:rPr>
        <w:t>provisions in equity grants; and multiple performance metrics that focus on profitability and capital efficiency.</w:t>
      </w:r>
    </w:p>
    <w:p w:rsidR="00376768" w:rsidRDefault="00EC2B72">
      <w:pPr>
        <w:spacing w:before="160"/>
        <w:ind w:left="720" w:hanging="360"/>
        <w:jc w:val="both"/>
        <w:rPr>
          <w:rFonts w:ascii="Arial" w:hAnsi="Arial" w:cs="Arial"/>
          <w:szCs w:val="20"/>
        </w:rPr>
      </w:pPr>
      <w:r>
        <w:rPr>
          <w:rFonts w:ascii="MS Gothic" w:eastAsia="MS Gothic" w:hAnsi="MS Gothic" w:cs="MS Gothic" w:hint="eastAsia"/>
          <w:szCs w:val="20"/>
        </w:rPr>
        <w:t>☑</w:t>
      </w:r>
      <w:r>
        <w:rPr>
          <w:rFonts w:ascii="MS Gothic" w:eastAsia="MS Gothic" w:hAnsi="MS Gothic" w:cs="MS Gothic"/>
          <w:szCs w:val="20"/>
        </w:rPr>
        <w:tab/>
      </w:r>
      <w:r>
        <w:rPr>
          <w:rFonts w:ascii="Arial" w:hAnsi="Arial" w:cs="Arial"/>
          <w:i/>
          <w:iCs/>
          <w:szCs w:val="20"/>
        </w:rPr>
        <w:t xml:space="preserve">Annual Say on Pay Vote. </w:t>
      </w:r>
      <w:r>
        <w:rPr>
          <w:rFonts w:ascii="Arial" w:hAnsi="Arial" w:cs="Arial"/>
          <w:szCs w:val="20"/>
        </w:rPr>
        <w:t>Our NEO compensation program is presented to shareholders for an advisory vote on an annual basis.</w:t>
      </w:r>
    </w:p>
    <w:p w:rsidR="00376768" w:rsidRDefault="00EC2B72">
      <w:pPr>
        <w:spacing w:before="160"/>
        <w:jc w:val="both"/>
        <w:rPr>
          <w:rFonts w:ascii="Arial" w:hAnsi="Arial" w:cs="Arial"/>
          <w:szCs w:val="20"/>
        </w:rPr>
      </w:pPr>
      <w:r>
        <w:rPr>
          <w:rFonts w:ascii="Arial" w:hAnsi="Arial" w:cs="Arial"/>
          <w:b/>
          <w:bCs/>
          <w:szCs w:val="20"/>
        </w:rPr>
        <w:lastRenderedPageBreak/>
        <w:t>OUR PRACTICES EXCLUDE:</w:t>
      </w:r>
    </w:p>
    <w:p w:rsidR="00376768" w:rsidRDefault="00EC2B72">
      <w:pPr>
        <w:spacing w:before="160"/>
        <w:ind w:left="720" w:hanging="360"/>
        <w:jc w:val="both"/>
        <w:rPr>
          <w:rFonts w:ascii="Arial" w:hAnsi="Arial" w:cs="Arial"/>
          <w:szCs w:val="20"/>
        </w:rPr>
      </w:pPr>
      <w:proofErr w:type="gramStart"/>
      <w:r>
        <w:rPr>
          <w:rFonts w:ascii="MS Gothic" w:eastAsia="MS Gothic" w:hAnsi="MS Gothic" w:cs="MS Gothic" w:hint="eastAsia"/>
          <w:szCs w:val="20"/>
        </w:rPr>
        <w:t>☒</w:t>
      </w:r>
      <w:r>
        <w:rPr>
          <w:rFonts w:ascii="MS Gothic" w:eastAsia="MS Gothic" w:hAnsi="MS Gothic" w:cs="MS Gothic"/>
          <w:szCs w:val="20"/>
        </w:rPr>
        <w:tab/>
      </w:r>
      <w:r>
        <w:rPr>
          <w:rFonts w:ascii="Arial" w:hAnsi="Arial" w:cs="Arial"/>
          <w:i/>
          <w:iCs/>
          <w:szCs w:val="20"/>
        </w:rPr>
        <w:t>Executive Employment Agreements.</w:t>
      </w:r>
      <w:proofErr w:type="gramEnd"/>
      <w:r>
        <w:rPr>
          <w:rFonts w:ascii="Arial" w:hAnsi="Arial" w:cs="Arial"/>
          <w:i/>
          <w:iCs/>
          <w:szCs w:val="20"/>
        </w:rPr>
        <w:t xml:space="preserve"> </w:t>
      </w:r>
      <w:r>
        <w:rPr>
          <w:rFonts w:ascii="Arial" w:hAnsi="Arial" w:cs="Arial"/>
          <w:szCs w:val="20"/>
        </w:rPr>
        <w:t>We do not, as a standard practice, provide executives with employment agreements and currently do not have any in place.</w:t>
      </w:r>
    </w:p>
    <w:p w:rsidR="00376768" w:rsidRDefault="00EC2B72">
      <w:pPr>
        <w:spacing w:before="160"/>
        <w:ind w:left="720" w:hanging="360"/>
        <w:jc w:val="both"/>
        <w:rPr>
          <w:rFonts w:ascii="Arial" w:hAnsi="Arial" w:cs="Arial"/>
          <w:szCs w:val="20"/>
        </w:rPr>
      </w:pPr>
      <w:r>
        <w:rPr>
          <w:rFonts w:ascii="MS Gothic" w:eastAsia="MS Gothic" w:hAnsi="MS Gothic" w:cs="MS Gothic" w:hint="eastAsia"/>
          <w:szCs w:val="20"/>
        </w:rPr>
        <w:t>☒</w:t>
      </w:r>
      <w:r>
        <w:rPr>
          <w:rFonts w:ascii="MS Gothic" w:eastAsia="MS Gothic" w:hAnsi="MS Gothic" w:cs="MS Gothic"/>
          <w:szCs w:val="20"/>
        </w:rPr>
        <w:tab/>
      </w:r>
      <w:r>
        <w:rPr>
          <w:rFonts w:ascii="Arial" w:hAnsi="Arial" w:cs="Arial"/>
          <w:i/>
          <w:iCs/>
          <w:szCs w:val="20"/>
        </w:rPr>
        <w:t xml:space="preserve">Dividend Equivalents on Unearned Performance Share Unit Awards. </w:t>
      </w:r>
      <w:r>
        <w:rPr>
          <w:rFonts w:ascii="Arial" w:hAnsi="Arial" w:cs="Arial"/>
          <w:szCs w:val="20"/>
        </w:rPr>
        <w:t>We do not provide dividends or dividend equivalents on unearned performance share unit (“PSU”) awards.</w:t>
      </w:r>
    </w:p>
    <w:p w:rsidR="00376768" w:rsidRDefault="00EC2B72">
      <w:pPr>
        <w:spacing w:before="160"/>
        <w:ind w:left="720" w:hanging="360"/>
        <w:jc w:val="both"/>
        <w:rPr>
          <w:rFonts w:ascii="Arial" w:hAnsi="Arial" w:cs="Arial"/>
          <w:szCs w:val="20"/>
        </w:rPr>
      </w:pPr>
      <w:proofErr w:type="gramStart"/>
      <w:r>
        <w:rPr>
          <w:rFonts w:ascii="MS Gothic" w:eastAsia="MS Gothic" w:hAnsi="MS Gothic" w:cs="MS Gothic" w:hint="eastAsia"/>
          <w:szCs w:val="20"/>
        </w:rPr>
        <w:t>☒</w:t>
      </w:r>
      <w:r>
        <w:rPr>
          <w:rFonts w:ascii="MS Gothic" w:eastAsia="MS Gothic" w:hAnsi="MS Gothic" w:cs="MS Gothic"/>
          <w:szCs w:val="20"/>
        </w:rPr>
        <w:tab/>
      </w:r>
      <w:r>
        <w:rPr>
          <w:rFonts w:ascii="Arial" w:hAnsi="Arial" w:cs="Arial"/>
          <w:i/>
          <w:iCs/>
          <w:szCs w:val="20"/>
        </w:rPr>
        <w:t>Tax Gross-Ups on Perquisites or Severance.</w:t>
      </w:r>
      <w:proofErr w:type="gramEnd"/>
      <w:r>
        <w:rPr>
          <w:rFonts w:ascii="Arial" w:hAnsi="Arial" w:cs="Arial"/>
          <w:i/>
          <w:iCs/>
          <w:szCs w:val="20"/>
        </w:rPr>
        <w:t xml:space="preserve"> </w:t>
      </w:r>
      <w:r>
        <w:rPr>
          <w:rFonts w:ascii="Arial" w:hAnsi="Arial" w:cs="Arial"/>
          <w:szCs w:val="20"/>
        </w:rPr>
        <w:t>We do not provide any tax gross-up payments to cover personal income taxes on perquisites or severance benefits related to a change-in-control.</w:t>
      </w:r>
    </w:p>
    <w:p w:rsidR="00376768" w:rsidRDefault="00EC2B72">
      <w:pPr>
        <w:spacing w:before="160"/>
        <w:ind w:left="720" w:hanging="360"/>
        <w:jc w:val="both"/>
        <w:rPr>
          <w:rFonts w:ascii="Arial" w:hAnsi="Arial" w:cs="Arial"/>
          <w:szCs w:val="20"/>
        </w:rPr>
      </w:pPr>
      <w:proofErr w:type="gramStart"/>
      <w:r>
        <w:rPr>
          <w:rFonts w:ascii="MS Gothic" w:eastAsia="MS Gothic" w:hAnsi="MS Gothic" w:cs="MS Gothic" w:hint="eastAsia"/>
          <w:szCs w:val="20"/>
        </w:rPr>
        <w:t>☒</w:t>
      </w:r>
      <w:r>
        <w:rPr>
          <w:rFonts w:ascii="MS Gothic" w:eastAsia="MS Gothic" w:hAnsi="MS Gothic" w:cs="MS Gothic"/>
          <w:szCs w:val="20"/>
        </w:rPr>
        <w:tab/>
      </w:r>
      <w:r>
        <w:rPr>
          <w:rFonts w:ascii="Arial" w:hAnsi="Arial" w:cs="Arial"/>
          <w:i/>
          <w:iCs/>
          <w:szCs w:val="20"/>
        </w:rPr>
        <w:t>Hedging and Pledging.</w:t>
      </w:r>
      <w:proofErr w:type="gramEnd"/>
      <w:r>
        <w:rPr>
          <w:rFonts w:ascii="Arial" w:hAnsi="Arial" w:cs="Arial"/>
          <w:i/>
          <w:iCs/>
          <w:szCs w:val="20"/>
        </w:rPr>
        <w:t xml:space="preserve"> </w:t>
      </w:r>
      <w:r>
        <w:rPr>
          <w:rFonts w:ascii="Arial" w:hAnsi="Arial" w:cs="Arial"/>
          <w:szCs w:val="20"/>
        </w:rPr>
        <w:t>We do not permit hedging or pledging transactions in the Company’s stock, pursuant to our Insider Trading Policy.</w:t>
      </w:r>
    </w:p>
    <w:p w:rsidR="00376768" w:rsidRDefault="00EC2B72">
      <w:pPr>
        <w:spacing w:before="160"/>
        <w:ind w:firstLine="360"/>
        <w:jc w:val="both"/>
        <w:rPr>
          <w:rFonts w:ascii="Arial" w:hAnsi="Arial" w:cs="Arial"/>
          <w:szCs w:val="20"/>
        </w:rPr>
      </w:pPr>
      <w:r>
        <w:rPr>
          <w:rFonts w:ascii="Arial" w:hAnsi="Arial" w:cs="Arial"/>
          <w:i/>
          <w:iCs/>
          <w:szCs w:val="20"/>
        </w:rPr>
        <w:t>Elements of Compensation</w:t>
      </w:r>
    </w:p>
    <w:p w:rsidR="00376768" w:rsidRDefault="00EC2B72">
      <w:pPr>
        <w:spacing w:before="160"/>
        <w:ind w:firstLine="360"/>
        <w:jc w:val="both"/>
        <w:rPr>
          <w:rFonts w:ascii="Arial" w:hAnsi="Arial" w:cs="Arial"/>
          <w:szCs w:val="20"/>
        </w:rPr>
      </w:pPr>
      <w:r>
        <w:rPr>
          <w:rFonts w:ascii="Arial" w:hAnsi="Arial" w:cs="Arial"/>
          <w:szCs w:val="20"/>
        </w:rPr>
        <w:t>Executive officers’ compensation includes base salary, annual cash incentive awards, and equity-based long-term incentive awards. The Committee aligns executive officer compensation with the Company’s performance relative to pre-established performance goals based on stated Company financial objectives, which are designed to drive the creation of long-term value for our shareholders. The Committee administers both short-term and long-term incentive compensation plans within its executive compensation structure, and the main features of the executive compensation program are as follows:</w:t>
      </w:r>
    </w:p>
    <w:p w:rsidR="00376768" w:rsidRDefault="00EC2B72">
      <w:pPr>
        <w:spacing w:before="160"/>
        <w:ind w:left="720" w:hanging="360"/>
        <w:jc w:val="both"/>
        <w:rPr>
          <w:rFonts w:ascii="Arial" w:hAnsi="Arial" w:cs="Arial"/>
          <w:szCs w:val="20"/>
        </w:rPr>
      </w:pPr>
      <w:r>
        <w:rPr>
          <w:rFonts w:ascii="Arial" w:hAnsi="Arial" w:cs="Arial"/>
          <w:szCs w:val="20"/>
        </w:rPr>
        <w:sym w:font="Symbol" w:char="F0B7"/>
      </w:r>
      <w:r>
        <w:rPr>
          <w:rFonts w:ascii="Arial" w:hAnsi="Arial" w:cs="Arial"/>
          <w:szCs w:val="20"/>
        </w:rPr>
        <w:tab/>
      </w:r>
      <w:proofErr w:type="gramStart"/>
      <w:r>
        <w:rPr>
          <w:rFonts w:ascii="Arial" w:hAnsi="Arial" w:cs="Arial"/>
          <w:szCs w:val="20"/>
        </w:rPr>
        <w:t>Base salaries, which represent competitive fixed compensation and reflect the executive’s experience, responsibilities, and expertise.</w:t>
      </w:r>
      <w:proofErr w:type="gramEnd"/>
    </w:p>
    <w:p w:rsidR="00376768" w:rsidRDefault="00EC2B72">
      <w:pPr>
        <w:spacing w:before="160"/>
        <w:ind w:left="720" w:hanging="360"/>
        <w:jc w:val="both"/>
        <w:rPr>
          <w:rFonts w:ascii="Arial" w:hAnsi="Arial" w:cs="Arial"/>
          <w:szCs w:val="20"/>
        </w:rPr>
      </w:pPr>
      <w:r>
        <w:rPr>
          <w:rFonts w:ascii="Arial" w:hAnsi="Arial" w:cs="Arial"/>
          <w:szCs w:val="20"/>
        </w:rPr>
        <w:sym w:font="Symbol" w:char="F0B7"/>
      </w:r>
      <w:r>
        <w:rPr>
          <w:rFonts w:ascii="Arial" w:hAnsi="Arial" w:cs="Arial"/>
          <w:szCs w:val="20"/>
        </w:rPr>
        <w:tab/>
        <w:t>Short-term cash incentive awards, issued pursuant to the Annual Plan in which payment is contingent on meeting annual financial performance goals that align with an executive’s responsibilities. The Committee authorized the 2017 Annual Plan (the “2017 Annual Plan”). The performance criteria used for the 2017 Annual Plan were:</w:t>
      </w:r>
    </w:p>
    <w:p w:rsidR="00376768" w:rsidRDefault="00EC2B72">
      <w:pPr>
        <w:spacing w:before="160"/>
        <w:ind w:left="1080" w:hanging="360"/>
        <w:jc w:val="both"/>
        <w:rPr>
          <w:rFonts w:ascii="Arial" w:hAnsi="Arial" w:cs="Arial"/>
          <w:szCs w:val="20"/>
        </w:rPr>
      </w:pPr>
      <w:r>
        <w:rPr>
          <w:rFonts w:ascii="Arial" w:hAnsi="Arial" w:cs="Arial"/>
          <w:szCs w:val="20"/>
        </w:rPr>
        <w:t>○</w:t>
      </w:r>
      <w:r>
        <w:rPr>
          <w:rFonts w:ascii="Arial" w:hAnsi="Arial" w:cs="Arial"/>
          <w:szCs w:val="20"/>
        </w:rPr>
        <w:tab/>
        <w:t>2017 Corporate Return on Invested Capital (“ROIC”)</w:t>
      </w:r>
      <w:proofErr w:type="gramStart"/>
      <w:r>
        <w:rPr>
          <w:rFonts w:ascii="Arial" w:hAnsi="Arial" w:cs="Arial"/>
          <w:szCs w:val="20"/>
        </w:rPr>
        <w:t>;</w:t>
      </w:r>
      <w:r>
        <w:rPr>
          <w:rFonts w:ascii="Arial" w:hAnsi="Arial" w:cs="Arial"/>
          <w:b/>
          <w:bCs/>
          <w:szCs w:val="20"/>
          <w:vertAlign w:val="superscript"/>
        </w:rPr>
        <w:t>1</w:t>
      </w:r>
      <w:proofErr w:type="gramEnd"/>
    </w:p>
    <w:p w:rsidR="00376768" w:rsidRDefault="00EC2B72">
      <w:pPr>
        <w:spacing w:before="160"/>
        <w:ind w:left="1080" w:hanging="360"/>
        <w:jc w:val="both"/>
        <w:rPr>
          <w:rFonts w:ascii="Arial" w:hAnsi="Arial" w:cs="Arial"/>
          <w:szCs w:val="20"/>
        </w:rPr>
      </w:pPr>
      <w:r>
        <w:rPr>
          <w:rFonts w:ascii="Arial" w:hAnsi="Arial" w:cs="Arial"/>
          <w:szCs w:val="20"/>
        </w:rPr>
        <w:t>○</w:t>
      </w:r>
      <w:r>
        <w:rPr>
          <w:rFonts w:ascii="Arial" w:hAnsi="Arial" w:cs="Arial"/>
          <w:szCs w:val="20"/>
        </w:rPr>
        <w:tab/>
        <w:t>2017 Corporate and Operating Unit Adjusted Earnings Before Interest, Taxes, Depreciation, and Amortization (“EBITDA”)</w:t>
      </w:r>
      <w:proofErr w:type="gramStart"/>
      <w:r>
        <w:rPr>
          <w:rFonts w:ascii="Arial" w:hAnsi="Arial" w:cs="Arial"/>
          <w:szCs w:val="20"/>
        </w:rPr>
        <w:t>;</w:t>
      </w:r>
      <w:r>
        <w:rPr>
          <w:rFonts w:ascii="Arial" w:hAnsi="Arial" w:cs="Arial"/>
          <w:b/>
          <w:bCs/>
          <w:szCs w:val="20"/>
          <w:vertAlign w:val="superscript"/>
        </w:rPr>
        <w:t>2</w:t>
      </w:r>
      <w:proofErr w:type="gramEnd"/>
      <w:r>
        <w:rPr>
          <w:rFonts w:ascii="Arial" w:hAnsi="Arial" w:cs="Arial"/>
          <w:szCs w:val="20"/>
        </w:rPr>
        <w:t xml:space="preserve"> and</w:t>
      </w:r>
    </w:p>
    <w:p w:rsidR="00376768" w:rsidRDefault="00EC2B72">
      <w:pPr>
        <w:spacing w:before="160"/>
        <w:ind w:left="1080" w:hanging="360"/>
        <w:jc w:val="both"/>
        <w:rPr>
          <w:rFonts w:ascii="Arial" w:hAnsi="Arial" w:cs="Arial"/>
          <w:szCs w:val="20"/>
        </w:rPr>
      </w:pPr>
      <w:r>
        <w:rPr>
          <w:rFonts w:ascii="Arial" w:hAnsi="Arial" w:cs="Arial"/>
          <w:szCs w:val="20"/>
        </w:rPr>
        <w:t>○</w:t>
      </w:r>
      <w:r>
        <w:rPr>
          <w:rFonts w:ascii="Arial" w:hAnsi="Arial" w:cs="Arial"/>
          <w:szCs w:val="20"/>
        </w:rPr>
        <w:tab/>
        <w:t>2017 Corporate and Operating Unit Working Capital as a Percentage of Sales</w:t>
      </w:r>
      <w:proofErr w:type="gramStart"/>
      <w:r>
        <w:rPr>
          <w:rFonts w:ascii="Arial" w:hAnsi="Arial" w:cs="Arial"/>
          <w:szCs w:val="20"/>
        </w:rPr>
        <w:t>,</w:t>
      </w:r>
      <w:r>
        <w:rPr>
          <w:rFonts w:ascii="Arial" w:hAnsi="Arial" w:cs="Arial"/>
          <w:b/>
          <w:bCs/>
          <w:szCs w:val="20"/>
          <w:vertAlign w:val="superscript"/>
        </w:rPr>
        <w:t>3</w:t>
      </w:r>
      <w:proofErr w:type="gramEnd"/>
    </w:p>
    <w:p w:rsidR="00376768" w:rsidRDefault="00EC2B72">
      <w:pPr>
        <w:spacing w:before="160"/>
        <w:ind w:firstLine="720"/>
        <w:jc w:val="both"/>
        <w:rPr>
          <w:rFonts w:ascii="Arial" w:hAnsi="Arial" w:cs="Arial"/>
          <w:szCs w:val="20"/>
        </w:rPr>
      </w:pPr>
      <w:r>
        <w:rPr>
          <w:rFonts w:ascii="Arial" w:hAnsi="Arial" w:cs="Arial"/>
          <w:szCs w:val="20"/>
        </w:rPr>
        <w:t>(Please note that the text of all footnotes is located at the end of the CD&amp;A.)</w:t>
      </w:r>
    </w:p>
    <w:p w:rsidR="00376768" w:rsidRDefault="00EC2B72">
      <w:pPr>
        <w:spacing w:before="160"/>
        <w:ind w:left="720" w:hanging="360"/>
        <w:jc w:val="both"/>
        <w:rPr>
          <w:rFonts w:ascii="Arial" w:hAnsi="Arial" w:cs="Arial"/>
          <w:szCs w:val="20"/>
        </w:rPr>
      </w:pPr>
      <w:r>
        <w:rPr>
          <w:rFonts w:ascii="Arial" w:hAnsi="Arial" w:cs="Arial"/>
          <w:szCs w:val="20"/>
        </w:rPr>
        <w:sym w:font="Symbol" w:char="F0B7"/>
      </w:r>
      <w:r>
        <w:rPr>
          <w:rFonts w:ascii="Arial" w:hAnsi="Arial" w:cs="Arial"/>
          <w:szCs w:val="20"/>
        </w:rPr>
        <w:tab/>
        <w:t>Long-term incentive awards are heavily weighted toward performance, with 75% of the target long-term incentive opportunity granted in the form of PSUs that are paid, if earned, based on the achievement of pre-determined corporate level performance goals over a three-year period, and 25% of the target long-term incentive opportunity granted in the form of time-vested restricted stock, which vests ratably in one-third installments over a three-year period from grant. All equity awards are made under the Company’s shareholder-approved 2006 Omnibus Incentive Plan.</w:t>
      </w:r>
    </w:p>
    <w:p w:rsidR="00376768" w:rsidRDefault="00EC2B72">
      <w:pPr>
        <w:spacing w:before="160"/>
        <w:ind w:left="720" w:hanging="360"/>
        <w:jc w:val="both"/>
        <w:rPr>
          <w:rFonts w:ascii="Arial" w:hAnsi="Arial" w:cs="Arial"/>
          <w:szCs w:val="20"/>
        </w:rPr>
      </w:pPr>
      <w:r>
        <w:rPr>
          <w:rFonts w:ascii="Arial" w:hAnsi="Arial" w:cs="Arial"/>
          <w:szCs w:val="20"/>
        </w:rPr>
        <w:sym w:font="Symbol" w:char="F0B7"/>
      </w:r>
      <w:r>
        <w:rPr>
          <w:rFonts w:ascii="Arial" w:hAnsi="Arial" w:cs="Arial"/>
          <w:szCs w:val="20"/>
        </w:rPr>
        <w:tab/>
        <w:t>The performance goals used for the 2017 PSU awards were two equally-weighted metrics of 2017-2019 Average ROIC</w:t>
      </w:r>
      <w:r>
        <w:rPr>
          <w:rFonts w:ascii="Arial" w:hAnsi="Arial" w:cs="Arial"/>
          <w:b/>
          <w:bCs/>
          <w:szCs w:val="20"/>
          <w:vertAlign w:val="superscript"/>
        </w:rPr>
        <w:t>4</w:t>
      </w:r>
      <w:r>
        <w:rPr>
          <w:rFonts w:ascii="Arial" w:hAnsi="Arial" w:cs="Arial"/>
          <w:szCs w:val="20"/>
        </w:rPr>
        <w:t xml:space="preserve"> and Compound Annual Growth Rate of Earnings Before Interest, Tax, and Amortization (“EBITDA CAGR”),</w:t>
      </w:r>
      <w:r>
        <w:rPr>
          <w:rFonts w:ascii="Arial" w:hAnsi="Arial" w:cs="Arial"/>
          <w:b/>
          <w:bCs/>
          <w:szCs w:val="20"/>
          <w:vertAlign w:val="superscript"/>
        </w:rPr>
        <w:t>5</w:t>
      </w:r>
      <w:r>
        <w:rPr>
          <w:rFonts w:ascii="Arial" w:hAnsi="Arial" w:cs="Arial"/>
          <w:szCs w:val="20"/>
        </w:rPr>
        <w:t xml:space="preserve"> each measured over a three-year period.</w:t>
      </w:r>
    </w:p>
    <w:p w:rsidR="00376768" w:rsidRDefault="00EC2B72">
      <w:pPr>
        <w:spacing w:before="160"/>
        <w:ind w:left="720" w:hanging="360"/>
        <w:jc w:val="both"/>
        <w:rPr>
          <w:rFonts w:ascii="Arial" w:hAnsi="Arial" w:cs="Arial"/>
          <w:szCs w:val="20"/>
        </w:rPr>
      </w:pPr>
      <w:r>
        <w:rPr>
          <w:rFonts w:ascii="Arial" w:hAnsi="Arial" w:cs="Arial"/>
          <w:szCs w:val="20"/>
        </w:rPr>
        <w:sym w:font="Symbol" w:char="F0B7"/>
      </w:r>
      <w:r>
        <w:rPr>
          <w:rFonts w:ascii="Arial" w:hAnsi="Arial" w:cs="Arial"/>
          <w:szCs w:val="20"/>
        </w:rPr>
        <w:tab/>
        <w:t>The 2017 Annual Plan and the 2017 PSUs provide the Committee with the discretion to recoup previously paid awards from individuals whose actions were deemed to have resulted in a restatement or adjustment to the Company’s financial results.</w:t>
      </w:r>
    </w:p>
    <w:p w:rsidR="00376768" w:rsidRDefault="00EC2B72">
      <w:pPr>
        <w:spacing w:before="160"/>
        <w:ind w:left="720" w:hanging="360"/>
        <w:jc w:val="both"/>
        <w:rPr>
          <w:rFonts w:ascii="Arial" w:hAnsi="Arial" w:cs="Arial"/>
          <w:szCs w:val="20"/>
        </w:rPr>
      </w:pPr>
      <w:r>
        <w:rPr>
          <w:rFonts w:ascii="Arial" w:hAnsi="Arial" w:cs="Arial"/>
          <w:szCs w:val="20"/>
        </w:rPr>
        <w:sym w:font="Symbol" w:char="F0B7"/>
      </w:r>
      <w:r>
        <w:rPr>
          <w:rFonts w:ascii="Arial" w:hAnsi="Arial" w:cs="Arial"/>
          <w:szCs w:val="20"/>
        </w:rPr>
        <w:tab/>
        <w:t>The Company maintains a Key Employee Separation Plan (the “Separation Plan”) that provides officers with severance in the event of both a change-in-control and qualifying employment termination. The Separation Plan does not contain any single trigger payments or tax gross-ups, and severance is capped at one or two times base salary and bonus, depending on the executive.</w:t>
      </w:r>
    </w:p>
    <w:p w:rsidR="00376768" w:rsidRDefault="00EC2B72">
      <w:pPr>
        <w:spacing w:before="160"/>
        <w:ind w:firstLine="360"/>
        <w:jc w:val="both"/>
        <w:rPr>
          <w:rFonts w:ascii="Arial" w:hAnsi="Arial" w:cs="Arial"/>
          <w:szCs w:val="20"/>
        </w:rPr>
      </w:pPr>
      <w:r>
        <w:rPr>
          <w:rFonts w:ascii="Arial" w:hAnsi="Arial" w:cs="Arial"/>
          <w:szCs w:val="20"/>
        </w:rPr>
        <w:t>Annual and long-term performance goals are approved by the Committee at the beginning of each year after consideration of the Company’s prior year performance, budgeted performance for the performance period, and anticipated market and economic conditions for the performance period.</w:t>
      </w:r>
    </w:p>
    <w:p w:rsidR="00376768" w:rsidRDefault="00EC2B72">
      <w:pPr>
        <w:spacing w:before="160"/>
        <w:ind w:firstLine="360"/>
        <w:jc w:val="both"/>
        <w:rPr>
          <w:rFonts w:ascii="Arial" w:hAnsi="Arial" w:cs="Arial"/>
          <w:szCs w:val="20"/>
        </w:rPr>
      </w:pPr>
      <w:r>
        <w:rPr>
          <w:rFonts w:ascii="Arial" w:hAnsi="Arial" w:cs="Arial"/>
          <w:i/>
          <w:iCs/>
          <w:szCs w:val="20"/>
        </w:rPr>
        <w:t>Results of 2017 Shareholder Vote on Named Executive Officer Compensation</w:t>
      </w:r>
    </w:p>
    <w:p w:rsidR="00376768" w:rsidRDefault="00EC2B72">
      <w:pPr>
        <w:spacing w:before="160"/>
        <w:ind w:firstLine="360"/>
        <w:jc w:val="both"/>
        <w:rPr>
          <w:rFonts w:ascii="Arial" w:hAnsi="Arial" w:cs="Arial"/>
          <w:szCs w:val="20"/>
        </w:rPr>
      </w:pPr>
      <w:r>
        <w:rPr>
          <w:rFonts w:ascii="Arial" w:hAnsi="Arial" w:cs="Arial"/>
          <w:szCs w:val="20"/>
        </w:rPr>
        <w:lastRenderedPageBreak/>
        <w:t>In May 2017, we held a shareholder advisory vote on the compensation paid to our NEOs, which resulted in the approval by a significant margin of the 2016 compensation paid to our NEOs, with approximately 90% of votes cast in favor of our say-on-pay proposal. Based on this feedback, and as the Company evaluated its compensation policies and practices throughout the remainder of 2017, our Board of Directors chose to make no significant changes to our existing executive incentive programs.</w:t>
      </w:r>
    </w:p>
    <w:p w:rsidR="00376768" w:rsidRDefault="00EC2B72">
      <w:pPr>
        <w:spacing w:before="160"/>
        <w:ind w:firstLine="360"/>
        <w:jc w:val="both"/>
        <w:rPr>
          <w:rFonts w:ascii="Arial" w:hAnsi="Arial" w:cs="Arial"/>
          <w:szCs w:val="20"/>
        </w:rPr>
      </w:pPr>
      <w:r>
        <w:rPr>
          <w:rFonts w:ascii="Arial" w:hAnsi="Arial" w:cs="Arial"/>
          <w:szCs w:val="20"/>
        </w:rPr>
        <w:t>In connection with the Committee’s determination of 2018 executive compensation, the Company was mindful of the strong support our shareholders expressed for our pay-for-performance philosophy, which is designed to link the compensation paid to our executive officers, including NEOs, to the Company’s financial and share performance in order to ensure that we are delivering value to our shareholders and not merely performing well against our peers.</w:t>
      </w:r>
    </w:p>
    <w:p w:rsidR="00376768" w:rsidRDefault="00EC2B72">
      <w:pPr>
        <w:spacing w:before="160"/>
        <w:ind w:firstLine="360"/>
        <w:jc w:val="both"/>
        <w:rPr>
          <w:rFonts w:ascii="Arial" w:hAnsi="Arial" w:cs="Arial"/>
          <w:szCs w:val="20"/>
        </w:rPr>
      </w:pPr>
      <w:r>
        <w:rPr>
          <w:rFonts w:ascii="Arial" w:hAnsi="Arial" w:cs="Arial"/>
          <w:szCs w:val="20"/>
        </w:rPr>
        <w:t>The remainder of this CD&amp;A is divided into three parts:</w:t>
      </w:r>
    </w:p>
    <w:p w:rsidR="00376768" w:rsidRDefault="00EC2B72">
      <w:pPr>
        <w:spacing w:before="160"/>
        <w:ind w:left="720" w:hanging="360"/>
        <w:jc w:val="both"/>
        <w:rPr>
          <w:rFonts w:ascii="Arial" w:hAnsi="Arial" w:cs="Arial"/>
          <w:szCs w:val="20"/>
        </w:rPr>
      </w:pPr>
      <w:r>
        <w:rPr>
          <w:rFonts w:ascii="Arial" w:hAnsi="Arial" w:cs="Arial"/>
          <w:szCs w:val="20"/>
        </w:rPr>
        <w:t>1.</w:t>
      </w:r>
      <w:r>
        <w:rPr>
          <w:rFonts w:ascii="Arial" w:hAnsi="Arial" w:cs="Arial"/>
          <w:szCs w:val="20"/>
        </w:rPr>
        <w:tab/>
        <w:t>Summary of 2017 Compensation Arrangements, which provides a brief summary of how the Company determines executive compensation for the NEOs; and</w:t>
      </w:r>
    </w:p>
    <w:p w:rsidR="00376768" w:rsidRDefault="00EC2B72">
      <w:pPr>
        <w:ind w:left="720" w:hanging="360"/>
        <w:jc w:val="both"/>
        <w:rPr>
          <w:rFonts w:ascii="Arial" w:hAnsi="Arial" w:cs="Arial"/>
          <w:szCs w:val="20"/>
        </w:rPr>
      </w:pPr>
      <w:r>
        <w:rPr>
          <w:rFonts w:ascii="Arial" w:hAnsi="Arial" w:cs="Arial"/>
          <w:szCs w:val="20"/>
        </w:rPr>
        <w:t>2.</w:t>
      </w:r>
      <w:r>
        <w:rPr>
          <w:rFonts w:ascii="Arial" w:hAnsi="Arial" w:cs="Arial"/>
          <w:szCs w:val="20"/>
        </w:rPr>
        <w:tab/>
        <w:t>Overview of Compensation Framework, which reviews in greater detail overall considerations in determining executive pay, as well as the key elements of 2017 executive compensation at the Company; and</w:t>
      </w:r>
    </w:p>
    <w:p w:rsidR="00376768" w:rsidRDefault="00EC2B72">
      <w:pPr>
        <w:ind w:left="720" w:hanging="360"/>
        <w:jc w:val="both"/>
        <w:rPr>
          <w:rFonts w:ascii="Arial" w:hAnsi="Arial" w:cs="Arial"/>
          <w:szCs w:val="20"/>
        </w:rPr>
      </w:pPr>
      <w:r>
        <w:rPr>
          <w:rFonts w:ascii="Arial" w:hAnsi="Arial" w:cs="Arial"/>
          <w:szCs w:val="20"/>
        </w:rPr>
        <w:t>3.</w:t>
      </w:r>
      <w:r>
        <w:rPr>
          <w:rFonts w:ascii="Arial" w:hAnsi="Arial" w:cs="Arial"/>
          <w:szCs w:val="20"/>
        </w:rPr>
        <w:tab/>
        <w:t>Other Compensation Practices, which apply to our NEOs’ other compensatory arrangements.</w:t>
      </w:r>
    </w:p>
    <w:p w:rsidR="00376768" w:rsidRDefault="00EC2B72">
      <w:pPr>
        <w:spacing w:before="160"/>
        <w:jc w:val="center"/>
        <w:rPr>
          <w:rFonts w:ascii="Arial" w:hAnsi="Arial" w:cs="Arial"/>
          <w:szCs w:val="20"/>
        </w:rPr>
      </w:pPr>
      <w:r>
        <w:rPr>
          <w:rFonts w:ascii="Arial" w:hAnsi="Arial" w:cs="Arial"/>
          <w:b/>
          <w:bCs/>
          <w:i/>
          <w:iCs/>
          <w:szCs w:val="20"/>
          <w:u w:val="single"/>
        </w:rPr>
        <w:t>Sum</w:t>
      </w:r>
      <w:bookmarkStart w:id="26" w:name="a026_v1"/>
      <w:bookmarkEnd w:id="26"/>
      <w:r>
        <w:rPr>
          <w:rFonts w:ascii="Arial" w:hAnsi="Arial" w:cs="Arial"/>
          <w:b/>
          <w:bCs/>
          <w:i/>
          <w:iCs/>
          <w:szCs w:val="20"/>
          <w:u w:val="single"/>
        </w:rPr>
        <w:t>mary of 2017 Compensation Arrangements</w:t>
      </w:r>
    </w:p>
    <w:p w:rsidR="00376768" w:rsidRDefault="00EC2B72">
      <w:pPr>
        <w:spacing w:before="160"/>
        <w:ind w:firstLine="360"/>
        <w:jc w:val="both"/>
        <w:rPr>
          <w:rFonts w:ascii="Arial" w:hAnsi="Arial" w:cs="Arial"/>
          <w:szCs w:val="20"/>
        </w:rPr>
      </w:pPr>
      <w:r>
        <w:rPr>
          <w:rFonts w:ascii="Arial" w:hAnsi="Arial" w:cs="Arial"/>
          <w:i/>
          <w:iCs/>
          <w:szCs w:val="20"/>
        </w:rPr>
        <w:t>Determining the Chief Executive Officer’s Compensation</w:t>
      </w:r>
    </w:p>
    <w:p w:rsidR="00376768" w:rsidRDefault="00EC2B72">
      <w:pPr>
        <w:spacing w:before="160"/>
        <w:ind w:firstLine="360"/>
        <w:jc w:val="both"/>
        <w:rPr>
          <w:rFonts w:ascii="Arial" w:hAnsi="Arial" w:cs="Arial"/>
          <w:szCs w:val="20"/>
        </w:rPr>
      </w:pPr>
      <w:r>
        <w:rPr>
          <w:rFonts w:ascii="Arial" w:hAnsi="Arial" w:cs="Arial"/>
          <w:szCs w:val="20"/>
        </w:rPr>
        <w:t>The compensation of our CEO, Robert Bauer, consists of three major components: base salary, annual cash incentives, and long-term incentives in the form of equity awards. For 2017, Mr. Bauer’s base salary remained unchanged for a third consecutive year at $613,000.</w:t>
      </w:r>
    </w:p>
    <w:p w:rsidR="00376768" w:rsidRDefault="00EC2B72">
      <w:pPr>
        <w:spacing w:before="160"/>
        <w:ind w:firstLine="360"/>
        <w:jc w:val="both"/>
        <w:rPr>
          <w:rFonts w:ascii="Arial" w:hAnsi="Arial" w:cs="Arial"/>
          <w:szCs w:val="20"/>
        </w:rPr>
      </w:pPr>
      <w:r>
        <w:rPr>
          <w:rFonts w:ascii="Arial" w:hAnsi="Arial" w:cs="Arial"/>
          <w:szCs w:val="20"/>
        </w:rPr>
        <w:t xml:space="preserve">Mr. Bauer’s 2017 annual cash incentive awards were calculated relative to performance goals established at the beginning of the performance period and as described under the </w:t>
      </w:r>
      <w:r>
        <w:rPr>
          <w:rFonts w:ascii="Arial" w:hAnsi="Arial" w:cs="Arial"/>
          <w:i/>
          <w:iCs/>
          <w:szCs w:val="20"/>
        </w:rPr>
        <w:t xml:space="preserve">2017 Annual Plan </w:t>
      </w:r>
      <w:r>
        <w:rPr>
          <w:rFonts w:ascii="Arial" w:hAnsi="Arial" w:cs="Arial"/>
          <w:szCs w:val="20"/>
        </w:rPr>
        <w:t>on pages 40-43. As a result of the Company’s performance in 2017, Mr. Bauer earned an aggregate annual cash incentive payout of $532,722, which is included in the Summary Compensation Table on page 54. Despite the Company’s strong 2017 performance, which exceeded both 2017 financial goals and 2016 actual financial results, the annual cash payout reflects the Compensation Committee’s application of a 10% negative discretion factor, recognizing that while performance goals established for 2017 were set above 2016 actual financial results, 2017 goals were below the established 2016 performance goals as a result of the challenging business environment in both the energy and rail segments of our business.</w:t>
      </w:r>
    </w:p>
    <w:p w:rsidR="00376768" w:rsidRDefault="00EC2B72">
      <w:pPr>
        <w:spacing w:before="160"/>
        <w:ind w:firstLine="360"/>
        <w:jc w:val="both"/>
        <w:rPr>
          <w:rFonts w:ascii="Arial" w:hAnsi="Arial" w:cs="Arial"/>
          <w:szCs w:val="20"/>
        </w:rPr>
      </w:pPr>
      <w:r>
        <w:rPr>
          <w:rFonts w:ascii="Arial" w:hAnsi="Arial" w:cs="Arial"/>
          <w:szCs w:val="20"/>
        </w:rPr>
        <w:t>Mr. Bauer’s long-term incentive equity award for 2017 was reduced from $915,000 in 2015 to $288,272 in 2016, and then, based on improving Company performance, increased to $700,000 for 2017 which is below the median long-term incentive value of the peer group. Shares were awarded in accordance with the long-term incentive program as further described on pages 43-45. Given that Mr. Bauer had been awarded no increase in his base compensation for the past three years and his long-term target was considerably reduced in 2016, the increase in Mr. Bauer’s 2017 long-term equity award was indicative of the Committee’s focus on pay-for-performance and desire to provide incentive for improved business performance.</w:t>
      </w:r>
    </w:p>
    <w:p w:rsidR="00376768" w:rsidRDefault="00EC2B72">
      <w:pPr>
        <w:spacing w:before="160"/>
        <w:ind w:firstLine="360"/>
        <w:jc w:val="both"/>
        <w:rPr>
          <w:rFonts w:ascii="Arial" w:hAnsi="Arial" w:cs="Arial"/>
          <w:szCs w:val="20"/>
        </w:rPr>
      </w:pPr>
      <w:r>
        <w:rPr>
          <w:rFonts w:ascii="Arial" w:hAnsi="Arial" w:cs="Arial"/>
          <w:i/>
          <w:iCs/>
          <w:szCs w:val="20"/>
        </w:rPr>
        <w:t>Determining Compensation for Other Named Executive Officers</w:t>
      </w:r>
    </w:p>
    <w:p w:rsidR="00376768" w:rsidRDefault="00EC2B72">
      <w:pPr>
        <w:spacing w:before="160"/>
        <w:ind w:firstLine="360"/>
        <w:jc w:val="both"/>
        <w:rPr>
          <w:rFonts w:ascii="Arial" w:hAnsi="Arial" w:cs="Arial"/>
          <w:szCs w:val="20"/>
        </w:rPr>
      </w:pPr>
      <w:r>
        <w:rPr>
          <w:rFonts w:ascii="Arial" w:hAnsi="Arial" w:cs="Arial"/>
          <w:szCs w:val="20"/>
        </w:rPr>
        <w:t>Each of our other NEOs is or was a leader of an individual business or function of the Company who reports directly to the CEO, with the exception of Christopher T. Scanlon, who is the Controller and Chief Accounting Officer and temporarily performed the duties of the Chief Financial Officer while the position was vacant after the resignation of Mr. Russo. The CEO develops the objectives that each individual member of the executive management team is expected to achieve, against which the executive officer’s performance is assessed. These objectives are reviewed with the Committee at the beginning of each year and are derived largely from the Company’s annual financial and strategic planning sessions in which the other NEOs participate and the Board reviews. The CEO leads the assessment of each other NEO’s individual performance against these objectives, as well as the Company’s overall performance and the performance of each NEO’s business or function. The CEO then makes a compensation recommendation to the Committee for each NEO, in consultation with the Company’s VP, Human Resources and Administration. The NEOs, including the CEO, do not participate in the final determination of their own compensation.</w:t>
      </w:r>
    </w:p>
    <w:p w:rsidR="00376768" w:rsidRDefault="00EC2B72">
      <w:pPr>
        <w:spacing w:before="160"/>
        <w:ind w:firstLine="360"/>
        <w:jc w:val="both"/>
        <w:rPr>
          <w:rFonts w:ascii="Arial" w:hAnsi="Arial" w:cs="Arial"/>
          <w:szCs w:val="20"/>
        </w:rPr>
      </w:pPr>
      <w:r>
        <w:rPr>
          <w:rFonts w:ascii="Arial" w:hAnsi="Arial" w:cs="Arial"/>
          <w:szCs w:val="20"/>
        </w:rPr>
        <w:t>As discussed above, the Company’s general process involves using proxy data from the Comparator Group, a compensation survey and, at times, the input of the consultant, to determine competitive compensation levels for the NEOs and the other executive officers of the Company. As with the CEO, the NEOs’ compensation consists of three major components: base salary, annual cash incentives, and long-term incentives in the form of equity awards.</w:t>
      </w:r>
    </w:p>
    <w:p w:rsidR="00376768" w:rsidRDefault="00EC2B72">
      <w:pPr>
        <w:spacing w:before="160"/>
        <w:ind w:firstLine="360"/>
        <w:jc w:val="both"/>
        <w:rPr>
          <w:rFonts w:ascii="Arial" w:hAnsi="Arial" w:cs="Arial"/>
          <w:sz w:val="19"/>
          <w:szCs w:val="20"/>
        </w:rPr>
      </w:pPr>
      <w:r>
        <w:rPr>
          <w:rFonts w:ascii="Arial" w:hAnsi="Arial" w:cs="Arial"/>
          <w:sz w:val="19"/>
          <w:szCs w:val="20"/>
        </w:rPr>
        <w:lastRenderedPageBreak/>
        <w:t>Determination of base salaries for the non-CEO NEOs is described further on page 40. As with the CEO, the 2017 annual cash incentive awards for these NEOs were determined in accordance with the 2017 Annual Plan, as described on pages 40-43</w:t>
      </w:r>
      <w:r>
        <w:rPr>
          <w:rFonts w:ascii="Arial" w:hAnsi="Arial" w:cs="Arial"/>
          <w:b/>
          <w:bCs/>
          <w:sz w:val="19"/>
          <w:szCs w:val="20"/>
        </w:rPr>
        <w:t>,</w:t>
      </w:r>
      <w:r>
        <w:rPr>
          <w:rFonts w:ascii="Arial" w:hAnsi="Arial" w:cs="Arial"/>
          <w:sz w:val="19"/>
          <w:szCs w:val="20"/>
        </w:rPr>
        <w:t xml:space="preserve"> and their long-term incentive equity awards were granted in accordance with the long-term incentive program (the “LTIP”), as described on pages 43-45.</w:t>
      </w:r>
    </w:p>
    <w:p w:rsidR="00376768" w:rsidRDefault="00EC2B72">
      <w:pPr>
        <w:spacing w:before="160"/>
        <w:jc w:val="center"/>
        <w:rPr>
          <w:rFonts w:ascii="Arial" w:hAnsi="Arial" w:cs="Arial"/>
          <w:sz w:val="19"/>
          <w:szCs w:val="20"/>
        </w:rPr>
      </w:pPr>
      <w:r>
        <w:rPr>
          <w:rFonts w:ascii="Arial" w:hAnsi="Arial" w:cs="Arial"/>
          <w:b/>
          <w:bCs/>
          <w:i/>
          <w:iCs/>
          <w:sz w:val="19"/>
          <w:szCs w:val="20"/>
          <w:u w:val="single"/>
        </w:rPr>
        <w:t>Ov</w:t>
      </w:r>
      <w:bookmarkStart w:id="27" w:name="a027_v1"/>
      <w:bookmarkEnd w:id="27"/>
      <w:r>
        <w:rPr>
          <w:rFonts w:ascii="Arial" w:hAnsi="Arial" w:cs="Arial"/>
          <w:b/>
          <w:bCs/>
          <w:i/>
          <w:iCs/>
          <w:sz w:val="19"/>
          <w:szCs w:val="20"/>
          <w:u w:val="single"/>
        </w:rPr>
        <w:t>erview of Compensation Framework</w:t>
      </w:r>
    </w:p>
    <w:p w:rsidR="00376768" w:rsidRDefault="00EC2B72">
      <w:pPr>
        <w:spacing w:before="140"/>
        <w:ind w:firstLine="360"/>
        <w:jc w:val="both"/>
        <w:rPr>
          <w:rFonts w:ascii="Arial" w:hAnsi="Arial" w:cs="Arial"/>
          <w:sz w:val="19"/>
          <w:szCs w:val="20"/>
        </w:rPr>
      </w:pPr>
      <w:r>
        <w:rPr>
          <w:rFonts w:ascii="Arial" w:hAnsi="Arial" w:cs="Arial"/>
          <w:sz w:val="19"/>
          <w:szCs w:val="20"/>
        </w:rPr>
        <w:t>The Company seeks to attract and retain talented and qualified executives through the use of compensation programs that are balanced and competitive. The Committee pursues this goal through its approval of executive officer compensation and, in the case of the CEO, recommending that the Board ratify his compensatory arrangements. The Committee’s executive compensation philosophy is to align compensation with Company performance by rewarding initiative and positive financial and operating results, while being mindful of the current business climate.</w:t>
      </w:r>
    </w:p>
    <w:p w:rsidR="00376768" w:rsidRDefault="00EC2B72">
      <w:pPr>
        <w:spacing w:before="140"/>
        <w:ind w:firstLine="360"/>
        <w:jc w:val="both"/>
        <w:rPr>
          <w:rFonts w:ascii="Arial" w:hAnsi="Arial" w:cs="Arial"/>
          <w:sz w:val="19"/>
          <w:szCs w:val="20"/>
        </w:rPr>
      </w:pPr>
      <w:r>
        <w:rPr>
          <w:rFonts w:ascii="Arial" w:hAnsi="Arial" w:cs="Arial"/>
          <w:sz w:val="19"/>
          <w:szCs w:val="20"/>
        </w:rPr>
        <w:t>The Committee generally aligns executive officer compensation with the Company’s performance in order to drive short-term achievement and create long-term shareholder value. Our compensation program reflects the goals of consistent behavior and balancing short and long-term interests. Due to the Company’s product mix and distinct manufacturing and distribution businesses, our Company does not have “true” peers among publicly-traded companies and, for this reason, the Committee believes that Company-specific performance measures, as opposed to performance goals measured relative to peer company performance, is most appropriate to incentivize management to achieve the business goals of the Company. Further, annual and long-term performance measures include a mix of factors to avoid over-emphasis on any single measure. A significant portion of the executive officers’ potential compensation is variable and earned under incentive plans that are based on the Company’s performance and the value delivered to the Company’s shareholders.</w:t>
      </w:r>
    </w:p>
    <w:p w:rsidR="00376768" w:rsidRDefault="00EC2B72">
      <w:pPr>
        <w:spacing w:before="140"/>
        <w:ind w:firstLine="360"/>
        <w:jc w:val="both"/>
        <w:rPr>
          <w:rFonts w:ascii="Arial" w:hAnsi="Arial" w:cs="Arial"/>
          <w:i/>
          <w:iCs/>
          <w:sz w:val="19"/>
          <w:szCs w:val="20"/>
        </w:rPr>
      </w:pPr>
      <w:r>
        <w:rPr>
          <w:rFonts w:ascii="Arial" w:hAnsi="Arial" w:cs="Arial"/>
          <w:i/>
          <w:iCs/>
          <w:sz w:val="19"/>
          <w:szCs w:val="20"/>
        </w:rPr>
        <w:t>The Use of Market Compensation Data</w:t>
      </w:r>
    </w:p>
    <w:p w:rsidR="00376768" w:rsidRDefault="00EC2B72">
      <w:pPr>
        <w:spacing w:before="140"/>
        <w:ind w:firstLine="360"/>
        <w:jc w:val="both"/>
        <w:rPr>
          <w:rFonts w:ascii="Arial" w:hAnsi="Arial" w:cs="Arial"/>
          <w:sz w:val="19"/>
          <w:szCs w:val="20"/>
        </w:rPr>
      </w:pPr>
      <w:r>
        <w:rPr>
          <w:rFonts w:ascii="Arial" w:hAnsi="Arial" w:cs="Arial"/>
          <w:sz w:val="19"/>
          <w:szCs w:val="20"/>
        </w:rPr>
        <w:t>The Committee’s objective is to pay executives fairly and competitively. Executive pay is measured against a Comparator Group and other market data (described below), to confirm that compensation is within the range of competitive practices.</w:t>
      </w:r>
    </w:p>
    <w:p w:rsidR="00376768" w:rsidRDefault="00EC2B72">
      <w:pPr>
        <w:spacing w:before="140"/>
        <w:ind w:firstLine="360"/>
        <w:jc w:val="both"/>
        <w:rPr>
          <w:rFonts w:ascii="Arial" w:hAnsi="Arial" w:cs="Arial"/>
          <w:sz w:val="19"/>
          <w:szCs w:val="20"/>
        </w:rPr>
      </w:pPr>
      <w:r>
        <w:rPr>
          <w:rFonts w:ascii="Arial" w:hAnsi="Arial" w:cs="Arial"/>
          <w:sz w:val="19"/>
          <w:szCs w:val="20"/>
        </w:rPr>
        <w:t>Each year, to assist in its compensation decisions to determine market rates for overall compensation and each pay component, the Committee reviews market data drawn from the following sources: (i) survey from Willis Towers Watson and (ii) the compensation practices of the Comparator Group.</w:t>
      </w:r>
    </w:p>
    <w:p w:rsidR="00376768" w:rsidRDefault="00EC2B72">
      <w:pPr>
        <w:spacing w:before="140"/>
        <w:ind w:firstLine="360"/>
        <w:jc w:val="both"/>
        <w:rPr>
          <w:rFonts w:ascii="Arial" w:hAnsi="Arial" w:cs="Arial"/>
          <w:sz w:val="19"/>
          <w:szCs w:val="20"/>
        </w:rPr>
      </w:pPr>
      <w:r>
        <w:rPr>
          <w:rFonts w:ascii="Arial" w:hAnsi="Arial" w:cs="Arial"/>
          <w:sz w:val="19"/>
          <w:szCs w:val="20"/>
        </w:rPr>
        <w:t>As stated above, the Committee does not believe the Company has true “peers” among publicly-traded organizations. Accordingly, the Committee reviews the compensation of certain publicly-traded companies that it believes are most comparable to the Company. The Comparator Group was selected based on the following criteria:</w:t>
      </w:r>
    </w:p>
    <w:p w:rsidR="00376768" w:rsidRDefault="00EC2B72">
      <w:pPr>
        <w:spacing w:before="140"/>
        <w:ind w:left="720" w:hanging="360"/>
        <w:jc w:val="both"/>
        <w:rPr>
          <w:rFonts w:ascii="Arial" w:hAnsi="Arial" w:cs="Arial"/>
          <w:sz w:val="19"/>
          <w:szCs w:val="20"/>
        </w:rPr>
      </w:pPr>
      <w:r>
        <w:rPr>
          <w:rFonts w:ascii="Arial" w:hAnsi="Arial" w:cs="Arial"/>
          <w:sz w:val="19"/>
          <w:szCs w:val="20"/>
        </w:rPr>
        <w:sym w:font="Symbol" w:char="F0B7"/>
      </w:r>
      <w:r>
        <w:rPr>
          <w:rFonts w:ascii="Arial" w:hAnsi="Arial" w:cs="Arial"/>
          <w:sz w:val="19"/>
          <w:szCs w:val="20"/>
        </w:rPr>
        <w:tab/>
        <w:t>Revenues and assets ranging from approximately one-half to double those of the Company;</w:t>
      </w:r>
    </w:p>
    <w:p w:rsidR="00376768" w:rsidRDefault="00EC2B72">
      <w:pPr>
        <w:ind w:left="720" w:hanging="360"/>
        <w:jc w:val="both"/>
        <w:rPr>
          <w:rFonts w:ascii="Arial" w:hAnsi="Arial" w:cs="Arial"/>
          <w:sz w:val="19"/>
          <w:szCs w:val="20"/>
        </w:rPr>
      </w:pPr>
      <w:r>
        <w:rPr>
          <w:rFonts w:ascii="Arial" w:hAnsi="Arial" w:cs="Arial"/>
          <w:sz w:val="19"/>
          <w:szCs w:val="20"/>
        </w:rPr>
        <w:sym w:font="Symbol" w:char="F0B7"/>
      </w:r>
      <w:r>
        <w:rPr>
          <w:rFonts w:ascii="Arial" w:hAnsi="Arial" w:cs="Arial"/>
          <w:sz w:val="19"/>
          <w:szCs w:val="20"/>
        </w:rPr>
        <w:tab/>
        <w:t>Market capitalization of less than $1.5 billion at the time of review by the Committee;</w:t>
      </w:r>
    </w:p>
    <w:p w:rsidR="00376768" w:rsidRDefault="00EC2B72">
      <w:pPr>
        <w:ind w:left="720" w:hanging="360"/>
        <w:jc w:val="both"/>
        <w:rPr>
          <w:rFonts w:ascii="Arial" w:hAnsi="Arial" w:cs="Arial"/>
          <w:sz w:val="19"/>
          <w:szCs w:val="20"/>
        </w:rPr>
      </w:pPr>
      <w:r>
        <w:rPr>
          <w:rFonts w:ascii="Arial" w:hAnsi="Arial" w:cs="Arial"/>
          <w:sz w:val="19"/>
          <w:szCs w:val="20"/>
        </w:rPr>
        <w:sym w:font="Symbol" w:char="F0B7"/>
      </w:r>
      <w:r>
        <w:rPr>
          <w:rFonts w:ascii="Arial" w:hAnsi="Arial" w:cs="Arial"/>
          <w:sz w:val="19"/>
          <w:szCs w:val="20"/>
        </w:rPr>
        <w:tab/>
        <w:t>Generally less than 4,000 employees;</w:t>
      </w:r>
    </w:p>
    <w:p w:rsidR="00376768" w:rsidRDefault="00EC2B72">
      <w:pPr>
        <w:ind w:left="720" w:hanging="360"/>
        <w:jc w:val="both"/>
        <w:rPr>
          <w:rFonts w:ascii="Arial" w:hAnsi="Arial" w:cs="Arial"/>
          <w:sz w:val="19"/>
          <w:szCs w:val="20"/>
        </w:rPr>
      </w:pPr>
      <w:r>
        <w:rPr>
          <w:rFonts w:ascii="Arial" w:hAnsi="Arial" w:cs="Arial"/>
          <w:sz w:val="19"/>
          <w:szCs w:val="20"/>
        </w:rPr>
        <w:sym w:font="Symbol" w:char="F0B7"/>
      </w:r>
      <w:r>
        <w:rPr>
          <w:rFonts w:ascii="Arial" w:hAnsi="Arial" w:cs="Arial"/>
          <w:sz w:val="19"/>
          <w:szCs w:val="20"/>
        </w:rPr>
        <w:tab/>
        <w:t>Lower gross margins and higher asset turnovers, likely indicating a distribution business element; and</w:t>
      </w:r>
    </w:p>
    <w:p w:rsidR="00376768" w:rsidRDefault="00EC2B72">
      <w:pPr>
        <w:ind w:left="720" w:hanging="360"/>
        <w:jc w:val="both"/>
        <w:rPr>
          <w:rFonts w:ascii="Arial" w:hAnsi="Arial" w:cs="Arial"/>
          <w:sz w:val="19"/>
          <w:szCs w:val="20"/>
        </w:rPr>
      </w:pPr>
      <w:r>
        <w:rPr>
          <w:rFonts w:ascii="Arial" w:hAnsi="Arial" w:cs="Arial"/>
          <w:sz w:val="19"/>
          <w:szCs w:val="20"/>
        </w:rPr>
        <w:sym w:font="Symbol" w:char="F0B7"/>
      </w:r>
      <w:r>
        <w:rPr>
          <w:rFonts w:ascii="Arial" w:hAnsi="Arial" w:cs="Arial"/>
          <w:sz w:val="19"/>
          <w:szCs w:val="20"/>
        </w:rPr>
        <w:tab/>
        <w:t>Industry sector generally composed of materials and industrial companies.</w:t>
      </w:r>
    </w:p>
    <w:p w:rsidR="00376768" w:rsidRDefault="00EC2B72">
      <w:pPr>
        <w:spacing w:before="140"/>
        <w:ind w:firstLine="360"/>
        <w:jc w:val="both"/>
        <w:rPr>
          <w:rFonts w:ascii="Arial" w:hAnsi="Arial" w:cs="Arial"/>
          <w:sz w:val="19"/>
          <w:szCs w:val="20"/>
        </w:rPr>
      </w:pPr>
      <w:r>
        <w:rPr>
          <w:rFonts w:ascii="Arial" w:hAnsi="Arial" w:cs="Arial"/>
          <w:sz w:val="19"/>
          <w:szCs w:val="20"/>
        </w:rPr>
        <w:t xml:space="preserve">The Committee used the following 19 Comparator Group companies for 2017 executive compensation purposes: Alamo Group, Inc., </w:t>
      </w:r>
      <w:proofErr w:type="spellStart"/>
      <w:r>
        <w:rPr>
          <w:rFonts w:ascii="Arial" w:hAnsi="Arial" w:cs="Arial"/>
          <w:sz w:val="19"/>
          <w:szCs w:val="20"/>
        </w:rPr>
        <w:t>Ampco</w:t>
      </w:r>
      <w:proofErr w:type="spellEnd"/>
      <w:r>
        <w:rPr>
          <w:rFonts w:ascii="Arial" w:hAnsi="Arial" w:cs="Arial"/>
          <w:sz w:val="19"/>
          <w:szCs w:val="20"/>
        </w:rPr>
        <w:t xml:space="preserve">-Pittsburgh Corporation, CIRCOR International, Inc., Columbus McKinnon Corporation, Gibraltar Industries, Inc., Gorman-Rupp Company, Haynes International, Inc., Hawkins, Inc., </w:t>
      </w:r>
      <w:proofErr w:type="spellStart"/>
      <w:r>
        <w:rPr>
          <w:rFonts w:ascii="Arial" w:hAnsi="Arial" w:cs="Arial"/>
          <w:sz w:val="19"/>
          <w:szCs w:val="20"/>
        </w:rPr>
        <w:t>Lydall</w:t>
      </w:r>
      <w:proofErr w:type="spellEnd"/>
      <w:r>
        <w:rPr>
          <w:rFonts w:ascii="Arial" w:hAnsi="Arial" w:cs="Arial"/>
          <w:sz w:val="19"/>
          <w:szCs w:val="20"/>
        </w:rPr>
        <w:t xml:space="preserve">, Inc., </w:t>
      </w:r>
      <w:proofErr w:type="spellStart"/>
      <w:r>
        <w:rPr>
          <w:rFonts w:ascii="Arial" w:hAnsi="Arial" w:cs="Arial"/>
          <w:sz w:val="19"/>
          <w:szCs w:val="20"/>
        </w:rPr>
        <w:t>Manitex</w:t>
      </w:r>
      <w:proofErr w:type="spellEnd"/>
      <w:r>
        <w:rPr>
          <w:rFonts w:ascii="Arial" w:hAnsi="Arial" w:cs="Arial"/>
          <w:sz w:val="19"/>
          <w:szCs w:val="20"/>
        </w:rPr>
        <w:t xml:space="preserve">, International, Inc., NN, Inc., American Railcar Industries, Inc., Lindsay Corporation, Orion Group Holdings, </w:t>
      </w:r>
      <w:proofErr w:type="spellStart"/>
      <w:r>
        <w:rPr>
          <w:rFonts w:ascii="Arial" w:hAnsi="Arial" w:cs="Arial"/>
          <w:sz w:val="19"/>
          <w:szCs w:val="20"/>
        </w:rPr>
        <w:t>Quanex</w:t>
      </w:r>
      <w:proofErr w:type="spellEnd"/>
      <w:r>
        <w:rPr>
          <w:rFonts w:ascii="Arial" w:hAnsi="Arial" w:cs="Arial"/>
          <w:sz w:val="19"/>
          <w:szCs w:val="20"/>
        </w:rPr>
        <w:t xml:space="preserve"> Building Products Corporation, </w:t>
      </w:r>
      <w:proofErr w:type="spellStart"/>
      <w:r>
        <w:rPr>
          <w:rFonts w:ascii="Arial" w:hAnsi="Arial" w:cs="Arial"/>
          <w:sz w:val="19"/>
          <w:szCs w:val="20"/>
        </w:rPr>
        <w:t>Insteel</w:t>
      </w:r>
      <w:proofErr w:type="spellEnd"/>
      <w:r>
        <w:rPr>
          <w:rFonts w:ascii="Arial" w:hAnsi="Arial" w:cs="Arial"/>
          <w:sz w:val="19"/>
          <w:szCs w:val="20"/>
        </w:rPr>
        <w:t xml:space="preserve"> Industries, Houston Wire &amp; Cable Co., Raven Industries, Inc., and Sterling Construction Co., Inc. This Comparator Group is essentially the same as the peer group used for the 2014, 2015 and 2016 executive compensation determinations.</w:t>
      </w:r>
    </w:p>
    <w:p w:rsidR="00376768" w:rsidRDefault="00EC2B72">
      <w:pPr>
        <w:spacing w:before="140"/>
        <w:ind w:firstLine="360"/>
        <w:jc w:val="both"/>
        <w:rPr>
          <w:rFonts w:ascii="Arial" w:hAnsi="Arial" w:cs="Arial"/>
          <w:sz w:val="19"/>
          <w:szCs w:val="20"/>
        </w:rPr>
      </w:pPr>
      <w:r>
        <w:rPr>
          <w:rFonts w:ascii="Arial" w:hAnsi="Arial" w:cs="Arial"/>
          <w:i/>
          <w:iCs/>
          <w:sz w:val="19"/>
          <w:szCs w:val="20"/>
        </w:rPr>
        <w:t>Role of the Compensation Committee in Establishing Objectives</w:t>
      </w:r>
    </w:p>
    <w:p w:rsidR="00376768" w:rsidRDefault="00EC2B72">
      <w:pPr>
        <w:spacing w:before="140"/>
        <w:ind w:firstLine="360"/>
        <w:jc w:val="both"/>
        <w:rPr>
          <w:rFonts w:ascii="Arial" w:hAnsi="Arial" w:cs="Arial"/>
          <w:sz w:val="19"/>
          <w:szCs w:val="20"/>
        </w:rPr>
      </w:pPr>
      <w:r>
        <w:rPr>
          <w:rFonts w:ascii="Arial" w:hAnsi="Arial" w:cs="Arial"/>
          <w:sz w:val="19"/>
          <w:szCs w:val="20"/>
        </w:rPr>
        <w:t>The Company’s overall executive compensation program is intended to create long-term value by retaining and rewarding outstanding leaders and motivating them to perform at the highest level. Incentives are designed to reward financial and operating performance. After considering the compensation practices of the Comparator Group and the Willis Towers Watson compensation survey, the Committee exercises its judgment in making decisions on individual executive compensation components, including the amount and allocation of compensation. The Committee annually reviews and, if appropriate, adjusts these compensation components based on market and business conditions.</w:t>
      </w:r>
    </w:p>
    <w:p w:rsidR="00376768" w:rsidRDefault="00EC2B72">
      <w:pPr>
        <w:spacing w:before="140"/>
        <w:ind w:firstLine="360"/>
        <w:jc w:val="both"/>
        <w:rPr>
          <w:rFonts w:ascii="Arial" w:hAnsi="Arial" w:cs="Arial"/>
          <w:sz w:val="19"/>
          <w:szCs w:val="20"/>
        </w:rPr>
      </w:pPr>
      <w:r>
        <w:rPr>
          <w:rFonts w:ascii="Arial" w:hAnsi="Arial" w:cs="Arial"/>
          <w:sz w:val="19"/>
          <w:szCs w:val="20"/>
        </w:rPr>
        <w:t>The Committee believes that a significant portion of an executive’s compensation should be delivered through performance-based incentive compensation. Each year, the Committee identifies a variety of financial metrics and establishes rigorous annual and three-year performance goals as the basis for motivating and rewarding executives and aligning compensation with the performance of the Company.</w:t>
      </w:r>
    </w:p>
    <w:p w:rsidR="00376768" w:rsidRDefault="00EC2B72">
      <w:pPr>
        <w:spacing w:before="140"/>
        <w:ind w:firstLine="360"/>
        <w:jc w:val="both"/>
        <w:rPr>
          <w:rFonts w:ascii="Arial" w:hAnsi="Arial" w:cs="Arial"/>
          <w:sz w:val="19"/>
          <w:szCs w:val="20"/>
        </w:rPr>
      </w:pPr>
      <w:r>
        <w:rPr>
          <w:rFonts w:ascii="Arial" w:hAnsi="Arial" w:cs="Arial"/>
          <w:sz w:val="19"/>
          <w:szCs w:val="20"/>
        </w:rPr>
        <w:t>If the Company’s performance exceeds our goals and expectations, the incentive plans pay above the targeted level. If the Company’s performance falls below our goals and expectations, the incentive plans pay either below the targeted level, or nothing if threshold performance is not met. The 2017 Annual Plan and the PSU component of the LTIP include payout limits to prevent excessive payments and discourage executives from engaging in inappropriately risky behavior that may be contrary to the best interests of the Company and its shareholders.</w:t>
      </w:r>
    </w:p>
    <w:p w:rsidR="00376768" w:rsidRDefault="00EC2B72">
      <w:pPr>
        <w:ind w:firstLine="360"/>
        <w:jc w:val="both"/>
        <w:rPr>
          <w:rFonts w:ascii="Arial" w:hAnsi="Arial" w:cs="Arial"/>
        </w:rPr>
      </w:pPr>
      <w:r>
        <w:rPr>
          <w:rFonts w:ascii="Arial" w:hAnsi="Arial" w:cs="Arial"/>
          <w:szCs w:val="20"/>
        </w:rPr>
        <w:br w:type="page"/>
      </w:r>
      <w:r>
        <w:rPr>
          <w:rFonts w:ascii="Arial" w:hAnsi="Arial" w:cs="Arial"/>
          <w:lang w:eastAsia="en-IN"/>
        </w:rPr>
        <w:lastRenderedPageBreak/>
        <w:t xml:space="preserve">In 2017, potential compensation for current NEOs was allocated </w:t>
      </w:r>
      <w:proofErr w:type="gramStart"/>
      <w:r>
        <w:rPr>
          <w:rFonts w:ascii="Arial" w:hAnsi="Arial" w:cs="Arial"/>
          <w:lang w:eastAsia="en-IN"/>
        </w:rPr>
        <w:t>among each compensation</w:t>
      </w:r>
      <w:proofErr w:type="gramEnd"/>
      <w:r>
        <w:rPr>
          <w:rFonts w:ascii="Arial" w:hAnsi="Arial" w:cs="Arial"/>
          <w:lang w:eastAsia="en-IN"/>
        </w:rPr>
        <w:t xml:space="preserve"> elements as follows:</w:t>
      </w:r>
    </w:p>
    <w:p w:rsidR="00376768" w:rsidRDefault="00F16CF0">
      <w:pPr>
        <w:spacing w:before="160"/>
        <w:jc w:val="center"/>
        <w:rPr>
          <w:rFonts w:ascii="Arial" w:hAnsi="Arial" w:cs="Arial"/>
        </w:rPr>
      </w:pPr>
      <w:r>
        <w:rPr>
          <w:rFonts w:ascii="Arial" w:hAnsi="Arial" w:cs="Arial"/>
          <w:noProof/>
          <w:lang w:bidi="ar-SA"/>
        </w:rPr>
        <w:drawing>
          <wp:inline distT="0" distB="0" distL="0" distR="0">
            <wp:extent cx="5735955" cy="6377305"/>
            <wp:effectExtent l="0" t="0" r="0" b="4445"/>
            <wp:docPr id="2" name="Picture 1" descr="D:\Job Folder\Nawaz\2018\April\13-04-2018\SUR_bp02021x1 LB Foster DEF 14A_V1\1. Source\fstr-def14a_052418img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ob Folder\Nawaz\2018\April\13-04-2018\SUR_bp02021x1 LB Foster DEF 14A_V1\1. Source\fstr-def14a_052418img00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5955" cy="6377305"/>
                    </a:xfrm>
                    <a:prstGeom prst="rect">
                      <a:avLst/>
                    </a:prstGeom>
                    <a:noFill/>
                    <a:ln>
                      <a:noFill/>
                    </a:ln>
                  </pic:spPr>
                </pic:pic>
              </a:graphicData>
            </a:graphic>
          </wp:inline>
        </w:drawing>
      </w:r>
    </w:p>
    <w:p w:rsidR="00376768" w:rsidRDefault="00EC2B72">
      <w:pPr>
        <w:spacing w:before="160"/>
        <w:rPr>
          <w:rFonts w:ascii="Arial" w:hAnsi="Arial" w:cs="Arial"/>
          <w:sz w:val="16"/>
        </w:rPr>
      </w:pPr>
      <w:r>
        <w:rPr>
          <w:rFonts w:ascii="Arial" w:hAnsi="Arial" w:cs="Arial"/>
          <w:b/>
          <w:bCs/>
          <w:sz w:val="16"/>
          <w:lang w:eastAsia="en-IN"/>
        </w:rPr>
        <w:t>Notes:</w:t>
      </w:r>
    </w:p>
    <w:p w:rsidR="00376768" w:rsidRDefault="00EC2B72">
      <w:pPr>
        <w:spacing w:before="160"/>
        <w:jc w:val="both"/>
        <w:rPr>
          <w:rFonts w:ascii="Arial" w:hAnsi="Arial" w:cs="Arial"/>
          <w:sz w:val="16"/>
        </w:rPr>
      </w:pPr>
      <w:r>
        <w:rPr>
          <w:rFonts w:ascii="Arial" w:hAnsi="Arial" w:cs="Arial"/>
          <w:sz w:val="16"/>
          <w:lang w:eastAsia="en-IN"/>
        </w:rPr>
        <w:t>Fixed cash base salary includes base salary earned in 2017 as disclosed in the Summary Compensation Table on page 54.</w:t>
      </w:r>
    </w:p>
    <w:p w:rsidR="00376768" w:rsidRDefault="00EC2B72">
      <w:pPr>
        <w:spacing w:before="160"/>
        <w:jc w:val="both"/>
        <w:rPr>
          <w:rFonts w:ascii="Arial" w:hAnsi="Arial" w:cs="Arial"/>
          <w:sz w:val="16"/>
        </w:rPr>
      </w:pPr>
      <w:r>
        <w:rPr>
          <w:rFonts w:ascii="Arial" w:hAnsi="Arial" w:cs="Arial"/>
          <w:sz w:val="16"/>
          <w:lang w:eastAsia="en-IN"/>
        </w:rPr>
        <w:t>Annual and long-term incentive percentages calculated based on salary disclosed in the Summary Compensation Table on page 54, with the annual and long-term incentives being reflected at target.</w:t>
      </w:r>
    </w:p>
    <w:p w:rsidR="00376768" w:rsidRDefault="00EC2B72">
      <w:pPr>
        <w:ind w:firstLine="360"/>
        <w:rPr>
          <w:rFonts w:ascii="Arial" w:hAnsi="Arial" w:cs="Arial"/>
        </w:rPr>
      </w:pPr>
      <w:r>
        <w:rPr>
          <w:rFonts w:ascii="Arial" w:hAnsi="Arial" w:cs="Arial"/>
          <w:i/>
          <w:iCs/>
          <w:lang w:eastAsia="en-IN"/>
        </w:rPr>
        <w:br w:type="page"/>
      </w:r>
      <w:r>
        <w:rPr>
          <w:rFonts w:ascii="Arial" w:hAnsi="Arial" w:cs="Arial"/>
          <w:i/>
          <w:iCs/>
          <w:lang w:eastAsia="en-IN"/>
        </w:rPr>
        <w:lastRenderedPageBreak/>
        <w:t>Compensation</w:t>
      </w:r>
      <w:bookmarkStart w:id="28" w:name="a028_v1"/>
      <w:bookmarkEnd w:id="28"/>
      <w:r>
        <w:rPr>
          <w:rFonts w:ascii="Arial" w:hAnsi="Arial" w:cs="Arial"/>
          <w:i/>
          <w:iCs/>
          <w:lang w:eastAsia="en-IN"/>
        </w:rPr>
        <w:t xml:space="preserve"> Elements</w:t>
      </w:r>
    </w:p>
    <w:p w:rsidR="00376768" w:rsidRDefault="00EC2B72">
      <w:pPr>
        <w:spacing w:before="160"/>
        <w:ind w:firstLine="360"/>
        <w:jc w:val="both"/>
        <w:rPr>
          <w:rFonts w:ascii="Arial" w:hAnsi="Arial" w:cs="Arial"/>
        </w:rPr>
      </w:pPr>
      <w:r>
        <w:rPr>
          <w:rFonts w:ascii="Arial" w:hAnsi="Arial" w:cs="Arial"/>
          <w:lang w:eastAsia="en-IN"/>
        </w:rPr>
        <w:t>Compensation of our NEOs includes base salary, annual cash incentive awards, and long-term equity awards paid under the LTIP.</w:t>
      </w:r>
    </w:p>
    <w:p w:rsidR="00376768" w:rsidRDefault="00EC2B72">
      <w:pPr>
        <w:spacing w:before="160"/>
        <w:ind w:left="360"/>
        <w:rPr>
          <w:rFonts w:ascii="Arial" w:hAnsi="Arial" w:cs="Arial"/>
        </w:rPr>
      </w:pPr>
      <w:r>
        <w:rPr>
          <w:rFonts w:ascii="Arial" w:hAnsi="Arial" w:cs="Arial"/>
          <w:i/>
          <w:iCs/>
          <w:lang w:eastAsia="en-IN"/>
        </w:rPr>
        <w:t>Base Salary</w:t>
      </w:r>
    </w:p>
    <w:p w:rsidR="00376768" w:rsidRDefault="00EC2B72">
      <w:pPr>
        <w:spacing w:before="160"/>
        <w:ind w:firstLine="360"/>
        <w:jc w:val="both"/>
        <w:rPr>
          <w:rFonts w:ascii="Arial" w:hAnsi="Arial" w:cs="Arial"/>
        </w:rPr>
      </w:pPr>
      <w:r>
        <w:rPr>
          <w:rFonts w:ascii="Arial" w:hAnsi="Arial" w:cs="Arial"/>
          <w:lang w:eastAsia="en-IN"/>
        </w:rPr>
        <w:t>As with our CEO, in 2017, base salary amounts for each NEO were established after considering each NEO’s performance and reviewing compensation data from the Comparator Group and other similarly-sized organizations included in the Willis Towers Watson compensation survey. With respect to the Comparator Group and the survey, we targeted the 50th percentile. Additionally, base salaries are reviewed annually for merit-based increases. None of our NEOs, including the CEO, who were serving at the beginning of the fiscal year received merit increases for 2017. In connection with Mr. Maloney joining the Company, his annual base salary was established at $315,000.</w:t>
      </w:r>
    </w:p>
    <w:p w:rsidR="00376768" w:rsidRDefault="00EC2B72">
      <w:pPr>
        <w:spacing w:before="160"/>
        <w:ind w:left="360"/>
        <w:rPr>
          <w:rFonts w:ascii="Arial" w:hAnsi="Arial" w:cs="Arial"/>
        </w:rPr>
      </w:pPr>
      <w:r>
        <w:rPr>
          <w:rFonts w:ascii="Arial" w:hAnsi="Arial" w:cs="Arial"/>
          <w:i/>
          <w:iCs/>
          <w:lang w:eastAsia="en-IN"/>
        </w:rPr>
        <w:t>2017 Annual Plan</w:t>
      </w:r>
    </w:p>
    <w:p w:rsidR="00376768" w:rsidRDefault="00EC2B72">
      <w:pPr>
        <w:spacing w:before="160"/>
        <w:ind w:firstLine="360"/>
        <w:jc w:val="both"/>
        <w:rPr>
          <w:rFonts w:ascii="Arial" w:hAnsi="Arial" w:cs="Arial"/>
        </w:rPr>
      </w:pPr>
      <w:r>
        <w:rPr>
          <w:rFonts w:ascii="Arial" w:hAnsi="Arial" w:cs="Arial"/>
          <w:lang w:eastAsia="en-IN"/>
        </w:rPr>
        <w:t>The 2017 Annual Plan was designed to provide performance-based cash compensation for the performance period of January 1, 2017 through December 31, 2017 and align NEO compensation with the achievement of performance goals that support the Company’s business strategy. The Committee determined that the 2017 Annual Plan would be funded by 7% of 2017 Adjusted EBITDA</w:t>
      </w:r>
      <w:r>
        <w:rPr>
          <w:rFonts w:ascii="Arial" w:hAnsi="Arial" w:cs="Arial"/>
          <w:b/>
          <w:bCs/>
          <w:vertAlign w:val="superscript"/>
          <w:lang w:eastAsia="en-IN"/>
        </w:rPr>
        <w:t>6</w:t>
      </w:r>
      <w:r>
        <w:rPr>
          <w:rFonts w:ascii="Arial" w:hAnsi="Arial" w:cs="Arial"/>
          <w:lang w:eastAsia="en-IN"/>
        </w:rPr>
        <w:t>, with fixed percentages allocated to each executive participant, with payouts not to exceed that allocation. The Committee then approved the following 2017 performance measures and goals for the awards under the 2017 Annual Plan:</w:t>
      </w:r>
    </w:p>
    <w:p w:rsidR="00376768" w:rsidRDefault="00EC2B72">
      <w:pPr>
        <w:spacing w:before="160"/>
        <w:ind w:left="720" w:hanging="360"/>
        <w:jc w:val="both"/>
        <w:rPr>
          <w:rFonts w:ascii="Arial" w:hAnsi="Arial" w:cs="Arial"/>
        </w:rPr>
      </w:pPr>
      <w:r>
        <w:rPr>
          <w:rFonts w:ascii="Arial" w:hAnsi="Arial" w:cs="Arial"/>
          <w:lang w:eastAsia="en-IN"/>
        </w:rPr>
        <w:t>•</w:t>
      </w:r>
      <w:r>
        <w:rPr>
          <w:rFonts w:ascii="Arial" w:hAnsi="Arial" w:cs="Arial"/>
          <w:lang w:eastAsia="en-IN"/>
        </w:rPr>
        <w:tab/>
        <w:t>2017 Corporate ROIC</w:t>
      </w:r>
    </w:p>
    <w:p w:rsidR="00376768" w:rsidRDefault="00EC2B72">
      <w:pPr>
        <w:spacing w:before="160"/>
        <w:ind w:left="720" w:hanging="360"/>
        <w:jc w:val="both"/>
        <w:rPr>
          <w:rFonts w:ascii="Arial" w:hAnsi="Arial" w:cs="Arial"/>
        </w:rPr>
      </w:pPr>
      <w:r>
        <w:rPr>
          <w:rFonts w:ascii="Arial" w:hAnsi="Arial" w:cs="Arial"/>
          <w:lang w:eastAsia="en-IN"/>
        </w:rPr>
        <w:t>•</w:t>
      </w:r>
      <w:r>
        <w:rPr>
          <w:rFonts w:ascii="Arial" w:hAnsi="Arial" w:cs="Arial"/>
          <w:lang w:eastAsia="en-IN"/>
        </w:rPr>
        <w:tab/>
        <w:t>2017 Corporate and Operating Unit Adjusted EBITDA</w:t>
      </w:r>
    </w:p>
    <w:p w:rsidR="00376768" w:rsidRDefault="00EC2B72">
      <w:pPr>
        <w:spacing w:before="160"/>
        <w:ind w:left="720" w:hanging="360"/>
        <w:jc w:val="both"/>
        <w:rPr>
          <w:rFonts w:ascii="Arial" w:hAnsi="Arial" w:cs="Arial"/>
        </w:rPr>
      </w:pPr>
      <w:r>
        <w:rPr>
          <w:rFonts w:ascii="Arial" w:hAnsi="Arial" w:cs="Arial"/>
          <w:lang w:eastAsia="en-IN"/>
        </w:rPr>
        <w:t>•</w:t>
      </w:r>
      <w:r>
        <w:rPr>
          <w:rFonts w:ascii="Arial" w:hAnsi="Arial" w:cs="Arial"/>
          <w:lang w:eastAsia="en-IN"/>
        </w:rPr>
        <w:tab/>
        <w:t>2017 Corporate and Operating Unit Working Capital as a Percentage of Sales</w:t>
      </w:r>
    </w:p>
    <w:p w:rsidR="00376768" w:rsidRDefault="00EC2B72">
      <w:pPr>
        <w:spacing w:before="160"/>
        <w:ind w:firstLine="360"/>
        <w:jc w:val="both"/>
        <w:rPr>
          <w:rFonts w:ascii="Arial" w:hAnsi="Arial" w:cs="Arial"/>
          <w:lang w:eastAsia="en-IN"/>
        </w:rPr>
      </w:pPr>
      <w:r>
        <w:rPr>
          <w:rFonts w:ascii="Arial" w:hAnsi="Arial" w:cs="Arial"/>
          <w:lang w:eastAsia="en-IN"/>
        </w:rPr>
        <w:t>To determine a NEO’s annual incentive opportunity, a participant’s base salary is multiplied by a target percentage</w:t>
      </w:r>
      <w:r>
        <w:rPr>
          <w:rFonts w:ascii="Arial" w:hAnsi="Arial" w:cs="Arial"/>
          <w:b/>
          <w:bCs/>
          <w:lang w:eastAsia="en-IN"/>
        </w:rPr>
        <w:t xml:space="preserve"> </w:t>
      </w:r>
      <w:r>
        <w:rPr>
          <w:rFonts w:ascii="Arial" w:hAnsi="Arial" w:cs="Arial"/>
          <w:lang w:eastAsia="en-IN"/>
        </w:rPr>
        <w:t xml:space="preserve">to obtain a target award. Target percentages for each participant’s position approximate the market median. For this 2017 Annual Plan, each NEO was assigned the following target opportunity expressed as a percentage of base salary: </w:t>
      </w:r>
    </w:p>
    <w:tbl>
      <w:tblPr>
        <w:tblW w:w="2013" w:type="pct"/>
        <w:jc w:val="center"/>
        <w:tblLayout w:type="fixed"/>
        <w:tblCellMar>
          <w:left w:w="0" w:type="dxa"/>
          <w:right w:w="0" w:type="dxa"/>
        </w:tblCellMar>
        <w:tblLook w:val="0000" w:firstRow="0" w:lastRow="0" w:firstColumn="0" w:lastColumn="0" w:noHBand="0" w:noVBand="0"/>
      </w:tblPr>
      <w:tblGrid>
        <w:gridCol w:w="2346"/>
        <w:gridCol w:w="2002"/>
      </w:tblGrid>
      <w:tr w:rsidR="00376768">
        <w:trPr>
          <w:jc w:val="center"/>
        </w:trPr>
        <w:tc>
          <w:tcPr>
            <w:tcW w:w="2698" w:type="pct"/>
            <w:tcBorders>
              <w:bottom w:val="single" w:sz="4" w:space="0" w:color="auto"/>
            </w:tcBorders>
          </w:tcPr>
          <w:p w:rsidR="00376768" w:rsidRDefault="00376768">
            <w:pPr>
              <w:rPr>
                <w:rFonts w:ascii="Arial" w:hAnsi="Arial" w:cs="Arial"/>
                <w:sz w:val="18"/>
                <w:lang w:eastAsia="en-IN"/>
              </w:rPr>
            </w:pPr>
          </w:p>
        </w:tc>
        <w:tc>
          <w:tcPr>
            <w:tcW w:w="2302" w:type="pct"/>
            <w:tcBorders>
              <w:bottom w:val="single" w:sz="4" w:space="0" w:color="auto"/>
            </w:tcBorders>
          </w:tcPr>
          <w:p w:rsidR="00376768" w:rsidRDefault="00376768">
            <w:pPr>
              <w:rPr>
                <w:rFonts w:ascii="Arial" w:hAnsi="Arial" w:cs="Arial"/>
                <w:sz w:val="18"/>
                <w:lang w:eastAsia="en-IN"/>
              </w:rPr>
            </w:pPr>
          </w:p>
        </w:tc>
      </w:tr>
      <w:tr w:rsidR="00376768">
        <w:trPr>
          <w:jc w:val="center"/>
        </w:trPr>
        <w:tc>
          <w:tcPr>
            <w:tcW w:w="2698" w:type="pct"/>
            <w:tcBorders>
              <w:top w:val="single" w:sz="4" w:space="0" w:color="auto"/>
              <w:left w:val="single" w:sz="4" w:space="0" w:color="auto"/>
              <w:bottom w:val="single" w:sz="4" w:space="0" w:color="auto"/>
              <w:right w:val="single" w:sz="4" w:space="0" w:color="auto"/>
            </w:tcBorders>
            <w:shd w:val="clear" w:color="auto" w:fill="B5DBE7"/>
          </w:tcPr>
          <w:p w:rsidR="00376768" w:rsidRDefault="00EC2B72">
            <w:pPr>
              <w:jc w:val="center"/>
              <w:rPr>
                <w:rFonts w:ascii="Arial" w:hAnsi="Arial" w:cs="Arial"/>
                <w:sz w:val="18"/>
                <w:lang w:eastAsia="en-IN"/>
              </w:rPr>
            </w:pPr>
            <w:r>
              <w:rPr>
                <w:rFonts w:ascii="Arial" w:hAnsi="Arial" w:cs="Arial"/>
                <w:b/>
                <w:bCs/>
                <w:sz w:val="18"/>
                <w:lang w:eastAsia="en-IN"/>
              </w:rPr>
              <w:t>Name</w:t>
            </w:r>
          </w:p>
        </w:tc>
        <w:tc>
          <w:tcPr>
            <w:tcW w:w="2302" w:type="pct"/>
            <w:tcBorders>
              <w:top w:val="single" w:sz="4" w:space="0" w:color="auto"/>
              <w:left w:val="single" w:sz="4" w:space="0" w:color="auto"/>
              <w:bottom w:val="single" w:sz="4" w:space="0" w:color="auto"/>
              <w:right w:val="single" w:sz="4" w:space="0" w:color="auto"/>
            </w:tcBorders>
            <w:shd w:val="clear" w:color="auto" w:fill="B5DBE7"/>
          </w:tcPr>
          <w:p w:rsidR="00376768" w:rsidRDefault="00EC2B72">
            <w:pPr>
              <w:jc w:val="center"/>
              <w:rPr>
                <w:rFonts w:ascii="Arial" w:hAnsi="Arial" w:cs="Arial"/>
                <w:sz w:val="18"/>
                <w:lang w:eastAsia="en-IN"/>
              </w:rPr>
            </w:pPr>
            <w:r>
              <w:rPr>
                <w:rFonts w:ascii="Arial" w:hAnsi="Arial" w:cs="Arial"/>
                <w:b/>
                <w:bCs/>
                <w:sz w:val="18"/>
                <w:lang w:eastAsia="en-IN"/>
              </w:rPr>
              <w:t>Target Percentage</w:t>
            </w:r>
          </w:p>
        </w:tc>
      </w:tr>
      <w:tr w:rsidR="00376768">
        <w:trPr>
          <w:jc w:val="center"/>
        </w:trPr>
        <w:tc>
          <w:tcPr>
            <w:tcW w:w="2698" w:type="pct"/>
            <w:tcBorders>
              <w:top w:val="single" w:sz="4" w:space="0" w:color="auto"/>
              <w:left w:val="single" w:sz="4" w:space="0" w:color="auto"/>
              <w:bottom w:val="single" w:sz="4" w:space="0" w:color="auto"/>
              <w:right w:val="single" w:sz="4" w:space="0" w:color="auto"/>
            </w:tcBorders>
          </w:tcPr>
          <w:p w:rsidR="00376768" w:rsidRDefault="00EC2B72">
            <w:pPr>
              <w:spacing w:before="40"/>
              <w:ind w:left="173"/>
              <w:rPr>
                <w:rFonts w:ascii="Arial" w:hAnsi="Arial" w:cs="Arial"/>
                <w:sz w:val="18"/>
                <w:lang w:eastAsia="en-IN"/>
              </w:rPr>
            </w:pPr>
            <w:r>
              <w:rPr>
                <w:rFonts w:ascii="Arial" w:hAnsi="Arial" w:cs="Arial"/>
                <w:sz w:val="18"/>
                <w:lang w:eastAsia="en-IN"/>
              </w:rPr>
              <w:t>Robert P. Bauer</w:t>
            </w:r>
          </w:p>
        </w:tc>
        <w:tc>
          <w:tcPr>
            <w:tcW w:w="2302"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80%</w:t>
            </w:r>
          </w:p>
        </w:tc>
      </w:tr>
      <w:tr w:rsidR="00376768">
        <w:trPr>
          <w:jc w:val="center"/>
        </w:trPr>
        <w:tc>
          <w:tcPr>
            <w:tcW w:w="2698"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ind w:left="173"/>
              <w:rPr>
                <w:rFonts w:ascii="Arial" w:hAnsi="Arial" w:cs="Arial"/>
                <w:sz w:val="18"/>
                <w:lang w:eastAsia="en-IN"/>
              </w:rPr>
            </w:pPr>
            <w:r>
              <w:rPr>
                <w:rFonts w:ascii="Arial" w:hAnsi="Arial" w:cs="Arial"/>
                <w:sz w:val="18"/>
                <w:lang w:eastAsia="en-IN"/>
              </w:rPr>
              <w:t>James P. Maloney</w:t>
            </w:r>
          </w:p>
        </w:tc>
        <w:tc>
          <w:tcPr>
            <w:tcW w:w="2302"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50%</w:t>
            </w:r>
          </w:p>
        </w:tc>
      </w:tr>
      <w:tr w:rsidR="00376768">
        <w:trPr>
          <w:jc w:val="center"/>
        </w:trPr>
        <w:tc>
          <w:tcPr>
            <w:tcW w:w="2698" w:type="pct"/>
            <w:tcBorders>
              <w:top w:val="single" w:sz="4" w:space="0" w:color="auto"/>
              <w:left w:val="single" w:sz="4" w:space="0" w:color="auto"/>
              <w:bottom w:val="single" w:sz="4" w:space="0" w:color="auto"/>
              <w:right w:val="single" w:sz="4" w:space="0" w:color="auto"/>
            </w:tcBorders>
          </w:tcPr>
          <w:p w:rsidR="00376768" w:rsidRDefault="00EC2B72">
            <w:pPr>
              <w:ind w:left="173"/>
              <w:rPr>
                <w:rFonts w:ascii="Arial" w:hAnsi="Arial" w:cs="Arial"/>
                <w:sz w:val="18"/>
                <w:lang w:eastAsia="en-IN"/>
              </w:rPr>
            </w:pPr>
            <w:r>
              <w:rPr>
                <w:rFonts w:ascii="Arial" w:hAnsi="Arial" w:cs="Arial"/>
                <w:sz w:val="18"/>
                <w:lang w:eastAsia="en-IN"/>
              </w:rPr>
              <w:t>David J. Russo*</w:t>
            </w:r>
          </w:p>
        </w:tc>
        <w:tc>
          <w:tcPr>
            <w:tcW w:w="2302"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60%</w:t>
            </w:r>
          </w:p>
        </w:tc>
      </w:tr>
      <w:tr w:rsidR="00376768">
        <w:trPr>
          <w:jc w:val="center"/>
        </w:trPr>
        <w:tc>
          <w:tcPr>
            <w:tcW w:w="2698"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ind w:left="173"/>
              <w:rPr>
                <w:rFonts w:ascii="Arial" w:hAnsi="Arial" w:cs="Arial"/>
                <w:sz w:val="18"/>
                <w:lang w:eastAsia="en-IN"/>
              </w:rPr>
            </w:pPr>
            <w:r>
              <w:rPr>
                <w:rFonts w:ascii="Arial" w:hAnsi="Arial" w:cs="Arial"/>
                <w:sz w:val="18"/>
                <w:lang w:eastAsia="en-IN"/>
              </w:rPr>
              <w:t>Christopher T. Scanlon</w:t>
            </w:r>
          </w:p>
        </w:tc>
        <w:tc>
          <w:tcPr>
            <w:tcW w:w="2302"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35%</w:t>
            </w:r>
          </w:p>
        </w:tc>
      </w:tr>
      <w:tr w:rsidR="00376768">
        <w:trPr>
          <w:jc w:val="center"/>
        </w:trPr>
        <w:tc>
          <w:tcPr>
            <w:tcW w:w="2698" w:type="pct"/>
            <w:tcBorders>
              <w:top w:val="single" w:sz="4" w:space="0" w:color="auto"/>
              <w:left w:val="single" w:sz="4" w:space="0" w:color="auto"/>
              <w:bottom w:val="single" w:sz="4" w:space="0" w:color="auto"/>
              <w:right w:val="single" w:sz="4" w:space="0" w:color="auto"/>
            </w:tcBorders>
          </w:tcPr>
          <w:p w:rsidR="00376768" w:rsidRDefault="00EC2B72">
            <w:pPr>
              <w:ind w:left="173"/>
              <w:rPr>
                <w:rFonts w:ascii="Arial" w:hAnsi="Arial" w:cs="Arial"/>
                <w:sz w:val="18"/>
                <w:lang w:eastAsia="en-IN"/>
              </w:rPr>
            </w:pPr>
            <w:r>
              <w:rPr>
                <w:rFonts w:ascii="Arial" w:hAnsi="Arial" w:cs="Arial"/>
                <w:sz w:val="18"/>
                <w:lang w:eastAsia="en-IN"/>
              </w:rPr>
              <w:t xml:space="preserve">John F. </w:t>
            </w:r>
            <w:proofErr w:type="spellStart"/>
            <w:r>
              <w:rPr>
                <w:rFonts w:ascii="Arial" w:hAnsi="Arial" w:cs="Arial"/>
                <w:sz w:val="18"/>
                <w:lang w:eastAsia="en-IN"/>
              </w:rPr>
              <w:t>Kasel</w:t>
            </w:r>
            <w:proofErr w:type="spellEnd"/>
          </w:p>
        </w:tc>
        <w:tc>
          <w:tcPr>
            <w:tcW w:w="2302"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50%</w:t>
            </w:r>
          </w:p>
        </w:tc>
      </w:tr>
      <w:tr w:rsidR="00376768">
        <w:trPr>
          <w:jc w:val="center"/>
        </w:trPr>
        <w:tc>
          <w:tcPr>
            <w:tcW w:w="2698"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ind w:left="173"/>
              <w:rPr>
                <w:rFonts w:ascii="Arial" w:hAnsi="Arial" w:cs="Arial"/>
                <w:sz w:val="18"/>
                <w:lang w:eastAsia="en-IN"/>
              </w:rPr>
            </w:pPr>
            <w:r>
              <w:rPr>
                <w:rFonts w:ascii="Arial" w:hAnsi="Arial" w:cs="Arial"/>
                <w:sz w:val="18"/>
                <w:lang w:eastAsia="en-IN"/>
              </w:rPr>
              <w:t xml:space="preserve">Patrick J. </w:t>
            </w:r>
            <w:proofErr w:type="spellStart"/>
            <w:r>
              <w:rPr>
                <w:rFonts w:ascii="Arial" w:hAnsi="Arial" w:cs="Arial"/>
                <w:sz w:val="18"/>
                <w:lang w:eastAsia="en-IN"/>
              </w:rPr>
              <w:t>Guinee</w:t>
            </w:r>
            <w:proofErr w:type="spellEnd"/>
          </w:p>
        </w:tc>
        <w:tc>
          <w:tcPr>
            <w:tcW w:w="2302"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45%</w:t>
            </w:r>
          </w:p>
        </w:tc>
      </w:tr>
      <w:tr w:rsidR="00376768">
        <w:trPr>
          <w:jc w:val="center"/>
        </w:trPr>
        <w:tc>
          <w:tcPr>
            <w:tcW w:w="2698" w:type="pct"/>
            <w:tcBorders>
              <w:top w:val="single" w:sz="4" w:space="0" w:color="auto"/>
              <w:left w:val="single" w:sz="4" w:space="0" w:color="auto"/>
              <w:bottom w:val="single" w:sz="4" w:space="0" w:color="auto"/>
              <w:right w:val="single" w:sz="4" w:space="0" w:color="auto"/>
            </w:tcBorders>
          </w:tcPr>
          <w:p w:rsidR="00376768" w:rsidRDefault="00EC2B72">
            <w:pPr>
              <w:ind w:left="173"/>
              <w:rPr>
                <w:rFonts w:ascii="Arial" w:hAnsi="Arial" w:cs="Arial"/>
                <w:sz w:val="18"/>
                <w:lang w:eastAsia="en-IN"/>
              </w:rPr>
            </w:pPr>
            <w:r>
              <w:rPr>
                <w:rFonts w:ascii="Arial" w:hAnsi="Arial" w:cs="Arial"/>
                <w:sz w:val="18"/>
                <w:lang w:eastAsia="en-IN"/>
              </w:rPr>
              <w:t>Brian H. Kelly</w:t>
            </w:r>
          </w:p>
        </w:tc>
        <w:tc>
          <w:tcPr>
            <w:tcW w:w="2302"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40%</w:t>
            </w:r>
          </w:p>
        </w:tc>
      </w:tr>
    </w:tbl>
    <w:p w:rsidR="00376768" w:rsidRDefault="00376768">
      <w:pPr>
        <w:rPr>
          <w:rFonts w:ascii="Arial" w:hAnsi="Arial" w:cs="Arial"/>
        </w:rPr>
      </w:pPr>
    </w:p>
    <w:tbl>
      <w:tblPr>
        <w:tblW w:w="5100" w:type="pct"/>
        <w:tblLayout w:type="fixed"/>
        <w:tblCellMar>
          <w:left w:w="0" w:type="dxa"/>
          <w:right w:w="0" w:type="dxa"/>
        </w:tblCellMar>
        <w:tblLook w:val="0000" w:firstRow="0" w:lastRow="0" w:firstColumn="0" w:lastColumn="0" w:noHBand="0" w:noVBand="0"/>
      </w:tblPr>
      <w:tblGrid>
        <w:gridCol w:w="2203"/>
        <w:gridCol w:w="8813"/>
      </w:tblGrid>
      <w:tr w:rsidR="00376768">
        <w:tc>
          <w:tcPr>
            <w:tcW w:w="1000" w:type="pct"/>
            <w:tcBorders>
              <w:bottom w:val="single" w:sz="4" w:space="0" w:color="auto"/>
            </w:tcBorders>
          </w:tcPr>
          <w:p w:rsidR="00376768" w:rsidRDefault="00376768">
            <w:pPr>
              <w:rPr>
                <w:rFonts w:ascii="Arial" w:hAnsi="Arial" w:cs="Arial"/>
                <w:sz w:val="4"/>
              </w:rPr>
            </w:pPr>
          </w:p>
        </w:tc>
        <w:tc>
          <w:tcPr>
            <w:tcW w:w="4000" w:type="pct"/>
          </w:tcPr>
          <w:p w:rsidR="00376768" w:rsidRDefault="00376768">
            <w:pPr>
              <w:rPr>
                <w:rFonts w:ascii="Arial" w:hAnsi="Arial" w:cs="Arial"/>
                <w:sz w:val="4"/>
              </w:rPr>
            </w:pPr>
          </w:p>
        </w:tc>
      </w:tr>
    </w:tbl>
    <w:p w:rsidR="00376768" w:rsidRDefault="00EC2B72">
      <w:pPr>
        <w:spacing w:before="160"/>
        <w:rPr>
          <w:rFonts w:ascii="Arial" w:hAnsi="Arial" w:cs="Arial"/>
          <w:sz w:val="16"/>
        </w:rPr>
      </w:pPr>
      <w:r>
        <w:rPr>
          <w:rFonts w:ascii="Arial" w:hAnsi="Arial" w:cs="Arial"/>
          <w:sz w:val="16"/>
          <w:lang w:eastAsia="en-IN"/>
        </w:rPr>
        <w:t>*Mr. Russo forfeited his right to the 2017 Annual Plan bonus upon his termination of employment with the Company.</w:t>
      </w:r>
    </w:p>
    <w:p w:rsidR="00376768" w:rsidRDefault="00EC2B72">
      <w:pPr>
        <w:spacing w:before="160"/>
        <w:ind w:firstLine="360"/>
        <w:rPr>
          <w:rFonts w:ascii="Arial" w:hAnsi="Arial" w:cs="Arial"/>
          <w:lang w:eastAsia="en-IN"/>
        </w:rPr>
      </w:pPr>
      <w:r>
        <w:rPr>
          <w:rFonts w:ascii="Arial" w:hAnsi="Arial" w:cs="Arial"/>
          <w:lang w:eastAsia="en-IN"/>
        </w:rPr>
        <w:t>The table below illustrates the 2017 performance measures and weighting applicable to the 2017 Annual Plan, as assigned to each NEO:</w:t>
      </w:r>
    </w:p>
    <w:tbl>
      <w:tblPr>
        <w:tblW w:w="5000" w:type="pct"/>
        <w:tblLayout w:type="fixed"/>
        <w:tblCellMar>
          <w:left w:w="0" w:type="dxa"/>
          <w:right w:w="0" w:type="dxa"/>
        </w:tblCellMar>
        <w:tblLook w:val="0000" w:firstRow="0" w:lastRow="0" w:firstColumn="0" w:lastColumn="0" w:noHBand="0" w:noVBand="0"/>
      </w:tblPr>
      <w:tblGrid>
        <w:gridCol w:w="3209"/>
        <w:gridCol w:w="1033"/>
        <w:gridCol w:w="1032"/>
        <w:gridCol w:w="1032"/>
        <w:gridCol w:w="1413"/>
        <w:gridCol w:w="1032"/>
        <w:gridCol w:w="1032"/>
        <w:gridCol w:w="1017"/>
      </w:tblGrid>
      <w:tr w:rsidR="00376768">
        <w:tc>
          <w:tcPr>
            <w:tcW w:w="1485" w:type="pct"/>
            <w:tcBorders>
              <w:bottom w:val="single" w:sz="4" w:space="0" w:color="auto"/>
            </w:tcBorders>
          </w:tcPr>
          <w:p w:rsidR="00376768" w:rsidRDefault="00376768">
            <w:pPr>
              <w:ind w:left="173" w:hanging="173"/>
              <w:rPr>
                <w:rFonts w:ascii="Arial" w:hAnsi="Arial" w:cs="Arial"/>
                <w:sz w:val="18"/>
                <w:lang w:eastAsia="en-IN"/>
              </w:rPr>
            </w:pPr>
          </w:p>
        </w:tc>
        <w:tc>
          <w:tcPr>
            <w:tcW w:w="478" w:type="pct"/>
            <w:tcBorders>
              <w:bottom w:val="single" w:sz="4" w:space="0" w:color="auto"/>
            </w:tcBorders>
          </w:tcPr>
          <w:p w:rsidR="00376768" w:rsidRDefault="00376768">
            <w:pPr>
              <w:rPr>
                <w:rFonts w:ascii="Arial" w:hAnsi="Arial" w:cs="Arial"/>
                <w:sz w:val="18"/>
                <w:lang w:eastAsia="en-IN"/>
              </w:rPr>
            </w:pPr>
          </w:p>
        </w:tc>
        <w:tc>
          <w:tcPr>
            <w:tcW w:w="478" w:type="pct"/>
            <w:tcBorders>
              <w:bottom w:val="single" w:sz="4" w:space="0" w:color="auto"/>
            </w:tcBorders>
          </w:tcPr>
          <w:p w:rsidR="00376768" w:rsidRDefault="00376768">
            <w:pPr>
              <w:rPr>
                <w:rFonts w:ascii="Arial" w:hAnsi="Arial" w:cs="Arial"/>
                <w:sz w:val="18"/>
                <w:lang w:eastAsia="en-IN"/>
              </w:rPr>
            </w:pPr>
          </w:p>
        </w:tc>
        <w:tc>
          <w:tcPr>
            <w:tcW w:w="478" w:type="pct"/>
            <w:tcBorders>
              <w:bottom w:val="single" w:sz="4" w:space="0" w:color="auto"/>
            </w:tcBorders>
          </w:tcPr>
          <w:p w:rsidR="00376768" w:rsidRDefault="00376768">
            <w:pPr>
              <w:rPr>
                <w:rFonts w:ascii="Arial" w:hAnsi="Arial" w:cs="Arial"/>
                <w:sz w:val="18"/>
                <w:lang w:eastAsia="en-IN"/>
              </w:rPr>
            </w:pPr>
          </w:p>
        </w:tc>
        <w:tc>
          <w:tcPr>
            <w:tcW w:w="654" w:type="pct"/>
            <w:tcBorders>
              <w:bottom w:val="single" w:sz="4" w:space="0" w:color="auto"/>
            </w:tcBorders>
          </w:tcPr>
          <w:p w:rsidR="00376768" w:rsidRDefault="00376768">
            <w:pPr>
              <w:rPr>
                <w:rFonts w:ascii="Arial" w:hAnsi="Arial" w:cs="Arial"/>
                <w:sz w:val="18"/>
                <w:lang w:eastAsia="en-IN"/>
              </w:rPr>
            </w:pPr>
          </w:p>
        </w:tc>
        <w:tc>
          <w:tcPr>
            <w:tcW w:w="478" w:type="pct"/>
            <w:tcBorders>
              <w:bottom w:val="single" w:sz="4" w:space="0" w:color="auto"/>
            </w:tcBorders>
          </w:tcPr>
          <w:p w:rsidR="00376768" w:rsidRDefault="00376768">
            <w:pPr>
              <w:rPr>
                <w:rFonts w:ascii="Arial" w:hAnsi="Arial" w:cs="Arial"/>
                <w:sz w:val="18"/>
                <w:lang w:eastAsia="en-IN"/>
              </w:rPr>
            </w:pPr>
          </w:p>
        </w:tc>
        <w:tc>
          <w:tcPr>
            <w:tcW w:w="478" w:type="pct"/>
            <w:tcBorders>
              <w:bottom w:val="single" w:sz="4" w:space="0" w:color="auto"/>
            </w:tcBorders>
          </w:tcPr>
          <w:p w:rsidR="00376768" w:rsidRDefault="00376768">
            <w:pPr>
              <w:rPr>
                <w:rFonts w:ascii="Arial" w:hAnsi="Arial" w:cs="Arial"/>
                <w:sz w:val="18"/>
                <w:lang w:eastAsia="en-IN"/>
              </w:rPr>
            </w:pPr>
          </w:p>
        </w:tc>
        <w:tc>
          <w:tcPr>
            <w:tcW w:w="472" w:type="pct"/>
            <w:tcBorders>
              <w:bottom w:val="single" w:sz="4" w:space="0" w:color="auto"/>
            </w:tcBorders>
          </w:tcPr>
          <w:p w:rsidR="00376768" w:rsidRDefault="00376768">
            <w:pPr>
              <w:rPr>
                <w:rFonts w:ascii="Arial" w:hAnsi="Arial" w:cs="Arial"/>
                <w:sz w:val="18"/>
                <w:lang w:eastAsia="en-IN"/>
              </w:rPr>
            </w:pPr>
          </w:p>
        </w:tc>
      </w:tr>
      <w:tr w:rsidR="00376768">
        <w:tc>
          <w:tcPr>
            <w:tcW w:w="1485" w:type="pct"/>
            <w:tcBorders>
              <w:top w:val="single" w:sz="4" w:space="0" w:color="auto"/>
              <w:left w:val="single" w:sz="4" w:space="0" w:color="auto"/>
              <w:bottom w:val="single" w:sz="4" w:space="0" w:color="auto"/>
              <w:right w:val="single" w:sz="4" w:space="0" w:color="auto"/>
            </w:tcBorders>
            <w:shd w:val="clear" w:color="auto" w:fill="B5DBE7"/>
            <w:vAlign w:val="center"/>
          </w:tcPr>
          <w:p w:rsidR="00376768" w:rsidRDefault="00EC2B72">
            <w:pPr>
              <w:ind w:left="173" w:hanging="173"/>
              <w:jc w:val="center"/>
              <w:rPr>
                <w:rFonts w:ascii="Arial" w:hAnsi="Arial" w:cs="Arial"/>
                <w:sz w:val="18"/>
                <w:lang w:eastAsia="en-IN"/>
              </w:rPr>
            </w:pPr>
            <w:r>
              <w:rPr>
                <w:rFonts w:ascii="Arial" w:hAnsi="Arial" w:cs="Arial"/>
                <w:b/>
                <w:bCs/>
                <w:sz w:val="18"/>
                <w:lang w:eastAsia="en-IN"/>
              </w:rPr>
              <w:t>Performance Metric</w:t>
            </w:r>
          </w:p>
        </w:tc>
        <w:tc>
          <w:tcPr>
            <w:tcW w:w="478" w:type="pct"/>
            <w:tcBorders>
              <w:top w:val="single" w:sz="4" w:space="0" w:color="auto"/>
              <w:left w:val="single" w:sz="4" w:space="0" w:color="auto"/>
              <w:bottom w:val="single" w:sz="4" w:space="0" w:color="auto"/>
              <w:right w:val="single" w:sz="4" w:space="0" w:color="auto"/>
            </w:tcBorders>
            <w:shd w:val="clear" w:color="auto" w:fill="B5DBE7"/>
            <w:vAlign w:val="bottom"/>
          </w:tcPr>
          <w:p w:rsidR="00376768" w:rsidRDefault="00EC2B72">
            <w:pPr>
              <w:jc w:val="center"/>
              <w:rPr>
                <w:rFonts w:ascii="Arial" w:hAnsi="Arial" w:cs="Arial"/>
                <w:sz w:val="18"/>
                <w:lang w:eastAsia="en-IN"/>
              </w:rPr>
            </w:pPr>
            <w:r>
              <w:rPr>
                <w:rFonts w:ascii="Arial" w:hAnsi="Arial" w:cs="Arial"/>
                <w:b/>
                <w:bCs/>
                <w:sz w:val="18"/>
                <w:lang w:eastAsia="en-IN"/>
              </w:rPr>
              <w:t>Robert P.</w:t>
            </w:r>
            <w:r>
              <w:rPr>
                <w:rFonts w:ascii="Arial" w:hAnsi="Arial" w:cs="Arial"/>
                <w:b/>
                <w:bCs/>
                <w:sz w:val="18"/>
                <w:lang w:eastAsia="en-IN"/>
              </w:rPr>
              <w:br/>
              <w:t xml:space="preserve"> Bauer</w:t>
            </w:r>
          </w:p>
        </w:tc>
        <w:tc>
          <w:tcPr>
            <w:tcW w:w="478" w:type="pct"/>
            <w:tcBorders>
              <w:top w:val="single" w:sz="4" w:space="0" w:color="auto"/>
              <w:left w:val="single" w:sz="4" w:space="0" w:color="auto"/>
              <w:bottom w:val="single" w:sz="4" w:space="0" w:color="auto"/>
              <w:right w:val="single" w:sz="4" w:space="0" w:color="auto"/>
            </w:tcBorders>
            <w:shd w:val="clear" w:color="auto" w:fill="B5DBE7"/>
            <w:vAlign w:val="bottom"/>
          </w:tcPr>
          <w:p w:rsidR="00376768" w:rsidRDefault="00EC2B72">
            <w:pPr>
              <w:jc w:val="center"/>
              <w:rPr>
                <w:rFonts w:ascii="Arial" w:hAnsi="Arial" w:cs="Arial"/>
                <w:sz w:val="18"/>
                <w:lang w:eastAsia="en-IN"/>
              </w:rPr>
            </w:pPr>
            <w:r>
              <w:rPr>
                <w:rFonts w:ascii="Arial" w:hAnsi="Arial" w:cs="Arial"/>
                <w:b/>
                <w:bCs/>
                <w:sz w:val="18"/>
                <w:lang w:eastAsia="en-IN"/>
              </w:rPr>
              <w:t xml:space="preserve">James P. </w:t>
            </w:r>
            <w:r>
              <w:rPr>
                <w:rFonts w:ascii="Arial" w:hAnsi="Arial" w:cs="Arial"/>
                <w:b/>
                <w:bCs/>
                <w:sz w:val="18"/>
                <w:lang w:eastAsia="en-IN"/>
              </w:rPr>
              <w:br/>
              <w:t>Maloney</w:t>
            </w:r>
          </w:p>
        </w:tc>
        <w:tc>
          <w:tcPr>
            <w:tcW w:w="478" w:type="pct"/>
            <w:tcBorders>
              <w:top w:val="single" w:sz="4" w:space="0" w:color="auto"/>
              <w:left w:val="single" w:sz="4" w:space="0" w:color="auto"/>
              <w:bottom w:val="single" w:sz="4" w:space="0" w:color="auto"/>
              <w:right w:val="single" w:sz="4" w:space="0" w:color="auto"/>
            </w:tcBorders>
            <w:shd w:val="clear" w:color="auto" w:fill="B5DBE7"/>
            <w:vAlign w:val="bottom"/>
          </w:tcPr>
          <w:p w:rsidR="00376768" w:rsidRDefault="00EC2B72">
            <w:pPr>
              <w:jc w:val="center"/>
              <w:rPr>
                <w:rFonts w:ascii="Arial" w:hAnsi="Arial" w:cs="Arial"/>
                <w:sz w:val="18"/>
                <w:lang w:eastAsia="en-IN"/>
              </w:rPr>
            </w:pPr>
            <w:r>
              <w:rPr>
                <w:rFonts w:ascii="Arial" w:hAnsi="Arial" w:cs="Arial"/>
                <w:b/>
                <w:bCs/>
                <w:sz w:val="18"/>
                <w:lang w:eastAsia="en-IN"/>
              </w:rPr>
              <w:t xml:space="preserve">David J. </w:t>
            </w:r>
            <w:r>
              <w:rPr>
                <w:rFonts w:ascii="Arial" w:hAnsi="Arial" w:cs="Arial"/>
                <w:b/>
                <w:bCs/>
                <w:sz w:val="18"/>
                <w:lang w:eastAsia="en-IN"/>
              </w:rPr>
              <w:br/>
              <w:t>Russo</w:t>
            </w:r>
          </w:p>
        </w:tc>
        <w:tc>
          <w:tcPr>
            <w:tcW w:w="654" w:type="pct"/>
            <w:tcBorders>
              <w:top w:val="single" w:sz="4" w:space="0" w:color="auto"/>
              <w:left w:val="single" w:sz="4" w:space="0" w:color="auto"/>
              <w:bottom w:val="single" w:sz="4" w:space="0" w:color="auto"/>
              <w:right w:val="single" w:sz="4" w:space="0" w:color="auto"/>
            </w:tcBorders>
            <w:shd w:val="clear" w:color="auto" w:fill="B5DBE7"/>
            <w:vAlign w:val="bottom"/>
          </w:tcPr>
          <w:p w:rsidR="00376768" w:rsidRDefault="00EC2B72">
            <w:pPr>
              <w:jc w:val="center"/>
              <w:rPr>
                <w:rFonts w:ascii="Arial" w:hAnsi="Arial" w:cs="Arial"/>
                <w:sz w:val="18"/>
                <w:lang w:eastAsia="en-IN"/>
              </w:rPr>
            </w:pPr>
            <w:r>
              <w:rPr>
                <w:rFonts w:ascii="Arial" w:hAnsi="Arial" w:cs="Arial"/>
                <w:b/>
                <w:bCs/>
                <w:sz w:val="18"/>
                <w:lang w:eastAsia="en-IN"/>
              </w:rPr>
              <w:t xml:space="preserve">Christopher T. </w:t>
            </w:r>
            <w:r>
              <w:rPr>
                <w:rFonts w:ascii="Arial" w:hAnsi="Arial" w:cs="Arial"/>
                <w:b/>
                <w:bCs/>
                <w:sz w:val="18"/>
                <w:lang w:eastAsia="en-IN"/>
              </w:rPr>
              <w:br/>
              <w:t>Scanlon</w:t>
            </w:r>
          </w:p>
        </w:tc>
        <w:tc>
          <w:tcPr>
            <w:tcW w:w="478" w:type="pct"/>
            <w:tcBorders>
              <w:top w:val="single" w:sz="4" w:space="0" w:color="auto"/>
              <w:left w:val="single" w:sz="4" w:space="0" w:color="auto"/>
              <w:bottom w:val="single" w:sz="4" w:space="0" w:color="auto"/>
              <w:right w:val="single" w:sz="4" w:space="0" w:color="auto"/>
            </w:tcBorders>
            <w:shd w:val="clear" w:color="auto" w:fill="B5DBE7"/>
            <w:vAlign w:val="bottom"/>
          </w:tcPr>
          <w:p w:rsidR="00376768" w:rsidRDefault="00EC2B72">
            <w:pPr>
              <w:jc w:val="center"/>
              <w:rPr>
                <w:rFonts w:ascii="Arial" w:hAnsi="Arial" w:cs="Arial"/>
                <w:sz w:val="18"/>
                <w:lang w:eastAsia="en-IN"/>
              </w:rPr>
            </w:pPr>
            <w:r>
              <w:rPr>
                <w:rFonts w:ascii="Arial" w:hAnsi="Arial" w:cs="Arial"/>
                <w:b/>
                <w:bCs/>
                <w:sz w:val="18"/>
                <w:lang w:eastAsia="en-IN"/>
              </w:rPr>
              <w:t xml:space="preserve">John F. </w:t>
            </w:r>
            <w:r>
              <w:rPr>
                <w:rFonts w:ascii="Arial" w:hAnsi="Arial" w:cs="Arial"/>
                <w:b/>
                <w:bCs/>
                <w:sz w:val="18"/>
                <w:lang w:eastAsia="en-IN"/>
              </w:rPr>
              <w:br/>
            </w:r>
            <w:proofErr w:type="spellStart"/>
            <w:r>
              <w:rPr>
                <w:rFonts w:ascii="Arial" w:hAnsi="Arial" w:cs="Arial"/>
                <w:b/>
                <w:bCs/>
                <w:sz w:val="18"/>
                <w:lang w:eastAsia="en-IN"/>
              </w:rPr>
              <w:t>Kasel</w:t>
            </w:r>
            <w:proofErr w:type="spellEnd"/>
          </w:p>
        </w:tc>
        <w:tc>
          <w:tcPr>
            <w:tcW w:w="478" w:type="pct"/>
            <w:tcBorders>
              <w:top w:val="single" w:sz="4" w:space="0" w:color="auto"/>
              <w:left w:val="single" w:sz="4" w:space="0" w:color="auto"/>
              <w:bottom w:val="single" w:sz="4" w:space="0" w:color="auto"/>
              <w:right w:val="single" w:sz="4" w:space="0" w:color="auto"/>
            </w:tcBorders>
            <w:shd w:val="clear" w:color="auto" w:fill="B5DBE7"/>
            <w:vAlign w:val="bottom"/>
          </w:tcPr>
          <w:p w:rsidR="00376768" w:rsidRDefault="00EC2B72">
            <w:pPr>
              <w:jc w:val="center"/>
              <w:rPr>
                <w:rFonts w:ascii="Arial" w:hAnsi="Arial" w:cs="Arial"/>
                <w:sz w:val="18"/>
                <w:lang w:eastAsia="en-IN"/>
              </w:rPr>
            </w:pPr>
            <w:r>
              <w:rPr>
                <w:rFonts w:ascii="Arial" w:hAnsi="Arial" w:cs="Arial"/>
                <w:b/>
                <w:bCs/>
                <w:sz w:val="18"/>
                <w:lang w:eastAsia="en-IN"/>
              </w:rPr>
              <w:t xml:space="preserve">Patrick J. </w:t>
            </w:r>
            <w:r>
              <w:rPr>
                <w:rFonts w:ascii="Arial" w:hAnsi="Arial" w:cs="Arial"/>
                <w:b/>
                <w:bCs/>
                <w:sz w:val="18"/>
                <w:lang w:eastAsia="en-IN"/>
              </w:rPr>
              <w:br/>
            </w:r>
            <w:proofErr w:type="spellStart"/>
            <w:r>
              <w:rPr>
                <w:rFonts w:ascii="Arial" w:hAnsi="Arial" w:cs="Arial"/>
                <w:b/>
                <w:bCs/>
                <w:sz w:val="18"/>
                <w:lang w:eastAsia="en-IN"/>
              </w:rPr>
              <w:t>Guinee</w:t>
            </w:r>
            <w:proofErr w:type="spellEnd"/>
          </w:p>
        </w:tc>
        <w:tc>
          <w:tcPr>
            <w:tcW w:w="472" w:type="pct"/>
            <w:tcBorders>
              <w:top w:val="single" w:sz="4" w:space="0" w:color="auto"/>
              <w:left w:val="single" w:sz="4" w:space="0" w:color="auto"/>
              <w:bottom w:val="single" w:sz="4" w:space="0" w:color="auto"/>
              <w:right w:val="single" w:sz="4" w:space="0" w:color="auto"/>
            </w:tcBorders>
            <w:shd w:val="clear" w:color="auto" w:fill="B5DBE7"/>
            <w:vAlign w:val="bottom"/>
          </w:tcPr>
          <w:p w:rsidR="00376768" w:rsidRDefault="00EC2B72">
            <w:pPr>
              <w:jc w:val="center"/>
              <w:rPr>
                <w:rFonts w:ascii="Arial" w:hAnsi="Arial" w:cs="Arial"/>
                <w:sz w:val="18"/>
                <w:lang w:eastAsia="en-IN"/>
              </w:rPr>
            </w:pPr>
            <w:r>
              <w:rPr>
                <w:rFonts w:ascii="Arial" w:hAnsi="Arial" w:cs="Arial"/>
                <w:b/>
                <w:bCs/>
                <w:sz w:val="18"/>
                <w:lang w:eastAsia="en-IN"/>
              </w:rPr>
              <w:t xml:space="preserve">Brian H. </w:t>
            </w:r>
            <w:r>
              <w:rPr>
                <w:rFonts w:ascii="Arial" w:hAnsi="Arial" w:cs="Arial"/>
                <w:b/>
                <w:bCs/>
                <w:sz w:val="18"/>
                <w:lang w:eastAsia="en-IN"/>
              </w:rPr>
              <w:br/>
              <w:t>Kelly</w:t>
            </w:r>
          </w:p>
        </w:tc>
      </w:tr>
      <w:tr w:rsidR="00376768">
        <w:tc>
          <w:tcPr>
            <w:tcW w:w="1485" w:type="pct"/>
            <w:tcBorders>
              <w:top w:val="single" w:sz="4" w:space="0" w:color="auto"/>
              <w:left w:val="single" w:sz="4" w:space="0" w:color="auto"/>
              <w:bottom w:val="single" w:sz="4" w:space="0" w:color="auto"/>
              <w:right w:val="single" w:sz="4" w:space="0" w:color="auto"/>
            </w:tcBorders>
          </w:tcPr>
          <w:p w:rsidR="00376768" w:rsidRDefault="00EC2B72">
            <w:pPr>
              <w:ind w:left="259" w:hanging="173"/>
              <w:rPr>
                <w:rFonts w:ascii="Arial" w:hAnsi="Arial" w:cs="Arial"/>
                <w:sz w:val="18"/>
                <w:lang w:eastAsia="en-IN"/>
              </w:rPr>
            </w:pPr>
            <w:r>
              <w:rPr>
                <w:rFonts w:ascii="Arial" w:hAnsi="Arial" w:cs="Arial"/>
                <w:sz w:val="18"/>
                <w:lang w:eastAsia="en-IN"/>
              </w:rPr>
              <w:t>Corporate ROIC</w:t>
            </w:r>
          </w:p>
        </w:tc>
        <w:tc>
          <w:tcPr>
            <w:tcW w:w="478" w:type="pct"/>
            <w:tcBorders>
              <w:top w:val="single" w:sz="4" w:space="0" w:color="auto"/>
              <w:left w:val="single" w:sz="4" w:space="0" w:color="auto"/>
              <w:bottom w:val="single" w:sz="4" w:space="0" w:color="auto"/>
              <w:right w:val="single" w:sz="4" w:space="0" w:color="auto"/>
            </w:tcBorders>
            <w:vAlign w:val="center"/>
          </w:tcPr>
          <w:p w:rsidR="00376768" w:rsidRDefault="00EC2B72">
            <w:pPr>
              <w:jc w:val="center"/>
              <w:rPr>
                <w:rFonts w:ascii="Arial" w:hAnsi="Arial" w:cs="Arial"/>
                <w:sz w:val="18"/>
                <w:lang w:eastAsia="en-IN"/>
              </w:rPr>
            </w:pPr>
            <w:r>
              <w:rPr>
                <w:rFonts w:ascii="Arial" w:hAnsi="Arial" w:cs="Arial"/>
                <w:sz w:val="18"/>
                <w:lang w:eastAsia="en-IN"/>
              </w:rPr>
              <w:t>15%</w:t>
            </w:r>
          </w:p>
        </w:tc>
        <w:tc>
          <w:tcPr>
            <w:tcW w:w="478" w:type="pct"/>
            <w:tcBorders>
              <w:top w:val="single" w:sz="4" w:space="0" w:color="auto"/>
              <w:left w:val="single" w:sz="4" w:space="0" w:color="auto"/>
              <w:bottom w:val="single" w:sz="4" w:space="0" w:color="auto"/>
              <w:right w:val="single" w:sz="4" w:space="0" w:color="auto"/>
            </w:tcBorders>
            <w:vAlign w:val="center"/>
          </w:tcPr>
          <w:p w:rsidR="00376768" w:rsidRDefault="00EC2B72">
            <w:pPr>
              <w:jc w:val="center"/>
              <w:rPr>
                <w:rFonts w:ascii="Arial" w:hAnsi="Arial" w:cs="Arial"/>
                <w:sz w:val="18"/>
                <w:lang w:eastAsia="en-IN"/>
              </w:rPr>
            </w:pPr>
            <w:r>
              <w:rPr>
                <w:rFonts w:ascii="Arial" w:hAnsi="Arial" w:cs="Arial"/>
                <w:sz w:val="18"/>
                <w:lang w:eastAsia="en-IN"/>
              </w:rPr>
              <w:t>15%</w:t>
            </w:r>
          </w:p>
        </w:tc>
        <w:tc>
          <w:tcPr>
            <w:tcW w:w="478" w:type="pct"/>
            <w:tcBorders>
              <w:top w:val="single" w:sz="4" w:space="0" w:color="auto"/>
              <w:left w:val="single" w:sz="4" w:space="0" w:color="auto"/>
              <w:bottom w:val="single" w:sz="4" w:space="0" w:color="auto"/>
              <w:right w:val="single" w:sz="4" w:space="0" w:color="auto"/>
            </w:tcBorders>
            <w:vAlign w:val="center"/>
          </w:tcPr>
          <w:p w:rsidR="00376768" w:rsidRDefault="00EC2B72">
            <w:pPr>
              <w:jc w:val="center"/>
              <w:rPr>
                <w:rFonts w:ascii="Arial" w:hAnsi="Arial" w:cs="Arial"/>
                <w:sz w:val="18"/>
                <w:lang w:eastAsia="en-IN"/>
              </w:rPr>
            </w:pPr>
            <w:r>
              <w:rPr>
                <w:rFonts w:ascii="Arial" w:hAnsi="Arial" w:cs="Arial"/>
                <w:sz w:val="18"/>
                <w:lang w:eastAsia="en-IN"/>
              </w:rPr>
              <w:t>15%</w:t>
            </w:r>
          </w:p>
        </w:tc>
        <w:tc>
          <w:tcPr>
            <w:tcW w:w="654" w:type="pct"/>
            <w:tcBorders>
              <w:top w:val="single" w:sz="4" w:space="0" w:color="auto"/>
              <w:left w:val="single" w:sz="4" w:space="0" w:color="auto"/>
              <w:bottom w:val="single" w:sz="4" w:space="0" w:color="auto"/>
              <w:right w:val="single" w:sz="4" w:space="0" w:color="auto"/>
            </w:tcBorders>
            <w:vAlign w:val="center"/>
          </w:tcPr>
          <w:p w:rsidR="00376768" w:rsidRDefault="00EC2B72">
            <w:pPr>
              <w:jc w:val="center"/>
              <w:rPr>
                <w:rFonts w:ascii="Arial" w:hAnsi="Arial" w:cs="Arial"/>
                <w:sz w:val="18"/>
                <w:lang w:eastAsia="en-IN"/>
              </w:rPr>
            </w:pPr>
            <w:r>
              <w:rPr>
                <w:rFonts w:ascii="Arial" w:hAnsi="Arial" w:cs="Arial"/>
                <w:sz w:val="18"/>
                <w:lang w:eastAsia="en-IN"/>
              </w:rPr>
              <w:t>15%</w:t>
            </w:r>
          </w:p>
        </w:tc>
        <w:tc>
          <w:tcPr>
            <w:tcW w:w="478" w:type="pct"/>
            <w:tcBorders>
              <w:top w:val="single" w:sz="4" w:space="0" w:color="auto"/>
              <w:left w:val="single" w:sz="4" w:space="0" w:color="auto"/>
              <w:bottom w:val="single" w:sz="4" w:space="0" w:color="auto"/>
              <w:right w:val="single" w:sz="4" w:space="0" w:color="auto"/>
            </w:tcBorders>
            <w:vAlign w:val="center"/>
          </w:tcPr>
          <w:p w:rsidR="00376768" w:rsidRDefault="00EC2B72">
            <w:pPr>
              <w:jc w:val="center"/>
              <w:rPr>
                <w:rFonts w:ascii="Arial" w:hAnsi="Arial" w:cs="Arial"/>
                <w:sz w:val="18"/>
                <w:lang w:eastAsia="en-IN"/>
              </w:rPr>
            </w:pPr>
            <w:r>
              <w:rPr>
                <w:rFonts w:ascii="Arial" w:hAnsi="Arial" w:cs="Arial"/>
                <w:sz w:val="18"/>
                <w:lang w:eastAsia="en-IN"/>
              </w:rPr>
              <w:t>---</w:t>
            </w:r>
          </w:p>
        </w:tc>
        <w:tc>
          <w:tcPr>
            <w:tcW w:w="478" w:type="pct"/>
            <w:tcBorders>
              <w:top w:val="single" w:sz="4" w:space="0" w:color="auto"/>
              <w:left w:val="single" w:sz="4" w:space="0" w:color="auto"/>
              <w:bottom w:val="single" w:sz="4" w:space="0" w:color="auto"/>
              <w:right w:val="single" w:sz="4" w:space="0" w:color="auto"/>
            </w:tcBorders>
            <w:vAlign w:val="center"/>
          </w:tcPr>
          <w:p w:rsidR="00376768" w:rsidRDefault="00EC2B72">
            <w:pPr>
              <w:jc w:val="center"/>
              <w:rPr>
                <w:rFonts w:ascii="Arial" w:hAnsi="Arial" w:cs="Arial"/>
                <w:sz w:val="18"/>
                <w:lang w:eastAsia="en-IN"/>
              </w:rPr>
            </w:pPr>
            <w:r>
              <w:rPr>
                <w:rFonts w:ascii="Arial" w:hAnsi="Arial" w:cs="Arial"/>
                <w:sz w:val="18"/>
                <w:lang w:eastAsia="en-IN"/>
              </w:rPr>
              <w:t>15%</w:t>
            </w:r>
          </w:p>
        </w:tc>
        <w:tc>
          <w:tcPr>
            <w:tcW w:w="472" w:type="pct"/>
            <w:tcBorders>
              <w:top w:val="single" w:sz="4" w:space="0" w:color="auto"/>
              <w:left w:val="single" w:sz="4" w:space="0" w:color="auto"/>
              <w:bottom w:val="single" w:sz="4" w:space="0" w:color="auto"/>
              <w:right w:val="single" w:sz="4" w:space="0" w:color="auto"/>
            </w:tcBorders>
            <w:vAlign w:val="center"/>
          </w:tcPr>
          <w:p w:rsidR="00376768" w:rsidRDefault="00EC2B72">
            <w:pPr>
              <w:jc w:val="center"/>
              <w:rPr>
                <w:rFonts w:ascii="Arial" w:hAnsi="Arial" w:cs="Arial"/>
                <w:sz w:val="18"/>
                <w:lang w:eastAsia="en-IN"/>
              </w:rPr>
            </w:pPr>
            <w:r>
              <w:rPr>
                <w:rFonts w:ascii="Arial" w:hAnsi="Arial" w:cs="Arial"/>
                <w:sz w:val="18"/>
                <w:lang w:eastAsia="en-IN"/>
              </w:rPr>
              <w:t>15%</w:t>
            </w:r>
          </w:p>
        </w:tc>
      </w:tr>
      <w:tr w:rsidR="00376768">
        <w:tc>
          <w:tcPr>
            <w:tcW w:w="1485"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ind w:left="259" w:hanging="173"/>
              <w:rPr>
                <w:rFonts w:ascii="Arial" w:hAnsi="Arial" w:cs="Arial"/>
                <w:sz w:val="18"/>
                <w:lang w:eastAsia="en-IN"/>
              </w:rPr>
            </w:pPr>
            <w:r>
              <w:rPr>
                <w:rFonts w:ascii="Arial" w:hAnsi="Arial" w:cs="Arial"/>
                <w:sz w:val="18"/>
                <w:lang w:eastAsia="en-IN"/>
              </w:rPr>
              <w:t>Corporate Adjusted EBITDA</w:t>
            </w:r>
          </w:p>
        </w:tc>
        <w:tc>
          <w:tcPr>
            <w:tcW w:w="478" w:type="pct"/>
            <w:tcBorders>
              <w:top w:val="single" w:sz="4" w:space="0" w:color="auto"/>
              <w:left w:val="single" w:sz="4" w:space="0" w:color="auto"/>
              <w:bottom w:val="single" w:sz="4" w:space="0" w:color="auto"/>
              <w:right w:val="single" w:sz="4" w:space="0" w:color="auto"/>
            </w:tcBorders>
            <w:shd w:val="clear" w:color="auto" w:fill="DEEFF7"/>
            <w:vAlign w:val="center"/>
          </w:tcPr>
          <w:p w:rsidR="00376768" w:rsidRDefault="00EC2B72">
            <w:pPr>
              <w:jc w:val="center"/>
              <w:rPr>
                <w:rFonts w:ascii="Arial" w:hAnsi="Arial" w:cs="Arial"/>
                <w:sz w:val="18"/>
                <w:lang w:eastAsia="en-IN"/>
              </w:rPr>
            </w:pPr>
            <w:r>
              <w:rPr>
                <w:rFonts w:ascii="Arial" w:hAnsi="Arial" w:cs="Arial"/>
                <w:sz w:val="18"/>
                <w:lang w:eastAsia="en-IN"/>
              </w:rPr>
              <w:t>70%</w:t>
            </w:r>
          </w:p>
        </w:tc>
        <w:tc>
          <w:tcPr>
            <w:tcW w:w="478" w:type="pct"/>
            <w:tcBorders>
              <w:top w:val="single" w:sz="4" w:space="0" w:color="auto"/>
              <w:left w:val="single" w:sz="4" w:space="0" w:color="auto"/>
              <w:bottom w:val="single" w:sz="4" w:space="0" w:color="auto"/>
              <w:right w:val="single" w:sz="4" w:space="0" w:color="auto"/>
            </w:tcBorders>
            <w:shd w:val="clear" w:color="auto" w:fill="DEEFF7"/>
            <w:vAlign w:val="center"/>
          </w:tcPr>
          <w:p w:rsidR="00376768" w:rsidRDefault="00EC2B72">
            <w:pPr>
              <w:jc w:val="center"/>
              <w:rPr>
                <w:rFonts w:ascii="Arial" w:hAnsi="Arial" w:cs="Arial"/>
                <w:sz w:val="18"/>
                <w:lang w:eastAsia="en-IN"/>
              </w:rPr>
            </w:pPr>
            <w:r>
              <w:rPr>
                <w:rFonts w:ascii="Arial" w:hAnsi="Arial" w:cs="Arial"/>
                <w:sz w:val="18"/>
                <w:lang w:eastAsia="en-IN"/>
              </w:rPr>
              <w:t>70%</w:t>
            </w:r>
          </w:p>
        </w:tc>
        <w:tc>
          <w:tcPr>
            <w:tcW w:w="478" w:type="pct"/>
            <w:tcBorders>
              <w:top w:val="single" w:sz="4" w:space="0" w:color="auto"/>
              <w:left w:val="single" w:sz="4" w:space="0" w:color="auto"/>
              <w:bottom w:val="single" w:sz="4" w:space="0" w:color="auto"/>
              <w:right w:val="single" w:sz="4" w:space="0" w:color="auto"/>
            </w:tcBorders>
            <w:shd w:val="clear" w:color="auto" w:fill="DEEFF7"/>
            <w:vAlign w:val="center"/>
          </w:tcPr>
          <w:p w:rsidR="00376768" w:rsidRDefault="00EC2B72">
            <w:pPr>
              <w:jc w:val="center"/>
              <w:rPr>
                <w:rFonts w:ascii="Arial" w:hAnsi="Arial" w:cs="Arial"/>
                <w:sz w:val="18"/>
                <w:lang w:eastAsia="en-IN"/>
              </w:rPr>
            </w:pPr>
            <w:r>
              <w:rPr>
                <w:rFonts w:ascii="Arial" w:hAnsi="Arial" w:cs="Arial"/>
                <w:sz w:val="18"/>
                <w:lang w:eastAsia="en-IN"/>
              </w:rPr>
              <w:t>70%</w:t>
            </w:r>
          </w:p>
        </w:tc>
        <w:tc>
          <w:tcPr>
            <w:tcW w:w="654" w:type="pct"/>
            <w:tcBorders>
              <w:top w:val="single" w:sz="4" w:space="0" w:color="auto"/>
              <w:left w:val="single" w:sz="4" w:space="0" w:color="auto"/>
              <w:bottom w:val="single" w:sz="4" w:space="0" w:color="auto"/>
              <w:right w:val="single" w:sz="4" w:space="0" w:color="auto"/>
            </w:tcBorders>
            <w:shd w:val="clear" w:color="auto" w:fill="DEEFF7"/>
            <w:vAlign w:val="center"/>
          </w:tcPr>
          <w:p w:rsidR="00376768" w:rsidRDefault="00EC2B72">
            <w:pPr>
              <w:jc w:val="center"/>
              <w:rPr>
                <w:rFonts w:ascii="Arial" w:hAnsi="Arial" w:cs="Arial"/>
                <w:sz w:val="18"/>
                <w:lang w:eastAsia="en-IN"/>
              </w:rPr>
            </w:pPr>
            <w:r>
              <w:rPr>
                <w:rFonts w:ascii="Arial" w:hAnsi="Arial" w:cs="Arial"/>
                <w:sz w:val="18"/>
                <w:lang w:eastAsia="en-IN"/>
              </w:rPr>
              <w:t>70%</w:t>
            </w:r>
          </w:p>
        </w:tc>
        <w:tc>
          <w:tcPr>
            <w:tcW w:w="478" w:type="pct"/>
            <w:tcBorders>
              <w:top w:val="single" w:sz="4" w:space="0" w:color="auto"/>
              <w:left w:val="single" w:sz="4" w:space="0" w:color="auto"/>
              <w:bottom w:val="single" w:sz="4" w:space="0" w:color="auto"/>
              <w:right w:val="single" w:sz="4" w:space="0" w:color="auto"/>
            </w:tcBorders>
            <w:shd w:val="clear" w:color="auto" w:fill="DEEFF7"/>
            <w:vAlign w:val="center"/>
          </w:tcPr>
          <w:p w:rsidR="00376768" w:rsidRDefault="00EC2B72">
            <w:pPr>
              <w:jc w:val="center"/>
              <w:rPr>
                <w:rFonts w:ascii="Arial" w:hAnsi="Arial" w:cs="Arial"/>
                <w:sz w:val="18"/>
                <w:lang w:eastAsia="en-IN"/>
              </w:rPr>
            </w:pPr>
            <w:r>
              <w:rPr>
                <w:rFonts w:ascii="Arial" w:hAnsi="Arial" w:cs="Arial"/>
                <w:sz w:val="18"/>
                <w:lang w:eastAsia="en-IN"/>
              </w:rPr>
              <w:t>30%</w:t>
            </w:r>
          </w:p>
        </w:tc>
        <w:tc>
          <w:tcPr>
            <w:tcW w:w="478" w:type="pct"/>
            <w:tcBorders>
              <w:top w:val="single" w:sz="4" w:space="0" w:color="auto"/>
              <w:left w:val="single" w:sz="4" w:space="0" w:color="auto"/>
              <w:bottom w:val="single" w:sz="4" w:space="0" w:color="auto"/>
              <w:right w:val="single" w:sz="4" w:space="0" w:color="auto"/>
            </w:tcBorders>
            <w:shd w:val="clear" w:color="auto" w:fill="DEEFF7"/>
            <w:vAlign w:val="center"/>
          </w:tcPr>
          <w:p w:rsidR="00376768" w:rsidRDefault="00EC2B72">
            <w:pPr>
              <w:jc w:val="center"/>
              <w:rPr>
                <w:rFonts w:ascii="Arial" w:hAnsi="Arial" w:cs="Arial"/>
                <w:sz w:val="18"/>
                <w:lang w:eastAsia="en-IN"/>
              </w:rPr>
            </w:pPr>
            <w:r>
              <w:rPr>
                <w:rFonts w:ascii="Arial" w:hAnsi="Arial" w:cs="Arial"/>
                <w:sz w:val="18"/>
                <w:lang w:eastAsia="en-IN"/>
              </w:rPr>
              <w:t>70%</w:t>
            </w:r>
          </w:p>
        </w:tc>
        <w:tc>
          <w:tcPr>
            <w:tcW w:w="472" w:type="pct"/>
            <w:tcBorders>
              <w:top w:val="single" w:sz="4" w:space="0" w:color="auto"/>
              <w:left w:val="single" w:sz="4" w:space="0" w:color="auto"/>
              <w:bottom w:val="single" w:sz="4" w:space="0" w:color="auto"/>
              <w:right w:val="single" w:sz="4" w:space="0" w:color="auto"/>
            </w:tcBorders>
            <w:shd w:val="clear" w:color="auto" w:fill="DEEFF7"/>
            <w:vAlign w:val="center"/>
          </w:tcPr>
          <w:p w:rsidR="00376768" w:rsidRDefault="00EC2B72">
            <w:pPr>
              <w:jc w:val="center"/>
              <w:rPr>
                <w:rFonts w:ascii="Arial" w:hAnsi="Arial" w:cs="Arial"/>
                <w:sz w:val="18"/>
                <w:lang w:eastAsia="en-IN"/>
              </w:rPr>
            </w:pPr>
            <w:r>
              <w:rPr>
                <w:rFonts w:ascii="Arial" w:hAnsi="Arial" w:cs="Arial"/>
                <w:sz w:val="18"/>
                <w:lang w:eastAsia="en-IN"/>
              </w:rPr>
              <w:t>70%</w:t>
            </w:r>
          </w:p>
        </w:tc>
      </w:tr>
      <w:tr w:rsidR="00376768">
        <w:tc>
          <w:tcPr>
            <w:tcW w:w="1485" w:type="pct"/>
            <w:tcBorders>
              <w:top w:val="single" w:sz="4" w:space="0" w:color="auto"/>
              <w:left w:val="single" w:sz="4" w:space="0" w:color="auto"/>
              <w:bottom w:val="single" w:sz="4" w:space="0" w:color="auto"/>
              <w:right w:val="single" w:sz="4" w:space="0" w:color="auto"/>
            </w:tcBorders>
          </w:tcPr>
          <w:p w:rsidR="00376768" w:rsidRDefault="00EC2B72">
            <w:pPr>
              <w:ind w:left="259" w:hanging="173"/>
              <w:rPr>
                <w:rFonts w:ascii="Arial" w:hAnsi="Arial" w:cs="Arial"/>
                <w:sz w:val="18"/>
                <w:lang w:eastAsia="en-IN"/>
              </w:rPr>
            </w:pPr>
            <w:r>
              <w:rPr>
                <w:rFonts w:ascii="Arial" w:hAnsi="Arial" w:cs="Arial"/>
                <w:sz w:val="18"/>
                <w:lang w:eastAsia="en-IN"/>
              </w:rPr>
              <w:t>Operating Unit Adjusted EBITDA</w:t>
            </w:r>
          </w:p>
        </w:tc>
        <w:tc>
          <w:tcPr>
            <w:tcW w:w="478" w:type="pct"/>
            <w:tcBorders>
              <w:top w:val="single" w:sz="4" w:space="0" w:color="auto"/>
              <w:left w:val="single" w:sz="4" w:space="0" w:color="auto"/>
              <w:bottom w:val="single" w:sz="4" w:space="0" w:color="auto"/>
              <w:right w:val="single" w:sz="4" w:space="0" w:color="auto"/>
            </w:tcBorders>
            <w:vAlign w:val="center"/>
          </w:tcPr>
          <w:p w:rsidR="00376768" w:rsidRDefault="00EC2B72">
            <w:pPr>
              <w:jc w:val="center"/>
              <w:rPr>
                <w:rFonts w:ascii="Arial" w:hAnsi="Arial" w:cs="Arial"/>
                <w:sz w:val="18"/>
                <w:lang w:eastAsia="en-IN"/>
              </w:rPr>
            </w:pPr>
            <w:r>
              <w:rPr>
                <w:rFonts w:ascii="Arial" w:hAnsi="Arial" w:cs="Arial"/>
                <w:sz w:val="18"/>
                <w:lang w:eastAsia="en-IN"/>
              </w:rPr>
              <w:t>---</w:t>
            </w:r>
          </w:p>
        </w:tc>
        <w:tc>
          <w:tcPr>
            <w:tcW w:w="478" w:type="pct"/>
            <w:tcBorders>
              <w:top w:val="single" w:sz="4" w:space="0" w:color="auto"/>
              <w:left w:val="single" w:sz="4" w:space="0" w:color="auto"/>
              <w:bottom w:val="single" w:sz="4" w:space="0" w:color="auto"/>
              <w:right w:val="single" w:sz="4" w:space="0" w:color="auto"/>
            </w:tcBorders>
            <w:vAlign w:val="center"/>
          </w:tcPr>
          <w:p w:rsidR="00376768" w:rsidRDefault="00EC2B72">
            <w:pPr>
              <w:jc w:val="center"/>
              <w:rPr>
                <w:rFonts w:ascii="Arial" w:hAnsi="Arial" w:cs="Arial"/>
                <w:sz w:val="18"/>
                <w:lang w:eastAsia="en-IN"/>
              </w:rPr>
            </w:pPr>
            <w:r>
              <w:rPr>
                <w:rFonts w:ascii="Arial" w:hAnsi="Arial" w:cs="Arial"/>
                <w:sz w:val="18"/>
                <w:lang w:eastAsia="en-IN"/>
              </w:rPr>
              <w:t>---</w:t>
            </w:r>
          </w:p>
        </w:tc>
        <w:tc>
          <w:tcPr>
            <w:tcW w:w="478" w:type="pct"/>
            <w:tcBorders>
              <w:top w:val="single" w:sz="4" w:space="0" w:color="auto"/>
              <w:left w:val="single" w:sz="4" w:space="0" w:color="auto"/>
              <w:bottom w:val="single" w:sz="4" w:space="0" w:color="auto"/>
              <w:right w:val="single" w:sz="4" w:space="0" w:color="auto"/>
            </w:tcBorders>
            <w:vAlign w:val="center"/>
          </w:tcPr>
          <w:p w:rsidR="00376768" w:rsidRDefault="00EC2B72">
            <w:pPr>
              <w:jc w:val="center"/>
              <w:rPr>
                <w:rFonts w:ascii="Arial" w:hAnsi="Arial" w:cs="Arial"/>
                <w:sz w:val="18"/>
                <w:lang w:eastAsia="en-IN"/>
              </w:rPr>
            </w:pPr>
            <w:r>
              <w:rPr>
                <w:rFonts w:ascii="Arial" w:hAnsi="Arial" w:cs="Arial"/>
                <w:sz w:val="18"/>
                <w:lang w:eastAsia="en-IN"/>
              </w:rPr>
              <w:t>---</w:t>
            </w:r>
          </w:p>
        </w:tc>
        <w:tc>
          <w:tcPr>
            <w:tcW w:w="654" w:type="pct"/>
            <w:tcBorders>
              <w:top w:val="single" w:sz="4" w:space="0" w:color="auto"/>
              <w:left w:val="single" w:sz="4" w:space="0" w:color="auto"/>
              <w:bottom w:val="single" w:sz="4" w:space="0" w:color="auto"/>
              <w:right w:val="single" w:sz="4" w:space="0" w:color="auto"/>
            </w:tcBorders>
            <w:vAlign w:val="center"/>
          </w:tcPr>
          <w:p w:rsidR="00376768" w:rsidRDefault="00EC2B72">
            <w:pPr>
              <w:jc w:val="center"/>
              <w:rPr>
                <w:rFonts w:ascii="Arial" w:hAnsi="Arial" w:cs="Arial"/>
                <w:sz w:val="18"/>
                <w:lang w:eastAsia="en-IN"/>
              </w:rPr>
            </w:pPr>
            <w:r>
              <w:rPr>
                <w:rFonts w:ascii="Arial" w:hAnsi="Arial" w:cs="Arial"/>
                <w:sz w:val="18"/>
                <w:lang w:eastAsia="en-IN"/>
              </w:rPr>
              <w:t>---</w:t>
            </w:r>
          </w:p>
        </w:tc>
        <w:tc>
          <w:tcPr>
            <w:tcW w:w="478" w:type="pct"/>
            <w:tcBorders>
              <w:top w:val="single" w:sz="4" w:space="0" w:color="auto"/>
              <w:left w:val="single" w:sz="4" w:space="0" w:color="auto"/>
              <w:bottom w:val="single" w:sz="4" w:space="0" w:color="auto"/>
              <w:right w:val="single" w:sz="4" w:space="0" w:color="auto"/>
            </w:tcBorders>
            <w:vAlign w:val="center"/>
          </w:tcPr>
          <w:p w:rsidR="00376768" w:rsidRDefault="00EC2B72">
            <w:pPr>
              <w:jc w:val="center"/>
              <w:rPr>
                <w:rFonts w:ascii="Arial" w:hAnsi="Arial" w:cs="Arial"/>
                <w:sz w:val="18"/>
                <w:lang w:eastAsia="en-IN"/>
              </w:rPr>
            </w:pPr>
            <w:r>
              <w:rPr>
                <w:rFonts w:ascii="Arial" w:hAnsi="Arial" w:cs="Arial"/>
                <w:sz w:val="18"/>
                <w:lang w:eastAsia="en-IN"/>
              </w:rPr>
              <w:t>50%</w:t>
            </w:r>
          </w:p>
        </w:tc>
        <w:tc>
          <w:tcPr>
            <w:tcW w:w="478" w:type="pct"/>
            <w:tcBorders>
              <w:top w:val="single" w:sz="4" w:space="0" w:color="auto"/>
              <w:left w:val="single" w:sz="4" w:space="0" w:color="auto"/>
              <w:bottom w:val="single" w:sz="4" w:space="0" w:color="auto"/>
              <w:right w:val="single" w:sz="4" w:space="0" w:color="auto"/>
            </w:tcBorders>
            <w:vAlign w:val="center"/>
          </w:tcPr>
          <w:p w:rsidR="00376768" w:rsidRDefault="00EC2B72">
            <w:pPr>
              <w:jc w:val="center"/>
              <w:rPr>
                <w:rFonts w:ascii="Arial" w:hAnsi="Arial" w:cs="Arial"/>
                <w:sz w:val="18"/>
                <w:lang w:eastAsia="en-IN"/>
              </w:rPr>
            </w:pPr>
            <w:r>
              <w:rPr>
                <w:rFonts w:ascii="Arial" w:hAnsi="Arial" w:cs="Arial"/>
                <w:sz w:val="18"/>
                <w:lang w:eastAsia="en-IN"/>
              </w:rPr>
              <w:t>---</w:t>
            </w:r>
          </w:p>
        </w:tc>
        <w:tc>
          <w:tcPr>
            <w:tcW w:w="472" w:type="pct"/>
            <w:tcBorders>
              <w:top w:val="single" w:sz="4" w:space="0" w:color="auto"/>
              <w:left w:val="single" w:sz="4" w:space="0" w:color="auto"/>
              <w:bottom w:val="single" w:sz="4" w:space="0" w:color="auto"/>
              <w:right w:val="single" w:sz="4" w:space="0" w:color="auto"/>
            </w:tcBorders>
            <w:vAlign w:val="center"/>
          </w:tcPr>
          <w:p w:rsidR="00376768" w:rsidRDefault="00EC2B72">
            <w:pPr>
              <w:jc w:val="center"/>
              <w:rPr>
                <w:rFonts w:ascii="Arial" w:hAnsi="Arial" w:cs="Arial"/>
                <w:sz w:val="18"/>
                <w:lang w:eastAsia="en-IN"/>
              </w:rPr>
            </w:pPr>
            <w:r>
              <w:rPr>
                <w:rFonts w:ascii="Arial" w:hAnsi="Arial" w:cs="Arial"/>
                <w:sz w:val="18"/>
                <w:lang w:eastAsia="en-IN"/>
              </w:rPr>
              <w:t>---</w:t>
            </w:r>
          </w:p>
        </w:tc>
      </w:tr>
      <w:tr w:rsidR="00376768">
        <w:tc>
          <w:tcPr>
            <w:tcW w:w="1485"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ind w:left="259" w:hanging="173"/>
              <w:rPr>
                <w:rFonts w:ascii="Arial" w:hAnsi="Arial" w:cs="Arial"/>
                <w:sz w:val="18"/>
                <w:lang w:eastAsia="en-IN"/>
              </w:rPr>
            </w:pPr>
            <w:r>
              <w:rPr>
                <w:rFonts w:ascii="Arial" w:hAnsi="Arial" w:cs="Arial"/>
                <w:sz w:val="18"/>
                <w:lang w:eastAsia="en-IN"/>
              </w:rPr>
              <w:t>Corporate Working Capital as a Percentage of Sales</w:t>
            </w:r>
          </w:p>
        </w:tc>
        <w:tc>
          <w:tcPr>
            <w:tcW w:w="478" w:type="pct"/>
            <w:tcBorders>
              <w:top w:val="single" w:sz="4" w:space="0" w:color="auto"/>
              <w:left w:val="single" w:sz="4" w:space="0" w:color="auto"/>
              <w:bottom w:val="single" w:sz="4" w:space="0" w:color="auto"/>
              <w:right w:val="single" w:sz="4" w:space="0" w:color="auto"/>
            </w:tcBorders>
            <w:shd w:val="clear" w:color="auto" w:fill="DEEFF7"/>
            <w:vAlign w:val="center"/>
          </w:tcPr>
          <w:p w:rsidR="00376768" w:rsidRDefault="00EC2B72">
            <w:pPr>
              <w:jc w:val="center"/>
              <w:rPr>
                <w:rFonts w:ascii="Arial" w:hAnsi="Arial" w:cs="Arial"/>
                <w:sz w:val="18"/>
                <w:lang w:eastAsia="en-IN"/>
              </w:rPr>
            </w:pPr>
            <w:r>
              <w:rPr>
                <w:rFonts w:ascii="Arial" w:hAnsi="Arial" w:cs="Arial"/>
                <w:sz w:val="18"/>
                <w:lang w:eastAsia="en-IN"/>
              </w:rPr>
              <w:t>15%</w:t>
            </w:r>
          </w:p>
        </w:tc>
        <w:tc>
          <w:tcPr>
            <w:tcW w:w="478" w:type="pct"/>
            <w:tcBorders>
              <w:top w:val="single" w:sz="4" w:space="0" w:color="auto"/>
              <w:left w:val="single" w:sz="4" w:space="0" w:color="auto"/>
              <w:bottom w:val="single" w:sz="4" w:space="0" w:color="auto"/>
              <w:right w:val="single" w:sz="4" w:space="0" w:color="auto"/>
            </w:tcBorders>
            <w:shd w:val="clear" w:color="auto" w:fill="DEEFF7"/>
            <w:vAlign w:val="center"/>
          </w:tcPr>
          <w:p w:rsidR="00376768" w:rsidRDefault="00EC2B72">
            <w:pPr>
              <w:jc w:val="center"/>
              <w:rPr>
                <w:rFonts w:ascii="Arial" w:hAnsi="Arial" w:cs="Arial"/>
                <w:sz w:val="18"/>
                <w:lang w:eastAsia="en-IN"/>
              </w:rPr>
            </w:pPr>
            <w:r>
              <w:rPr>
                <w:rFonts w:ascii="Arial" w:hAnsi="Arial" w:cs="Arial"/>
                <w:sz w:val="18"/>
                <w:lang w:eastAsia="en-IN"/>
              </w:rPr>
              <w:t>15%</w:t>
            </w:r>
          </w:p>
        </w:tc>
        <w:tc>
          <w:tcPr>
            <w:tcW w:w="478" w:type="pct"/>
            <w:tcBorders>
              <w:top w:val="single" w:sz="4" w:space="0" w:color="auto"/>
              <w:left w:val="single" w:sz="4" w:space="0" w:color="auto"/>
              <w:bottom w:val="single" w:sz="4" w:space="0" w:color="auto"/>
              <w:right w:val="single" w:sz="4" w:space="0" w:color="auto"/>
            </w:tcBorders>
            <w:shd w:val="clear" w:color="auto" w:fill="DEEFF7"/>
            <w:vAlign w:val="center"/>
          </w:tcPr>
          <w:p w:rsidR="00376768" w:rsidRDefault="00EC2B72">
            <w:pPr>
              <w:jc w:val="center"/>
              <w:rPr>
                <w:rFonts w:ascii="Arial" w:hAnsi="Arial" w:cs="Arial"/>
                <w:sz w:val="18"/>
                <w:lang w:eastAsia="en-IN"/>
              </w:rPr>
            </w:pPr>
            <w:r>
              <w:rPr>
                <w:rFonts w:ascii="Arial" w:hAnsi="Arial" w:cs="Arial"/>
                <w:sz w:val="18"/>
                <w:lang w:eastAsia="en-IN"/>
              </w:rPr>
              <w:t>15%</w:t>
            </w:r>
          </w:p>
        </w:tc>
        <w:tc>
          <w:tcPr>
            <w:tcW w:w="654" w:type="pct"/>
            <w:tcBorders>
              <w:top w:val="single" w:sz="4" w:space="0" w:color="auto"/>
              <w:left w:val="single" w:sz="4" w:space="0" w:color="auto"/>
              <w:bottom w:val="single" w:sz="4" w:space="0" w:color="auto"/>
              <w:right w:val="single" w:sz="4" w:space="0" w:color="auto"/>
            </w:tcBorders>
            <w:shd w:val="clear" w:color="auto" w:fill="DEEFF7"/>
            <w:vAlign w:val="center"/>
          </w:tcPr>
          <w:p w:rsidR="00376768" w:rsidRDefault="00EC2B72">
            <w:pPr>
              <w:jc w:val="center"/>
              <w:rPr>
                <w:rFonts w:ascii="Arial" w:hAnsi="Arial" w:cs="Arial"/>
                <w:sz w:val="18"/>
                <w:lang w:eastAsia="en-IN"/>
              </w:rPr>
            </w:pPr>
            <w:r>
              <w:rPr>
                <w:rFonts w:ascii="Arial" w:hAnsi="Arial" w:cs="Arial"/>
                <w:sz w:val="18"/>
                <w:lang w:eastAsia="en-IN"/>
              </w:rPr>
              <w:t>15%</w:t>
            </w:r>
          </w:p>
        </w:tc>
        <w:tc>
          <w:tcPr>
            <w:tcW w:w="478" w:type="pct"/>
            <w:tcBorders>
              <w:top w:val="single" w:sz="4" w:space="0" w:color="auto"/>
              <w:left w:val="single" w:sz="4" w:space="0" w:color="auto"/>
              <w:bottom w:val="single" w:sz="4" w:space="0" w:color="auto"/>
              <w:right w:val="single" w:sz="4" w:space="0" w:color="auto"/>
            </w:tcBorders>
            <w:shd w:val="clear" w:color="auto" w:fill="DEEFF7"/>
            <w:vAlign w:val="center"/>
          </w:tcPr>
          <w:p w:rsidR="00376768" w:rsidRDefault="00EC2B72">
            <w:pPr>
              <w:jc w:val="center"/>
              <w:rPr>
                <w:rFonts w:ascii="Arial" w:hAnsi="Arial" w:cs="Arial"/>
                <w:sz w:val="18"/>
                <w:lang w:eastAsia="en-IN"/>
              </w:rPr>
            </w:pPr>
            <w:r>
              <w:rPr>
                <w:rFonts w:ascii="Arial" w:hAnsi="Arial" w:cs="Arial"/>
                <w:sz w:val="18"/>
                <w:lang w:eastAsia="en-IN"/>
              </w:rPr>
              <w:t>---</w:t>
            </w:r>
          </w:p>
        </w:tc>
        <w:tc>
          <w:tcPr>
            <w:tcW w:w="478" w:type="pct"/>
            <w:tcBorders>
              <w:top w:val="single" w:sz="4" w:space="0" w:color="auto"/>
              <w:left w:val="single" w:sz="4" w:space="0" w:color="auto"/>
              <w:bottom w:val="single" w:sz="4" w:space="0" w:color="auto"/>
              <w:right w:val="single" w:sz="4" w:space="0" w:color="auto"/>
            </w:tcBorders>
            <w:shd w:val="clear" w:color="auto" w:fill="DEEFF7"/>
            <w:vAlign w:val="center"/>
          </w:tcPr>
          <w:p w:rsidR="00376768" w:rsidRDefault="00EC2B72">
            <w:pPr>
              <w:jc w:val="center"/>
              <w:rPr>
                <w:rFonts w:ascii="Arial" w:hAnsi="Arial" w:cs="Arial"/>
                <w:sz w:val="18"/>
                <w:lang w:eastAsia="en-IN"/>
              </w:rPr>
            </w:pPr>
            <w:r>
              <w:rPr>
                <w:rFonts w:ascii="Arial" w:hAnsi="Arial" w:cs="Arial"/>
                <w:sz w:val="18"/>
                <w:lang w:eastAsia="en-IN"/>
              </w:rPr>
              <w:t>15%</w:t>
            </w:r>
          </w:p>
        </w:tc>
        <w:tc>
          <w:tcPr>
            <w:tcW w:w="472" w:type="pct"/>
            <w:tcBorders>
              <w:top w:val="single" w:sz="4" w:space="0" w:color="auto"/>
              <w:left w:val="single" w:sz="4" w:space="0" w:color="auto"/>
              <w:bottom w:val="single" w:sz="4" w:space="0" w:color="auto"/>
              <w:right w:val="single" w:sz="4" w:space="0" w:color="auto"/>
            </w:tcBorders>
            <w:shd w:val="clear" w:color="auto" w:fill="DEEFF7"/>
            <w:vAlign w:val="center"/>
          </w:tcPr>
          <w:p w:rsidR="00376768" w:rsidRDefault="00EC2B72">
            <w:pPr>
              <w:jc w:val="center"/>
              <w:rPr>
                <w:rFonts w:ascii="Arial" w:hAnsi="Arial" w:cs="Arial"/>
                <w:sz w:val="18"/>
                <w:lang w:eastAsia="en-IN"/>
              </w:rPr>
            </w:pPr>
            <w:r>
              <w:rPr>
                <w:rFonts w:ascii="Arial" w:hAnsi="Arial" w:cs="Arial"/>
                <w:sz w:val="18"/>
                <w:lang w:eastAsia="en-IN"/>
              </w:rPr>
              <w:t>15%</w:t>
            </w:r>
          </w:p>
        </w:tc>
      </w:tr>
      <w:tr w:rsidR="00376768">
        <w:tc>
          <w:tcPr>
            <w:tcW w:w="1485" w:type="pct"/>
            <w:tcBorders>
              <w:top w:val="single" w:sz="4" w:space="0" w:color="auto"/>
              <w:left w:val="single" w:sz="4" w:space="0" w:color="auto"/>
              <w:bottom w:val="single" w:sz="4" w:space="0" w:color="auto"/>
              <w:right w:val="single" w:sz="4" w:space="0" w:color="auto"/>
            </w:tcBorders>
          </w:tcPr>
          <w:p w:rsidR="00376768" w:rsidRDefault="00EC2B72">
            <w:pPr>
              <w:ind w:left="259" w:hanging="173"/>
              <w:rPr>
                <w:rFonts w:ascii="Arial" w:hAnsi="Arial" w:cs="Arial"/>
                <w:sz w:val="18"/>
                <w:lang w:eastAsia="en-IN"/>
              </w:rPr>
            </w:pPr>
            <w:r>
              <w:rPr>
                <w:rFonts w:ascii="Arial" w:hAnsi="Arial" w:cs="Arial"/>
                <w:sz w:val="18"/>
                <w:lang w:eastAsia="en-IN"/>
              </w:rPr>
              <w:t>Operating Unit Working Capital as a Percentage of Sales</w:t>
            </w:r>
          </w:p>
        </w:tc>
        <w:tc>
          <w:tcPr>
            <w:tcW w:w="478" w:type="pct"/>
            <w:tcBorders>
              <w:top w:val="single" w:sz="4" w:space="0" w:color="auto"/>
              <w:left w:val="single" w:sz="4" w:space="0" w:color="auto"/>
              <w:bottom w:val="single" w:sz="4" w:space="0" w:color="auto"/>
              <w:right w:val="single" w:sz="4" w:space="0" w:color="auto"/>
            </w:tcBorders>
            <w:vAlign w:val="center"/>
          </w:tcPr>
          <w:p w:rsidR="00376768" w:rsidRDefault="00EC2B72">
            <w:pPr>
              <w:jc w:val="center"/>
              <w:rPr>
                <w:rFonts w:ascii="Arial" w:hAnsi="Arial" w:cs="Arial"/>
                <w:sz w:val="18"/>
                <w:lang w:eastAsia="en-IN"/>
              </w:rPr>
            </w:pPr>
            <w:r>
              <w:rPr>
                <w:rFonts w:ascii="Arial" w:hAnsi="Arial" w:cs="Arial"/>
                <w:sz w:val="18"/>
                <w:lang w:eastAsia="en-IN"/>
              </w:rPr>
              <w:t>---</w:t>
            </w:r>
          </w:p>
        </w:tc>
        <w:tc>
          <w:tcPr>
            <w:tcW w:w="478" w:type="pct"/>
            <w:tcBorders>
              <w:top w:val="single" w:sz="4" w:space="0" w:color="auto"/>
              <w:left w:val="single" w:sz="4" w:space="0" w:color="auto"/>
              <w:bottom w:val="single" w:sz="4" w:space="0" w:color="auto"/>
              <w:right w:val="single" w:sz="4" w:space="0" w:color="auto"/>
            </w:tcBorders>
            <w:vAlign w:val="center"/>
          </w:tcPr>
          <w:p w:rsidR="00376768" w:rsidRDefault="00EC2B72">
            <w:pPr>
              <w:jc w:val="center"/>
              <w:rPr>
                <w:rFonts w:ascii="Arial" w:hAnsi="Arial" w:cs="Arial"/>
                <w:sz w:val="18"/>
                <w:lang w:eastAsia="en-IN"/>
              </w:rPr>
            </w:pPr>
            <w:r>
              <w:rPr>
                <w:rFonts w:ascii="Arial" w:hAnsi="Arial" w:cs="Arial"/>
                <w:sz w:val="18"/>
                <w:lang w:eastAsia="en-IN"/>
              </w:rPr>
              <w:t>---</w:t>
            </w:r>
          </w:p>
        </w:tc>
        <w:tc>
          <w:tcPr>
            <w:tcW w:w="478" w:type="pct"/>
            <w:tcBorders>
              <w:top w:val="single" w:sz="4" w:space="0" w:color="auto"/>
              <w:left w:val="single" w:sz="4" w:space="0" w:color="auto"/>
              <w:bottom w:val="single" w:sz="4" w:space="0" w:color="auto"/>
              <w:right w:val="single" w:sz="4" w:space="0" w:color="auto"/>
            </w:tcBorders>
            <w:vAlign w:val="center"/>
          </w:tcPr>
          <w:p w:rsidR="00376768" w:rsidRDefault="00EC2B72">
            <w:pPr>
              <w:jc w:val="center"/>
              <w:rPr>
                <w:rFonts w:ascii="Arial" w:hAnsi="Arial" w:cs="Arial"/>
                <w:sz w:val="18"/>
                <w:lang w:eastAsia="en-IN"/>
              </w:rPr>
            </w:pPr>
            <w:r>
              <w:rPr>
                <w:rFonts w:ascii="Arial" w:hAnsi="Arial" w:cs="Arial"/>
                <w:sz w:val="18"/>
                <w:lang w:eastAsia="en-IN"/>
              </w:rPr>
              <w:t>---</w:t>
            </w:r>
          </w:p>
        </w:tc>
        <w:tc>
          <w:tcPr>
            <w:tcW w:w="654" w:type="pct"/>
            <w:tcBorders>
              <w:top w:val="single" w:sz="4" w:space="0" w:color="auto"/>
              <w:left w:val="single" w:sz="4" w:space="0" w:color="auto"/>
              <w:bottom w:val="single" w:sz="4" w:space="0" w:color="auto"/>
              <w:right w:val="single" w:sz="4" w:space="0" w:color="auto"/>
            </w:tcBorders>
            <w:vAlign w:val="center"/>
          </w:tcPr>
          <w:p w:rsidR="00376768" w:rsidRDefault="00EC2B72">
            <w:pPr>
              <w:jc w:val="center"/>
              <w:rPr>
                <w:rFonts w:ascii="Arial" w:hAnsi="Arial" w:cs="Arial"/>
                <w:sz w:val="18"/>
                <w:lang w:eastAsia="en-IN"/>
              </w:rPr>
            </w:pPr>
            <w:r>
              <w:rPr>
                <w:rFonts w:ascii="Arial" w:hAnsi="Arial" w:cs="Arial"/>
                <w:sz w:val="18"/>
                <w:lang w:eastAsia="en-IN"/>
              </w:rPr>
              <w:t>---</w:t>
            </w:r>
          </w:p>
        </w:tc>
        <w:tc>
          <w:tcPr>
            <w:tcW w:w="478" w:type="pct"/>
            <w:tcBorders>
              <w:top w:val="single" w:sz="4" w:space="0" w:color="auto"/>
              <w:left w:val="single" w:sz="4" w:space="0" w:color="auto"/>
              <w:bottom w:val="single" w:sz="4" w:space="0" w:color="auto"/>
              <w:right w:val="single" w:sz="4" w:space="0" w:color="auto"/>
            </w:tcBorders>
            <w:vAlign w:val="center"/>
          </w:tcPr>
          <w:p w:rsidR="00376768" w:rsidRDefault="00EC2B72">
            <w:pPr>
              <w:jc w:val="center"/>
              <w:rPr>
                <w:rFonts w:ascii="Arial" w:hAnsi="Arial" w:cs="Arial"/>
                <w:sz w:val="18"/>
                <w:lang w:eastAsia="en-IN"/>
              </w:rPr>
            </w:pPr>
            <w:r>
              <w:rPr>
                <w:rFonts w:ascii="Arial" w:hAnsi="Arial" w:cs="Arial"/>
                <w:sz w:val="18"/>
                <w:lang w:eastAsia="en-IN"/>
              </w:rPr>
              <w:t>20%</w:t>
            </w:r>
          </w:p>
        </w:tc>
        <w:tc>
          <w:tcPr>
            <w:tcW w:w="478" w:type="pct"/>
            <w:tcBorders>
              <w:top w:val="single" w:sz="4" w:space="0" w:color="auto"/>
              <w:left w:val="single" w:sz="4" w:space="0" w:color="auto"/>
              <w:bottom w:val="single" w:sz="4" w:space="0" w:color="auto"/>
              <w:right w:val="single" w:sz="4" w:space="0" w:color="auto"/>
            </w:tcBorders>
            <w:vAlign w:val="center"/>
          </w:tcPr>
          <w:p w:rsidR="00376768" w:rsidRDefault="00EC2B72">
            <w:pPr>
              <w:jc w:val="center"/>
              <w:rPr>
                <w:rFonts w:ascii="Arial" w:hAnsi="Arial" w:cs="Arial"/>
                <w:sz w:val="18"/>
                <w:lang w:eastAsia="en-IN"/>
              </w:rPr>
            </w:pPr>
            <w:r>
              <w:rPr>
                <w:rFonts w:ascii="Arial" w:hAnsi="Arial" w:cs="Arial"/>
                <w:sz w:val="18"/>
                <w:lang w:eastAsia="en-IN"/>
              </w:rPr>
              <w:t>---</w:t>
            </w:r>
          </w:p>
        </w:tc>
        <w:tc>
          <w:tcPr>
            <w:tcW w:w="472" w:type="pct"/>
            <w:tcBorders>
              <w:top w:val="single" w:sz="4" w:space="0" w:color="auto"/>
              <w:left w:val="single" w:sz="4" w:space="0" w:color="auto"/>
              <w:bottom w:val="single" w:sz="4" w:space="0" w:color="auto"/>
              <w:right w:val="single" w:sz="4" w:space="0" w:color="auto"/>
            </w:tcBorders>
            <w:vAlign w:val="center"/>
          </w:tcPr>
          <w:p w:rsidR="00376768" w:rsidRDefault="00EC2B72">
            <w:pPr>
              <w:jc w:val="center"/>
              <w:rPr>
                <w:rFonts w:ascii="Arial" w:hAnsi="Arial" w:cs="Arial"/>
                <w:sz w:val="18"/>
                <w:lang w:eastAsia="en-IN"/>
              </w:rPr>
            </w:pPr>
            <w:r>
              <w:rPr>
                <w:rFonts w:ascii="Arial" w:hAnsi="Arial" w:cs="Arial"/>
                <w:sz w:val="18"/>
                <w:lang w:eastAsia="en-IN"/>
              </w:rPr>
              <w:t>---</w:t>
            </w:r>
          </w:p>
        </w:tc>
      </w:tr>
    </w:tbl>
    <w:p w:rsidR="00376768" w:rsidRDefault="00EC2B72">
      <w:pPr>
        <w:spacing w:before="160"/>
        <w:ind w:firstLine="360"/>
        <w:jc w:val="both"/>
        <w:rPr>
          <w:rFonts w:ascii="Arial" w:hAnsi="Arial" w:cs="Arial"/>
        </w:rPr>
      </w:pPr>
      <w:r>
        <w:rPr>
          <w:rFonts w:ascii="Arial" w:hAnsi="Arial" w:cs="Arial"/>
          <w:lang w:eastAsia="en-IN"/>
        </w:rPr>
        <w:t xml:space="preserve">The 2017 Annual Plan provided for funding an incentive pool at 7% of EBITDA or $2.5 million. The actual individual payments to NEOs are calculated based on individual NEO target award opportunity multiplied by the actual level of attainment of each performance metric relative to performance goals established at the beginning of the performance period. Despite the Company’s strong 2017 performance, which exceeded both 2017 financial goals and 2016 actual financial results, the Compensation Committee chose to apply a 10% negative discretion factor to all NEOs with the exception of Mr. </w:t>
      </w:r>
      <w:proofErr w:type="spellStart"/>
      <w:r>
        <w:rPr>
          <w:rFonts w:ascii="Arial" w:hAnsi="Arial" w:cs="Arial"/>
          <w:lang w:eastAsia="en-IN"/>
        </w:rPr>
        <w:t>Kasel</w:t>
      </w:r>
      <w:proofErr w:type="spellEnd"/>
      <w:r>
        <w:rPr>
          <w:rFonts w:ascii="Arial" w:hAnsi="Arial" w:cs="Arial"/>
          <w:lang w:eastAsia="en-IN"/>
        </w:rPr>
        <w:t xml:space="preserve">. This action was taken because performance goals established for 2017, while set above 2016 actual financial results, </w:t>
      </w:r>
      <w:proofErr w:type="gramStart"/>
      <w:r>
        <w:rPr>
          <w:rFonts w:ascii="Arial" w:hAnsi="Arial" w:cs="Arial"/>
          <w:lang w:eastAsia="en-IN"/>
        </w:rPr>
        <w:t>were</w:t>
      </w:r>
      <w:proofErr w:type="gramEnd"/>
      <w:r>
        <w:rPr>
          <w:rFonts w:ascii="Arial" w:hAnsi="Arial" w:cs="Arial"/>
          <w:lang w:eastAsia="en-IN"/>
        </w:rPr>
        <w:t xml:space="preserve"> below the performance goals established for 2016 as a result of the challenging business </w:t>
      </w:r>
      <w:r>
        <w:rPr>
          <w:rFonts w:ascii="Arial" w:hAnsi="Arial" w:cs="Arial"/>
          <w:lang w:eastAsia="en-IN"/>
        </w:rPr>
        <w:lastRenderedPageBreak/>
        <w:t xml:space="preserve">environment in both the energy and rail segments of our business. Because of the strong performance of the businesses under Mr. </w:t>
      </w:r>
      <w:proofErr w:type="spellStart"/>
      <w:r>
        <w:rPr>
          <w:rFonts w:ascii="Arial" w:hAnsi="Arial" w:cs="Arial"/>
          <w:lang w:eastAsia="en-IN"/>
        </w:rPr>
        <w:t>Kasel’s</w:t>
      </w:r>
      <w:proofErr w:type="spellEnd"/>
      <w:r>
        <w:rPr>
          <w:rFonts w:ascii="Arial" w:hAnsi="Arial" w:cs="Arial"/>
          <w:lang w:eastAsia="en-IN"/>
        </w:rPr>
        <w:t xml:space="preserve"> management, the Committee did not apply negative discretion to his payout.</w:t>
      </w:r>
    </w:p>
    <w:p w:rsidR="00376768" w:rsidRDefault="00EC2B72">
      <w:pPr>
        <w:spacing w:before="160"/>
        <w:ind w:firstLine="360"/>
        <w:rPr>
          <w:rFonts w:ascii="Arial" w:hAnsi="Arial" w:cs="Arial"/>
        </w:rPr>
      </w:pPr>
      <w:r>
        <w:rPr>
          <w:rFonts w:ascii="Arial" w:hAnsi="Arial" w:cs="Arial"/>
          <w:lang w:eastAsia="en-IN"/>
        </w:rPr>
        <w:t>The 2017 performance goals and payout percentage for each metric are summarized below:</w:t>
      </w:r>
    </w:p>
    <w:p w:rsidR="00376768" w:rsidRDefault="00EC2B72">
      <w:pPr>
        <w:spacing w:before="160"/>
        <w:jc w:val="center"/>
        <w:rPr>
          <w:rFonts w:ascii="Arial" w:hAnsi="Arial" w:cs="Arial"/>
          <w:lang w:eastAsia="en-IN"/>
        </w:rPr>
      </w:pPr>
      <w:r>
        <w:rPr>
          <w:rFonts w:ascii="Arial" w:hAnsi="Arial" w:cs="Arial"/>
          <w:b/>
          <w:bCs/>
          <w:lang w:eastAsia="en-IN"/>
        </w:rPr>
        <w:t xml:space="preserve">Corporate ROIC Performance and Payout </w:t>
      </w:r>
      <w:proofErr w:type="gramStart"/>
      <w:r>
        <w:rPr>
          <w:rFonts w:ascii="Arial" w:hAnsi="Arial" w:cs="Arial"/>
          <w:b/>
          <w:bCs/>
          <w:lang w:eastAsia="en-IN"/>
        </w:rPr>
        <w:t>Ranges</w:t>
      </w:r>
      <w:proofErr w:type="gramEnd"/>
      <w:r>
        <w:rPr>
          <w:rFonts w:ascii="Arial" w:hAnsi="Arial" w:cs="Arial"/>
          <w:b/>
          <w:bCs/>
          <w:lang w:eastAsia="en-IN"/>
        </w:rPr>
        <w:br/>
      </w:r>
      <w:r>
        <w:rPr>
          <w:rFonts w:ascii="Arial" w:hAnsi="Arial" w:cs="Arial"/>
          <w:i/>
          <w:iCs/>
          <w:lang w:eastAsia="en-IN"/>
        </w:rPr>
        <w:t xml:space="preserve">(Messrs. Bauer, Maloney, Russo, Scanlon, </w:t>
      </w:r>
      <w:proofErr w:type="spellStart"/>
      <w:r>
        <w:rPr>
          <w:rFonts w:ascii="Arial" w:hAnsi="Arial" w:cs="Arial"/>
          <w:i/>
          <w:iCs/>
          <w:lang w:eastAsia="en-IN"/>
        </w:rPr>
        <w:t>Guinee</w:t>
      </w:r>
      <w:proofErr w:type="spellEnd"/>
      <w:r>
        <w:rPr>
          <w:rFonts w:ascii="Arial" w:hAnsi="Arial" w:cs="Arial"/>
          <w:i/>
          <w:iCs/>
          <w:lang w:eastAsia="en-IN"/>
        </w:rPr>
        <w:t>, and Kelly)</w:t>
      </w:r>
    </w:p>
    <w:tbl>
      <w:tblPr>
        <w:tblW w:w="2500" w:type="pct"/>
        <w:jc w:val="center"/>
        <w:tblLayout w:type="fixed"/>
        <w:tblCellMar>
          <w:left w:w="0" w:type="dxa"/>
          <w:right w:w="0" w:type="dxa"/>
        </w:tblCellMar>
        <w:tblLook w:val="0000" w:firstRow="0" w:lastRow="0" w:firstColumn="0" w:lastColumn="0" w:noHBand="0" w:noVBand="0"/>
      </w:tblPr>
      <w:tblGrid>
        <w:gridCol w:w="2508"/>
        <w:gridCol w:w="2892"/>
      </w:tblGrid>
      <w:tr w:rsidR="00376768">
        <w:trPr>
          <w:jc w:val="center"/>
        </w:trPr>
        <w:tc>
          <w:tcPr>
            <w:tcW w:w="2322" w:type="pct"/>
            <w:tcBorders>
              <w:bottom w:val="single" w:sz="4" w:space="0" w:color="auto"/>
            </w:tcBorders>
          </w:tcPr>
          <w:p w:rsidR="00376768" w:rsidRDefault="00376768">
            <w:pPr>
              <w:rPr>
                <w:rFonts w:ascii="Arial" w:hAnsi="Arial" w:cs="Arial"/>
                <w:sz w:val="18"/>
                <w:lang w:eastAsia="en-IN"/>
              </w:rPr>
            </w:pPr>
          </w:p>
        </w:tc>
        <w:tc>
          <w:tcPr>
            <w:tcW w:w="2678" w:type="pct"/>
            <w:tcBorders>
              <w:bottom w:val="single" w:sz="4" w:space="0" w:color="auto"/>
            </w:tcBorders>
          </w:tcPr>
          <w:p w:rsidR="00376768" w:rsidRDefault="00376768">
            <w:pPr>
              <w:rPr>
                <w:rFonts w:ascii="Arial" w:hAnsi="Arial" w:cs="Arial"/>
                <w:sz w:val="18"/>
                <w:lang w:eastAsia="en-IN"/>
              </w:rPr>
            </w:pPr>
          </w:p>
        </w:tc>
      </w:tr>
      <w:tr w:rsidR="00376768">
        <w:trPr>
          <w:jc w:val="center"/>
        </w:trPr>
        <w:tc>
          <w:tcPr>
            <w:tcW w:w="2322" w:type="pct"/>
            <w:tcBorders>
              <w:top w:val="single" w:sz="4" w:space="0" w:color="auto"/>
              <w:left w:val="single" w:sz="4" w:space="0" w:color="auto"/>
              <w:bottom w:val="single" w:sz="4" w:space="0" w:color="auto"/>
              <w:right w:val="single" w:sz="4" w:space="0" w:color="auto"/>
            </w:tcBorders>
            <w:shd w:val="clear" w:color="auto" w:fill="B5DBE7"/>
          </w:tcPr>
          <w:p w:rsidR="00376768" w:rsidRDefault="00EC2B72">
            <w:pPr>
              <w:jc w:val="center"/>
              <w:rPr>
                <w:rFonts w:ascii="Arial" w:hAnsi="Arial" w:cs="Arial"/>
                <w:sz w:val="18"/>
                <w:lang w:eastAsia="en-IN"/>
              </w:rPr>
            </w:pPr>
            <w:r>
              <w:rPr>
                <w:rFonts w:ascii="Arial" w:hAnsi="Arial" w:cs="Arial"/>
                <w:b/>
                <w:bCs/>
                <w:sz w:val="18"/>
                <w:lang w:eastAsia="en-IN"/>
              </w:rPr>
              <w:t>2017 ROIC</w:t>
            </w:r>
          </w:p>
        </w:tc>
        <w:tc>
          <w:tcPr>
            <w:tcW w:w="2678" w:type="pct"/>
            <w:tcBorders>
              <w:top w:val="single" w:sz="4" w:space="0" w:color="auto"/>
              <w:left w:val="single" w:sz="4" w:space="0" w:color="auto"/>
              <w:bottom w:val="single" w:sz="4" w:space="0" w:color="auto"/>
              <w:right w:val="single" w:sz="4" w:space="0" w:color="auto"/>
            </w:tcBorders>
            <w:shd w:val="clear" w:color="auto" w:fill="B5DBE7"/>
          </w:tcPr>
          <w:p w:rsidR="00376768" w:rsidRDefault="00EC2B72">
            <w:pPr>
              <w:jc w:val="center"/>
              <w:rPr>
                <w:rFonts w:ascii="Arial" w:hAnsi="Arial" w:cs="Arial"/>
                <w:sz w:val="18"/>
                <w:lang w:eastAsia="en-IN"/>
              </w:rPr>
            </w:pPr>
            <w:r>
              <w:rPr>
                <w:rFonts w:ascii="Arial" w:hAnsi="Arial" w:cs="Arial"/>
                <w:b/>
                <w:bCs/>
                <w:sz w:val="18"/>
                <w:lang w:eastAsia="en-IN"/>
              </w:rPr>
              <w:t>2017 Payout Range</w:t>
            </w:r>
          </w:p>
        </w:tc>
      </w:tr>
      <w:tr w:rsidR="00376768">
        <w:trPr>
          <w:jc w:val="center"/>
        </w:trPr>
        <w:tc>
          <w:tcPr>
            <w:tcW w:w="2322"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127.5% and Over</w:t>
            </w:r>
          </w:p>
        </w:tc>
        <w:tc>
          <w:tcPr>
            <w:tcW w:w="2678"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200%</w:t>
            </w:r>
          </w:p>
        </w:tc>
      </w:tr>
      <w:tr w:rsidR="00376768">
        <w:trPr>
          <w:jc w:val="center"/>
        </w:trPr>
        <w:tc>
          <w:tcPr>
            <w:tcW w:w="2322"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100%</w:t>
            </w:r>
          </w:p>
        </w:tc>
        <w:tc>
          <w:tcPr>
            <w:tcW w:w="2678"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100%</w:t>
            </w:r>
          </w:p>
        </w:tc>
      </w:tr>
      <w:tr w:rsidR="00376768">
        <w:trPr>
          <w:jc w:val="center"/>
        </w:trPr>
        <w:tc>
          <w:tcPr>
            <w:tcW w:w="2322"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80%</w:t>
            </w:r>
          </w:p>
        </w:tc>
        <w:tc>
          <w:tcPr>
            <w:tcW w:w="2678"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20%</w:t>
            </w:r>
          </w:p>
        </w:tc>
      </w:tr>
      <w:tr w:rsidR="00376768">
        <w:trPr>
          <w:jc w:val="center"/>
        </w:trPr>
        <w:tc>
          <w:tcPr>
            <w:tcW w:w="2322"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Less than 80%</w:t>
            </w:r>
          </w:p>
        </w:tc>
        <w:tc>
          <w:tcPr>
            <w:tcW w:w="2678"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0%</w:t>
            </w:r>
          </w:p>
        </w:tc>
      </w:tr>
      <w:tr w:rsidR="00376768">
        <w:trPr>
          <w:jc w:val="center"/>
        </w:trPr>
        <w:tc>
          <w:tcPr>
            <w:tcW w:w="2322" w:type="pct"/>
            <w:tcBorders>
              <w:top w:val="single" w:sz="4" w:space="0" w:color="auto"/>
              <w:left w:val="single" w:sz="4" w:space="0" w:color="auto"/>
              <w:bottom w:val="single" w:sz="4" w:space="0" w:color="auto"/>
              <w:right w:val="single" w:sz="4" w:space="0" w:color="auto"/>
            </w:tcBorders>
          </w:tcPr>
          <w:p w:rsidR="00376768" w:rsidRDefault="00376768">
            <w:pPr>
              <w:jc w:val="center"/>
              <w:rPr>
                <w:rFonts w:ascii="Arial" w:hAnsi="Arial" w:cs="Arial"/>
                <w:sz w:val="18"/>
                <w:lang w:eastAsia="en-IN"/>
              </w:rPr>
            </w:pPr>
          </w:p>
        </w:tc>
        <w:tc>
          <w:tcPr>
            <w:tcW w:w="2678" w:type="pct"/>
            <w:tcBorders>
              <w:top w:val="single" w:sz="4" w:space="0" w:color="auto"/>
              <w:left w:val="single" w:sz="4" w:space="0" w:color="auto"/>
              <w:bottom w:val="single" w:sz="4" w:space="0" w:color="auto"/>
              <w:right w:val="single" w:sz="4" w:space="0" w:color="auto"/>
            </w:tcBorders>
          </w:tcPr>
          <w:p w:rsidR="00376768" w:rsidRDefault="00376768">
            <w:pPr>
              <w:jc w:val="center"/>
              <w:rPr>
                <w:rFonts w:ascii="Arial" w:hAnsi="Arial" w:cs="Arial"/>
                <w:sz w:val="18"/>
                <w:lang w:eastAsia="en-IN"/>
              </w:rPr>
            </w:pPr>
          </w:p>
        </w:tc>
      </w:tr>
      <w:tr w:rsidR="00376768">
        <w:trPr>
          <w:jc w:val="center"/>
        </w:trPr>
        <w:tc>
          <w:tcPr>
            <w:tcW w:w="2322" w:type="pct"/>
            <w:tcBorders>
              <w:top w:val="single" w:sz="4" w:space="0" w:color="auto"/>
              <w:left w:val="single" w:sz="4" w:space="0" w:color="auto"/>
              <w:bottom w:val="single" w:sz="4" w:space="0" w:color="auto"/>
              <w:right w:val="single" w:sz="4" w:space="0" w:color="auto"/>
            </w:tcBorders>
            <w:shd w:val="clear" w:color="auto" w:fill="B5DBE7"/>
          </w:tcPr>
          <w:p w:rsidR="00376768" w:rsidRDefault="00EC2B72">
            <w:pPr>
              <w:jc w:val="center"/>
              <w:rPr>
                <w:rFonts w:ascii="Arial" w:hAnsi="Arial" w:cs="Arial"/>
                <w:sz w:val="18"/>
                <w:lang w:eastAsia="en-IN"/>
              </w:rPr>
            </w:pPr>
            <w:r>
              <w:rPr>
                <w:rFonts w:ascii="Arial" w:hAnsi="Arial" w:cs="Arial"/>
                <w:b/>
                <w:bCs/>
                <w:sz w:val="18"/>
                <w:lang w:eastAsia="en-IN"/>
              </w:rPr>
              <w:t>2017 Actual Attainment</w:t>
            </w:r>
          </w:p>
        </w:tc>
        <w:tc>
          <w:tcPr>
            <w:tcW w:w="2678" w:type="pct"/>
            <w:tcBorders>
              <w:top w:val="single" w:sz="4" w:space="0" w:color="auto"/>
              <w:left w:val="single" w:sz="4" w:space="0" w:color="auto"/>
              <w:bottom w:val="single" w:sz="4" w:space="0" w:color="auto"/>
              <w:right w:val="single" w:sz="4" w:space="0" w:color="auto"/>
            </w:tcBorders>
            <w:shd w:val="clear" w:color="auto" w:fill="B5DBE7"/>
          </w:tcPr>
          <w:p w:rsidR="00376768" w:rsidRDefault="00EC2B72">
            <w:pPr>
              <w:jc w:val="center"/>
              <w:rPr>
                <w:rFonts w:ascii="Arial" w:hAnsi="Arial" w:cs="Arial"/>
                <w:sz w:val="18"/>
                <w:lang w:eastAsia="en-IN"/>
              </w:rPr>
            </w:pPr>
            <w:r>
              <w:rPr>
                <w:rFonts w:ascii="Arial" w:hAnsi="Arial" w:cs="Arial"/>
                <w:b/>
                <w:bCs/>
                <w:sz w:val="18"/>
                <w:lang w:eastAsia="en-IN"/>
              </w:rPr>
              <w:t>2017 Payout as % of Target</w:t>
            </w:r>
            <w:r>
              <w:rPr>
                <w:rFonts w:ascii="Arial" w:hAnsi="Arial" w:cs="Arial"/>
                <w:b/>
                <w:bCs/>
                <w:sz w:val="18"/>
                <w:vertAlign w:val="superscript"/>
                <w:lang w:eastAsia="en-IN"/>
              </w:rPr>
              <w:t>7</w:t>
            </w:r>
          </w:p>
        </w:tc>
      </w:tr>
      <w:tr w:rsidR="00376768">
        <w:trPr>
          <w:jc w:val="center"/>
        </w:trPr>
        <w:tc>
          <w:tcPr>
            <w:tcW w:w="2322"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108.57%</w:t>
            </w:r>
          </w:p>
        </w:tc>
        <w:tc>
          <w:tcPr>
            <w:tcW w:w="2678"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122%</w:t>
            </w:r>
          </w:p>
        </w:tc>
      </w:tr>
    </w:tbl>
    <w:p w:rsidR="00376768" w:rsidRDefault="00EC2B72">
      <w:pPr>
        <w:spacing w:before="160"/>
        <w:jc w:val="center"/>
        <w:rPr>
          <w:rFonts w:ascii="Arial" w:hAnsi="Arial" w:cs="Arial"/>
          <w:lang w:eastAsia="en-IN"/>
        </w:rPr>
      </w:pPr>
      <w:r>
        <w:rPr>
          <w:rFonts w:ascii="Arial" w:hAnsi="Arial" w:cs="Arial"/>
          <w:b/>
          <w:bCs/>
          <w:lang w:eastAsia="en-IN"/>
        </w:rPr>
        <w:t xml:space="preserve">Corporate &amp; Operating Unit Adjusted EBITDA Performance and Payout </w:t>
      </w:r>
      <w:proofErr w:type="gramStart"/>
      <w:r>
        <w:rPr>
          <w:rFonts w:ascii="Arial" w:hAnsi="Arial" w:cs="Arial"/>
          <w:b/>
          <w:bCs/>
          <w:lang w:eastAsia="en-IN"/>
        </w:rPr>
        <w:t>Ranges</w:t>
      </w:r>
      <w:proofErr w:type="gramEnd"/>
      <w:r>
        <w:rPr>
          <w:rFonts w:ascii="Arial" w:hAnsi="Arial" w:cs="Arial"/>
          <w:b/>
          <w:bCs/>
          <w:lang w:eastAsia="en-IN"/>
        </w:rPr>
        <w:br/>
      </w:r>
      <w:r>
        <w:rPr>
          <w:rFonts w:ascii="Arial" w:hAnsi="Arial" w:cs="Arial"/>
          <w:i/>
          <w:iCs/>
          <w:lang w:eastAsia="en-IN"/>
        </w:rPr>
        <w:t xml:space="preserve">(Messrs. Bauer, Maloney, Russo, Scanlon, </w:t>
      </w:r>
      <w:proofErr w:type="spellStart"/>
      <w:r>
        <w:rPr>
          <w:rFonts w:ascii="Arial" w:hAnsi="Arial" w:cs="Arial"/>
          <w:i/>
          <w:iCs/>
          <w:lang w:eastAsia="en-IN"/>
        </w:rPr>
        <w:t>Kasel</w:t>
      </w:r>
      <w:proofErr w:type="spellEnd"/>
      <w:r>
        <w:rPr>
          <w:rFonts w:ascii="Arial" w:hAnsi="Arial" w:cs="Arial"/>
          <w:i/>
          <w:iCs/>
          <w:lang w:eastAsia="en-IN"/>
        </w:rPr>
        <w:t xml:space="preserve">, </w:t>
      </w:r>
      <w:proofErr w:type="spellStart"/>
      <w:r>
        <w:rPr>
          <w:rFonts w:ascii="Arial" w:hAnsi="Arial" w:cs="Arial"/>
          <w:i/>
          <w:iCs/>
          <w:lang w:eastAsia="en-IN"/>
        </w:rPr>
        <w:t>Guinee</w:t>
      </w:r>
      <w:proofErr w:type="spellEnd"/>
      <w:r>
        <w:rPr>
          <w:rFonts w:ascii="Arial" w:hAnsi="Arial" w:cs="Arial"/>
          <w:i/>
          <w:iCs/>
          <w:lang w:eastAsia="en-IN"/>
        </w:rPr>
        <w:t>, and Kelly)</w:t>
      </w:r>
    </w:p>
    <w:tbl>
      <w:tblPr>
        <w:tblW w:w="3000" w:type="pct"/>
        <w:jc w:val="center"/>
        <w:tblLayout w:type="fixed"/>
        <w:tblCellMar>
          <w:left w:w="0" w:type="dxa"/>
          <w:right w:w="0" w:type="dxa"/>
        </w:tblCellMar>
        <w:tblLook w:val="0000" w:firstRow="0" w:lastRow="0" w:firstColumn="0" w:lastColumn="0" w:noHBand="0" w:noVBand="0"/>
      </w:tblPr>
      <w:tblGrid>
        <w:gridCol w:w="3044"/>
        <w:gridCol w:w="3436"/>
      </w:tblGrid>
      <w:tr w:rsidR="00376768">
        <w:trPr>
          <w:jc w:val="center"/>
        </w:trPr>
        <w:tc>
          <w:tcPr>
            <w:tcW w:w="2349" w:type="pct"/>
            <w:tcBorders>
              <w:bottom w:val="single" w:sz="4" w:space="0" w:color="auto"/>
            </w:tcBorders>
          </w:tcPr>
          <w:p w:rsidR="00376768" w:rsidRDefault="00376768">
            <w:pPr>
              <w:ind w:left="43"/>
              <w:rPr>
                <w:rFonts w:ascii="Arial" w:hAnsi="Arial" w:cs="Arial"/>
                <w:sz w:val="18"/>
                <w:lang w:eastAsia="en-IN"/>
              </w:rPr>
            </w:pPr>
          </w:p>
        </w:tc>
        <w:tc>
          <w:tcPr>
            <w:tcW w:w="2651" w:type="pct"/>
            <w:tcBorders>
              <w:bottom w:val="single" w:sz="4" w:space="0" w:color="auto"/>
            </w:tcBorders>
          </w:tcPr>
          <w:p w:rsidR="00376768" w:rsidRDefault="00376768">
            <w:pPr>
              <w:rPr>
                <w:rFonts w:ascii="Arial" w:hAnsi="Arial" w:cs="Arial"/>
                <w:sz w:val="18"/>
                <w:lang w:eastAsia="en-IN"/>
              </w:rPr>
            </w:pPr>
          </w:p>
        </w:tc>
      </w:tr>
      <w:tr w:rsidR="00376768">
        <w:trPr>
          <w:jc w:val="center"/>
        </w:trPr>
        <w:tc>
          <w:tcPr>
            <w:tcW w:w="2349" w:type="pct"/>
            <w:tcBorders>
              <w:top w:val="single" w:sz="4" w:space="0" w:color="auto"/>
              <w:left w:val="single" w:sz="4" w:space="0" w:color="auto"/>
              <w:bottom w:val="single" w:sz="4" w:space="0" w:color="auto"/>
              <w:right w:val="single" w:sz="4" w:space="0" w:color="auto"/>
            </w:tcBorders>
            <w:shd w:val="clear" w:color="auto" w:fill="B5DBE7"/>
          </w:tcPr>
          <w:p w:rsidR="00376768" w:rsidRDefault="00EC2B72">
            <w:pPr>
              <w:jc w:val="center"/>
              <w:rPr>
                <w:rFonts w:ascii="Arial" w:hAnsi="Arial" w:cs="Arial"/>
                <w:sz w:val="18"/>
                <w:lang w:eastAsia="en-IN"/>
              </w:rPr>
            </w:pPr>
            <w:r>
              <w:rPr>
                <w:rFonts w:ascii="Arial" w:hAnsi="Arial" w:cs="Arial"/>
                <w:b/>
                <w:bCs/>
                <w:sz w:val="18"/>
                <w:lang w:eastAsia="en-IN"/>
              </w:rPr>
              <w:t>2017 Adjusted EBITDA</w:t>
            </w:r>
          </w:p>
        </w:tc>
        <w:tc>
          <w:tcPr>
            <w:tcW w:w="2651" w:type="pct"/>
            <w:tcBorders>
              <w:top w:val="single" w:sz="4" w:space="0" w:color="auto"/>
              <w:left w:val="single" w:sz="4" w:space="0" w:color="auto"/>
              <w:bottom w:val="single" w:sz="4" w:space="0" w:color="auto"/>
              <w:right w:val="single" w:sz="4" w:space="0" w:color="auto"/>
            </w:tcBorders>
            <w:shd w:val="clear" w:color="auto" w:fill="B5DBE7"/>
          </w:tcPr>
          <w:p w:rsidR="00376768" w:rsidRDefault="00EC2B72">
            <w:pPr>
              <w:jc w:val="center"/>
              <w:rPr>
                <w:rFonts w:ascii="Arial" w:hAnsi="Arial" w:cs="Arial"/>
                <w:sz w:val="18"/>
                <w:lang w:eastAsia="en-IN"/>
              </w:rPr>
            </w:pPr>
            <w:r>
              <w:rPr>
                <w:rFonts w:ascii="Arial" w:hAnsi="Arial" w:cs="Arial"/>
                <w:b/>
                <w:bCs/>
                <w:sz w:val="18"/>
                <w:lang w:eastAsia="en-IN"/>
              </w:rPr>
              <w:t>2017 Payout Range</w:t>
            </w:r>
          </w:p>
        </w:tc>
      </w:tr>
      <w:tr w:rsidR="00376768">
        <w:trPr>
          <w:jc w:val="center"/>
        </w:trPr>
        <w:tc>
          <w:tcPr>
            <w:tcW w:w="2349" w:type="pct"/>
            <w:tcBorders>
              <w:top w:val="single" w:sz="4" w:space="0" w:color="auto"/>
              <w:left w:val="single" w:sz="4" w:space="0" w:color="auto"/>
              <w:bottom w:val="single" w:sz="4" w:space="0" w:color="auto"/>
              <w:right w:val="single" w:sz="4" w:space="0" w:color="auto"/>
            </w:tcBorders>
          </w:tcPr>
          <w:p w:rsidR="00376768" w:rsidRDefault="00EC2B72">
            <w:pPr>
              <w:ind w:left="43"/>
              <w:jc w:val="center"/>
              <w:rPr>
                <w:rFonts w:ascii="Arial" w:hAnsi="Arial" w:cs="Arial"/>
                <w:sz w:val="18"/>
                <w:lang w:eastAsia="en-IN"/>
              </w:rPr>
            </w:pPr>
            <w:r>
              <w:rPr>
                <w:rFonts w:ascii="Arial" w:hAnsi="Arial" w:cs="Arial"/>
                <w:sz w:val="18"/>
                <w:lang w:eastAsia="en-IN"/>
              </w:rPr>
              <w:t>170% and over</w:t>
            </w:r>
          </w:p>
        </w:tc>
        <w:tc>
          <w:tcPr>
            <w:tcW w:w="2651"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200%</w:t>
            </w:r>
          </w:p>
        </w:tc>
      </w:tr>
      <w:tr w:rsidR="00376768">
        <w:trPr>
          <w:jc w:val="center"/>
        </w:trPr>
        <w:tc>
          <w:tcPr>
            <w:tcW w:w="2349"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ind w:left="43"/>
              <w:jc w:val="center"/>
              <w:rPr>
                <w:rFonts w:ascii="Arial" w:hAnsi="Arial" w:cs="Arial"/>
                <w:sz w:val="18"/>
                <w:lang w:eastAsia="en-IN"/>
              </w:rPr>
            </w:pPr>
            <w:r>
              <w:rPr>
                <w:rFonts w:ascii="Arial" w:hAnsi="Arial" w:cs="Arial"/>
                <w:sz w:val="18"/>
                <w:lang w:eastAsia="en-IN"/>
              </w:rPr>
              <w:t>100%</w:t>
            </w:r>
          </w:p>
        </w:tc>
        <w:tc>
          <w:tcPr>
            <w:tcW w:w="2651"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100%</w:t>
            </w:r>
          </w:p>
        </w:tc>
      </w:tr>
      <w:tr w:rsidR="00376768">
        <w:trPr>
          <w:jc w:val="center"/>
        </w:trPr>
        <w:tc>
          <w:tcPr>
            <w:tcW w:w="2349" w:type="pct"/>
            <w:tcBorders>
              <w:top w:val="single" w:sz="4" w:space="0" w:color="auto"/>
              <w:left w:val="single" w:sz="4" w:space="0" w:color="auto"/>
              <w:bottom w:val="single" w:sz="4" w:space="0" w:color="auto"/>
              <w:right w:val="single" w:sz="4" w:space="0" w:color="auto"/>
            </w:tcBorders>
          </w:tcPr>
          <w:p w:rsidR="00376768" w:rsidRDefault="00EC2B72">
            <w:pPr>
              <w:ind w:left="43"/>
              <w:jc w:val="center"/>
              <w:rPr>
                <w:rFonts w:ascii="Arial" w:hAnsi="Arial" w:cs="Arial"/>
                <w:sz w:val="18"/>
                <w:lang w:eastAsia="en-IN"/>
              </w:rPr>
            </w:pPr>
            <w:r>
              <w:rPr>
                <w:rFonts w:ascii="Arial" w:hAnsi="Arial" w:cs="Arial"/>
                <w:sz w:val="18"/>
                <w:lang w:eastAsia="en-IN"/>
              </w:rPr>
              <w:t>50%</w:t>
            </w:r>
          </w:p>
        </w:tc>
        <w:tc>
          <w:tcPr>
            <w:tcW w:w="2651"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20%</w:t>
            </w:r>
          </w:p>
        </w:tc>
      </w:tr>
      <w:tr w:rsidR="00376768">
        <w:trPr>
          <w:jc w:val="center"/>
        </w:trPr>
        <w:tc>
          <w:tcPr>
            <w:tcW w:w="2349"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ind w:left="43"/>
              <w:jc w:val="center"/>
              <w:rPr>
                <w:rFonts w:ascii="Arial" w:hAnsi="Arial" w:cs="Arial"/>
                <w:sz w:val="18"/>
                <w:lang w:eastAsia="en-IN"/>
              </w:rPr>
            </w:pPr>
            <w:r>
              <w:rPr>
                <w:rFonts w:ascii="Arial" w:hAnsi="Arial" w:cs="Arial"/>
                <w:sz w:val="18"/>
                <w:lang w:eastAsia="en-IN"/>
              </w:rPr>
              <w:t>Less than 50%</w:t>
            </w:r>
          </w:p>
        </w:tc>
        <w:tc>
          <w:tcPr>
            <w:tcW w:w="2651"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0%</w:t>
            </w:r>
          </w:p>
        </w:tc>
      </w:tr>
      <w:tr w:rsidR="00376768">
        <w:trPr>
          <w:jc w:val="center"/>
        </w:trPr>
        <w:tc>
          <w:tcPr>
            <w:tcW w:w="2349" w:type="pct"/>
            <w:tcBorders>
              <w:top w:val="single" w:sz="4" w:space="0" w:color="auto"/>
              <w:left w:val="single" w:sz="4" w:space="0" w:color="auto"/>
              <w:bottom w:val="single" w:sz="4" w:space="0" w:color="auto"/>
              <w:right w:val="single" w:sz="4" w:space="0" w:color="auto"/>
            </w:tcBorders>
          </w:tcPr>
          <w:p w:rsidR="00376768" w:rsidRDefault="00376768">
            <w:pPr>
              <w:ind w:left="43"/>
              <w:jc w:val="center"/>
              <w:rPr>
                <w:rFonts w:ascii="Arial" w:hAnsi="Arial" w:cs="Arial"/>
                <w:sz w:val="18"/>
                <w:lang w:eastAsia="en-IN"/>
              </w:rPr>
            </w:pPr>
          </w:p>
        </w:tc>
        <w:tc>
          <w:tcPr>
            <w:tcW w:w="2651" w:type="pct"/>
            <w:tcBorders>
              <w:top w:val="single" w:sz="4" w:space="0" w:color="auto"/>
              <w:left w:val="single" w:sz="4" w:space="0" w:color="auto"/>
              <w:bottom w:val="single" w:sz="4" w:space="0" w:color="auto"/>
              <w:right w:val="single" w:sz="4" w:space="0" w:color="auto"/>
            </w:tcBorders>
          </w:tcPr>
          <w:p w:rsidR="00376768" w:rsidRDefault="00376768">
            <w:pPr>
              <w:jc w:val="center"/>
              <w:rPr>
                <w:rFonts w:ascii="Arial" w:hAnsi="Arial" w:cs="Arial"/>
                <w:sz w:val="18"/>
                <w:lang w:eastAsia="en-IN"/>
              </w:rPr>
            </w:pPr>
          </w:p>
        </w:tc>
      </w:tr>
      <w:tr w:rsidR="00376768">
        <w:trPr>
          <w:jc w:val="center"/>
        </w:trPr>
        <w:tc>
          <w:tcPr>
            <w:tcW w:w="2349" w:type="pct"/>
            <w:tcBorders>
              <w:top w:val="single" w:sz="4" w:space="0" w:color="auto"/>
              <w:left w:val="single" w:sz="4" w:space="0" w:color="auto"/>
              <w:bottom w:val="single" w:sz="4" w:space="0" w:color="auto"/>
              <w:right w:val="single" w:sz="4" w:space="0" w:color="auto"/>
            </w:tcBorders>
            <w:shd w:val="clear" w:color="auto" w:fill="B5DBE7"/>
          </w:tcPr>
          <w:p w:rsidR="00376768" w:rsidRDefault="00EC2B72">
            <w:pPr>
              <w:ind w:left="43"/>
              <w:jc w:val="center"/>
              <w:rPr>
                <w:rFonts w:ascii="Arial" w:hAnsi="Arial" w:cs="Arial"/>
                <w:sz w:val="18"/>
                <w:lang w:eastAsia="en-IN"/>
              </w:rPr>
            </w:pPr>
            <w:r>
              <w:rPr>
                <w:rFonts w:ascii="Arial" w:hAnsi="Arial" w:cs="Arial"/>
                <w:b/>
                <w:bCs/>
                <w:sz w:val="18"/>
                <w:lang w:eastAsia="en-IN"/>
              </w:rPr>
              <w:t>2017 Actual Attainment</w:t>
            </w:r>
          </w:p>
        </w:tc>
        <w:tc>
          <w:tcPr>
            <w:tcW w:w="2651" w:type="pct"/>
            <w:tcBorders>
              <w:top w:val="single" w:sz="4" w:space="0" w:color="auto"/>
              <w:left w:val="single" w:sz="4" w:space="0" w:color="auto"/>
              <w:bottom w:val="single" w:sz="4" w:space="0" w:color="auto"/>
              <w:right w:val="single" w:sz="4" w:space="0" w:color="auto"/>
            </w:tcBorders>
            <w:shd w:val="clear" w:color="auto" w:fill="B5DBE7"/>
          </w:tcPr>
          <w:p w:rsidR="00376768" w:rsidRDefault="00EC2B72">
            <w:pPr>
              <w:jc w:val="center"/>
              <w:rPr>
                <w:rFonts w:ascii="Arial" w:hAnsi="Arial" w:cs="Arial"/>
                <w:sz w:val="18"/>
                <w:lang w:eastAsia="en-IN"/>
              </w:rPr>
            </w:pPr>
            <w:r>
              <w:rPr>
                <w:rFonts w:ascii="Arial" w:hAnsi="Arial" w:cs="Arial"/>
                <w:b/>
                <w:bCs/>
                <w:sz w:val="18"/>
                <w:lang w:eastAsia="en-IN"/>
              </w:rPr>
              <w:t>2017 Payout as % of Target</w:t>
            </w:r>
          </w:p>
        </w:tc>
      </w:tr>
      <w:tr w:rsidR="00376768">
        <w:trPr>
          <w:jc w:val="center"/>
        </w:trPr>
        <w:tc>
          <w:tcPr>
            <w:tcW w:w="2349" w:type="pct"/>
            <w:tcBorders>
              <w:top w:val="single" w:sz="4" w:space="0" w:color="auto"/>
              <w:left w:val="single" w:sz="4" w:space="0" w:color="auto"/>
              <w:bottom w:val="single" w:sz="4" w:space="0" w:color="auto"/>
              <w:right w:val="single" w:sz="4" w:space="0" w:color="auto"/>
            </w:tcBorders>
          </w:tcPr>
          <w:p w:rsidR="00376768" w:rsidRDefault="00EC2B72">
            <w:pPr>
              <w:ind w:left="43"/>
              <w:rPr>
                <w:rFonts w:ascii="Arial" w:hAnsi="Arial" w:cs="Arial"/>
                <w:sz w:val="18"/>
                <w:lang w:eastAsia="en-IN"/>
              </w:rPr>
            </w:pPr>
            <w:r>
              <w:rPr>
                <w:rFonts w:ascii="Arial" w:hAnsi="Arial" w:cs="Arial"/>
                <w:b/>
                <w:bCs/>
                <w:sz w:val="18"/>
                <w:lang w:eastAsia="en-IN"/>
              </w:rPr>
              <w:t>Corporate</w:t>
            </w:r>
          </w:p>
        </w:tc>
        <w:tc>
          <w:tcPr>
            <w:tcW w:w="2651" w:type="pct"/>
            <w:tcBorders>
              <w:top w:val="single" w:sz="4" w:space="0" w:color="auto"/>
              <w:left w:val="single" w:sz="4" w:space="0" w:color="auto"/>
              <w:bottom w:val="single" w:sz="4" w:space="0" w:color="auto"/>
              <w:right w:val="single" w:sz="4" w:space="0" w:color="auto"/>
            </w:tcBorders>
          </w:tcPr>
          <w:p w:rsidR="00376768" w:rsidRDefault="00376768">
            <w:pPr>
              <w:jc w:val="center"/>
              <w:rPr>
                <w:rFonts w:ascii="Arial" w:hAnsi="Arial" w:cs="Arial"/>
                <w:sz w:val="18"/>
                <w:lang w:eastAsia="en-IN"/>
              </w:rPr>
            </w:pPr>
          </w:p>
        </w:tc>
      </w:tr>
      <w:tr w:rsidR="00376768">
        <w:trPr>
          <w:jc w:val="center"/>
        </w:trPr>
        <w:tc>
          <w:tcPr>
            <w:tcW w:w="2349"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ind w:left="43"/>
              <w:jc w:val="center"/>
              <w:rPr>
                <w:rFonts w:ascii="Arial" w:hAnsi="Arial" w:cs="Arial"/>
                <w:sz w:val="18"/>
                <w:lang w:eastAsia="en-IN"/>
              </w:rPr>
            </w:pPr>
            <w:r>
              <w:rPr>
                <w:rFonts w:ascii="Arial" w:hAnsi="Arial" w:cs="Arial"/>
                <w:sz w:val="18"/>
                <w:lang w:eastAsia="en-IN"/>
              </w:rPr>
              <w:t>110.10%</w:t>
            </w:r>
          </w:p>
        </w:tc>
        <w:tc>
          <w:tcPr>
            <w:tcW w:w="2651"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115%</w:t>
            </w:r>
            <w:r>
              <w:rPr>
                <w:rFonts w:ascii="Arial" w:hAnsi="Arial" w:cs="Arial"/>
                <w:sz w:val="18"/>
                <w:vertAlign w:val="superscript"/>
                <w:lang w:eastAsia="en-IN"/>
              </w:rPr>
              <w:t>7</w:t>
            </w:r>
          </w:p>
        </w:tc>
      </w:tr>
      <w:tr w:rsidR="00376768">
        <w:trPr>
          <w:jc w:val="center"/>
        </w:trPr>
        <w:tc>
          <w:tcPr>
            <w:tcW w:w="2349" w:type="pct"/>
            <w:tcBorders>
              <w:top w:val="single" w:sz="4" w:space="0" w:color="auto"/>
              <w:left w:val="single" w:sz="4" w:space="0" w:color="auto"/>
              <w:bottom w:val="single" w:sz="4" w:space="0" w:color="auto"/>
              <w:right w:val="single" w:sz="4" w:space="0" w:color="auto"/>
            </w:tcBorders>
          </w:tcPr>
          <w:p w:rsidR="00376768" w:rsidRDefault="00EC2B72">
            <w:pPr>
              <w:ind w:left="43"/>
              <w:rPr>
                <w:rFonts w:ascii="Arial" w:hAnsi="Arial" w:cs="Arial"/>
                <w:sz w:val="18"/>
                <w:lang w:eastAsia="en-IN"/>
              </w:rPr>
            </w:pPr>
            <w:r>
              <w:rPr>
                <w:rFonts w:ascii="Arial" w:hAnsi="Arial" w:cs="Arial"/>
                <w:b/>
                <w:bCs/>
                <w:sz w:val="18"/>
                <w:lang w:eastAsia="en-IN"/>
              </w:rPr>
              <w:t>Rail  Products</w:t>
            </w:r>
          </w:p>
        </w:tc>
        <w:tc>
          <w:tcPr>
            <w:tcW w:w="2651" w:type="pct"/>
            <w:tcBorders>
              <w:top w:val="single" w:sz="4" w:space="0" w:color="auto"/>
              <w:left w:val="single" w:sz="4" w:space="0" w:color="auto"/>
              <w:bottom w:val="single" w:sz="4" w:space="0" w:color="auto"/>
              <w:right w:val="single" w:sz="4" w:space="0" w:color="auto"/>
            </w:tcBorders>
          </w:tcPr>
          <w:p w:rsidR="00376768" w:rsidRDefault="00376768">
            <w:pPr>
              <w:jc w:val="center"/>
              <w:rPr>
                <w:rFonts w:ascii="Arial" w:hAnsi="Arial" w:cs="Arial"/>
                <w:sz w:val="18"/>
                <w:lang w:eastAsia="en-IN"/>
              </w:rPr>
            </w:pPr>
          </w:p>
        </w:tc>
      </w:tr>
      <w:tr w:rsidR="00376768">
        <w:trPr>
          <w:jc w:val="center"/>
        </w:trPr>
        <w:tc>
          <w:tcPr>
            <w:tcW w:w="2349"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ind w:left="43"/>
              <w:jc w:val="center"/>
              <w:rPr>
                <w:rFonts w:ascii="Arial" w:hAnsi="Arial" w:cs="Arial"/>
                <w:sz w:val="18"/>
                <w:lang w:eastAsia="en-IN"/>
              </w:rPr>
            </w:pPr>
            <w:r>
              <w:rPr>
                <w:rFonts w:ascii="Arial" w:hAnsi="Arial" w:cs="Arial"/>
                <w:sz w:val="18"/>
                <w:lang w:eastAsia="en-IN"/>
              </w:rPr>
              <w:t>85.67%</w:t>
            </w:r>
          </w:p>
        </w:tc>
        <w:tc>
          <w:tcPr>
            <w:tcW w:w="2651"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77%</w:t>
            </w:r>
          </w:p>
        </w:tc>
      </w:tr>
    </w:tbl>
    <w:p w:rsidR="00376768" w:rsidRDefault="00EC2B72">
      <w:pPr>
        <w:spacing w:before="160"/>
        <w:jc w:val="center"/>
        <w:rPr>
          <w:rFonts w:ascii="Arial" w:hAnsi="Arial" w:cs="Arial"/>
          <w:lang w:eastAsia="en-IN"/>
        </w:rPr>
      </w:pPr>
      <w:r>
        <w:rPr>
          <w:rFonts w:ascii="Arial" w:hAnsi="Arial" w:cs="Arial"/>
          <w:b/>
          <w:bCs/>
          <w:lang w:eastAsia="en-IN"/>
        </w:rPr>
        <w:t xml:space="preserve">Corporate and Operating Unit Working Capital as a % of Sales Performance and Payout </w:t>
      </w:r>
      <w:proofErr w:type="gramStart"/>
      <w:r>
        <w:rPr>
          <w:rFonts w:ascii="Arial" w:hAnsi="Arial" w:cs="Arial"/>
          <w:b/>
          <w:bCs/>
          <w:lang w:eastAsia="en-IN"/>
        </w:rPr>
        <w:t>Ranges</w:t>
      </w:r>
      <w:proofErr w:type="gramEnd"/>
      <w:r>
        <w:rPr>
          <w:rFonts w:ascii="Arial" w:hAnsi="Arial" w:cs="Arial"/>
          <w:b/>
          <w:bCs/>
          <w:lang w:eastAsia="en-IN"/>
        </w:rPr>
        <w:br/>
      </w:r>
      <w:r>
        <w:rPr>
          <w:rFonts w:ascii="Arial" w:hAnsi="Arial" w:cs="Arial"/>
          <w:i/>
          <w:iCs/>
          <w:lang w:eastAsia="en-IN"/>
        </w:rPr>
        <w:t xml:space="preserve">(Messrs. Bauer, Maloney, Russo, Scanlon, </w:t>
      </w:r>
      <w:proofErr w:type="spellStart"/>
      <w:r>
        <w:rPr>
          <w:rFonts w:ascii="Arial" w:hAnsi="Arial" w:cs="Arial"/>
          <w:i/>
          <w:iCs/>
          <w:lang w:eastAsia="en-IN"/>
        </w:rPr>
        <w:t>Kasel</w:t>
      </w:r>
      <w:proofErr w:type="spellEnd"/>
      <w:r>
        <w:rPr>
          <w:rFonts w:ascii="Arial" w:hAnsi="Arial" w:cs="Arial"/>
          <w:i/>
          <w:iCs/>
          <w:lang w:eastAsia="en-IN"/>
        </w:rPr>
        <w:t xml:space="preserve">, </w:t>
      </w:r>
      <w:proofErr w:type="spellStart"/>
      <w:r>
        <w:rPr>
          <w:rFonts w:ascii="Arial" w:hAnsi="Arial" w:cs="Arial"/>
          <w:i/>
          <w:iCs/>
          <w:lang w:eastAsia="en-IN"/>
        </w:rPr>
        <w:t>Guinee</w:t>
      </w:r>
      <w:proofErr w:type="spellEnd"/>
      <w:r>
        <w:rPr>
          <w:rFonts w:ascii="Arial" w:hAnsi="Arial" w:cs="Arial"/>
          <w:i/>
          <w:iCs/>
          <w:lang w:eastAsia="en-IN"/>
        </w:rPr>
        <w:t>, and Kelly)</w:t>
      </w:r>
    </w:p>
    <w:tbl>
      <w:tblPr>
        <w:tblW w:w="3000" w:type="pct"/>
        <w:jc w:val="center"/>
        <w:tblLayout w:type="fixed"/>
        <w:tblCellMar>
          <w:left w:w="0" w:type="dxa"/>
          <w:right w:w="0" w:type="dxa"/>
        </w:tblCellMar>
        <w:tblLook w:val="0000" w:firstRow="0" w:lastRow="0" w:firstColumn="0" w:lastColumn="0" w:noHBand="0" w:noVBand="0"/>
      </w:tblPr>
      <w:tblGrid>
        <w:gridCol w:w="3468"/>
        <w:gridCol w:w="3012"/>
      </w:tblGrid>
      <w:tr w:rsidR="00376768">
        <w:trPr>
          <w:jc w:val="center"/>
        </w:trPr>
        <w:tc>
          <w:tcPr>
            <w:tcW w:w="2676" w:type="pct"/>
            <w:tcBorders>
              <w:bottom w:val="single" w:sz="4" w:space="0" w:color="auto"/>
            </w:tcBorders>
          </w:tcPr>
          <w:p w:rsidR="00376768" w:rsidRDefault="00376768">
            <w:pPr>
              <w:ind w:left="432"/>
              <w:rPr>
                <w:rFonts w:ascii="Arial" w:hAnsi="Arial" w:cs="Arial"/>
                <w:sz w:val="18"/>
                <w:lang w:eastAsia="en-IN"/>
              </w:rPr>
            </w:pPr>
          </w:p>
        </w:tc>
        <w:tc>
          <w:tcPr>
            <w:tcW w:w="2324" w:type="pct"/>
            <w:tcBorders>
              <w:bottom w:val="single" w:sz="4" w:space="0" w:color="auto"/>
            </w:tcBorders>
          </w:tcPr>
          <w:p w:rsidR="00376768" w:rsidRDefault="00376768">
            <w:pPr>
              <w:rPr>
                <w:rFonts w:ascii="Arial" w:hAnsi="Arial" w:cs="Arial"/>
                <w:sz w:val="18"/>
                <w:lang w:eastAsia="en-IN"/>
              </w:rPr>
            </w:pPr>
          </w:p>
        </w:tc>
      </w:tr>
      <w:tr w:rsidR="00376768">
        <w:trPr>
          <w:jc w:val="center"/>
        </w:trPr>
        <w:tc>
          <w:tcPr>
            <w:tcW w:w="2676" w:type="pct"/>
            <w:tcBorders>
              <w:top w:val="single" w:sz="4" w:space="0" w:color="auto"/>
              <w:left w:val="single" w:sz="4" w:space="0" w:color="auto"/>
              <w:bottom w:val="single" w:sz="4" w:space="0" w:color="auto"/>
              <w:right w:val="single" w:sz="4" w:space="0" w:color="auto"/>
            </w:tcBorders>
            <w:shd w:val="clear" w:color="auto" w:fill="B5DBE7"/>
            <w:vAlign w:val="center"/>
          </w:tcPr>
          <w:p w:rsidR="00376768" w:rsidRDefault="00EC2B72">
            <w:pPr>
              <w:jc w:val="center"/>
              <w:rPr>
                <w:rFonts w:ascii="Arial" w:hAnsi="Arial" w:cs="Arial"/>
                <w:sz w:val="18"/>
                <w:lang w:eastAsia="en-IN"/>
              </w:rPr>
            </w:pPr>
            <w:r>
              <w:rPr>
                <w:rFonts w:ascii="Arial" w:hAnsi="Arial" w:cs="Arial"/>
                <w:b/>
                <w:bCs/>
                <w:sz w:val="18"/>
                <w:lang w:eastAsia="en-IN"/>
              </w:rPr>
              <w:t xml:space="preserve">2017 Working Capital as a % of </w:t>
            </w:r>
            <w:r>
              <w:rPr>
                <w:rFonts w:ascii="Arial" w:hAnsi="Arial" w:cs="Arial"/>
                <w:b/>
                <w:bCs/>
                <w:sz w:val="18"/>
                <w:lang w:eastAsia="en-IN"/>
              </w:rPr>
              <w:br/>
              <w:t>Sales Goals</w:t>
            </w:r>
          </w:p>
        </w:tc>
        <w:tc>
          <w:tcPr>
            <w:tcW w:w="2324" w:type="pct"/>
            <w:tcBorders>
              <w:top w:val="single" w:sz="4" w:space="0" w:color="auto"/>
              <w:left w:val="single" w:sz="4" w:space="0" w:color="auto"/>
              <w:bottom w:val="single" w:sz="4" w:space="0" w:color="auto"/>
              <w:right w:val="single" w:sz="4" w:space="0" w:color="auto"/>
            </w:tcBorders>
            <w:shd w:val="clear" w:color="auto" w:fill="B5DBE7"/>
            <w:vAlign w:val="center"/>
          </w:tcPr>
          <w:p w:rsidR="00376768" w:rsidRDefault="00EC2B72">
            <w:pPr>
              <w:jc w:val="center"/>
              <w:rPr>
                <w:rFonts w:ascii="Arial" w:hAnsi="Arial" w:cs="Arial"/>
                <w:sz w:val="18"/>
                <w:lang w:eastAsia="en-IN"/>
              </w:rPr>
            </w:pPr>
            <w:r>
              <w:rPr>
                <w:rFonts w:ascii="Arial" w:hAnsi="Arial" w:cs="Arial"/>
                <w:b/>
                <w:bCs/>
                <w:sz w:val="18"/>
                <w:lang w:eastAsia="en-IN"/>
              </w:rPr>
              <w:t>2017 Payout Range</w:t>
            </w:r>
          </w:p>
        </w:tc>
      </w:tr>
      <w:tr w:rsidR="00376768">
        <w:trPr>
          <w:jc w:val="center"/>
        </w:trPr>
        <w:tc>
          <w:tcPr>
            <w:tcW w:w="2676" w:type="pct"/>
            <w:tcBorders>
              <w:top w:val="single" w:sz="4" w:space="0" w:color="auto"/>
              <w:left w:val="single" w:sz="4" w:space="0" w:color="auto"/>
              <w:bottom w:val="single" w:sz="4" w:space="0" w:color="auto"/>
              <w:right w:val="single" w:sz="4" w:space="0" w:color="auto"/>
            </w:tcBorders>
            <w:vAlign w:val="center"/>
          </w:tcPr>
          <w:p w:rsidR="00376768" w:rsidRDefault="00EC2B72">
            <w:pPr>
              <w:ind w:left="432"/>
              <w:jc w:val="center"/>
              <w:rPr>
                <w:rFonts w:ascii="Arial" w:hAnsi="Arial" w:cs="Arial"/>
                <w:sz w:val="18"/>
                <w:lang w:eastAsia="en-IN"/>
              </w:rPr>
            </w:pPr>
            <w:r>
              <w:rPr>
                <w:rFonts w:ascii="Arial" w:hAnsi="Arial" w:cs="Arial"/>
                <w:sz w:val="18"/>
                <w:lang w:eastAsia="en-IN"/>
              </w:rPr>
              <w:t>86% and under</w:t>
            </w:r>
          </w:p>
        </w:tc>
        <w:tc>
          <w:tcPr>
            <w:tcW w:w="2324" w:type="pct"/>
            <w:tcBorders>
              <w:top w:val="single" w:sz="4" w:space="0" w:color="auto"/>
              <w:left w:val="single" w:sz="4" w:space="0" w:color="auto"/>
              <w:bottom w:val="single" w:sz="4" w:space="0" w:color="auto"/>
              <w:right w:val="single" w:sz="4" w:space="0" w:color="auto"/>
            </w:tcBorders>
            <w:vAlign w:val="center"/>
          </w:tcPr>
          <w:p w:rsidR="00376768" w:rsidRDefault="00EC2B72">
            <w:pPr>
              <w:jc w:val="center"/>
              <w:rPr>
                <w:rFonts w:ascii="Arial" w:hAnsi="Arial" w:cs="Arial"/>
                <w:sz w:val="18"/>
                <w:lang w:eastAsia="en-IN"/>
              </w:rPr>
            </w:pPr>
            <w:r>
              <w:rPr>
                <w:rFonts w:ascii="Arial" w:hAnsi="Arial" w:cs="Arial"/>
                <w:sz w:val="18"/>
                <w:lang w:eastAsia="en-IN"/>
              </w:rPr>
              <w:t>200%</w:t>
            </w:r>
          </w:p>
        </w:tc>
      </w:tr>
      <w:tr w:rsidR="00376768">
        <w:trPr>
          <w:jc w:val="center"/>
        </w:trPr>
        <w:tc>
          <w:tcPr>
            <w:tcW w:w="2676" w:type="pct"/>
            <w:tcBorders>
              <w:top w:val="single" w:sz="4" w:space="0" w:color="auto"/>
              <w:left w:val="single" w:sz="4" w:space="0" w:color="auto"/>
              <w:bottom w:val="single" w:sz="4" w:space="0" w:color="auto"/>
              <w:right w:val="single" w:sz="4" w:space="0" w:color="auto"/>
            </w:tcBorders>
            <w:shd w:val="clear" w:color="auto" w:fill="DEEFF7"/>
            <w:vAlign w:val="center"/>
          </w:tcPr>
          <w:p w:rsidR="00376768" w:rsidRDefault="00EC2B72">
            <w:pPr>
              <w:ind w:left="432"/>
              <w:jc w:val="center"/>
              <w:rPr>
                <w:rFonts w:ascii="Arial" w:hAnsi="Arial" w:cs="Arial"/>
                <w:sz w:val="18"/>
                <w:lang w:eastAsia="en-IN"/>
              </w:rPr>
            </w:pPr>
            <w:r>
              <w:rPr>
                <w:rFonts w:ascii="Arial" w:hAnsi="Arial" w:cs="Arial"/>
                <w:sz w:val="18"/>
                <w:lang w:eastAsia="en-IN"/>
              </w:rPr>
              <w:t>100%</w:t>
            </w:r>
          </w:p>
        </w:tc>
        <w:tc>
          <w:tcPr>
            <w:tcW w:w="2324" w:type="pct"/>
            <w:tcBorders>
              <w:top w:val="single" w:sz="4" w:space="0" w:color="auto"/>
              <w:left w:val="single" w:sz="4" w:space="0" w:color="auto"/>
              <w:bottom w:val="single" w:sz="4" w:space="0" w:color="auto"/>
              <w:right w:val="single" w:sz="4" w:space="0" w:color="auto"/>
            </w:tcBorders>
            <w:shd w:val="clear" w:color="auto" w:fill="DEEFF7"/>
            <w:vAlign w:val="center"/>
          </w:tcPr>
          <w:p w:rsidR="00376768" w:rsidRDefault="00EC2B72">
            <w:pPr>
              <w:jc w:val="center"/>
              <w:rPr>
                <w:rFonts w:ascii="Arial" w:hAnsi="Arial" w:cs="Arial"/>
                <w:sz w:val="18"/>
                <w:lang w:eastAsia="en-IN"/>
              </w:rPr>
            </w:pPr>
            <w:r>
              <w:rPr>
                <w:rFonts w:ascii="Arial" w:hAnsi="Arial" w:cs="Arial"/>
                <w:sz w:val="18"/>
                <w:lang w:eastAsia="en-IN"/>
              </w:rPr>
              <w:t>100%</w:t>
            </w:r>
          </w:p>
        </w:tc>
      </w:tr>
      <w:tr w:rsidR="00376768">
        <w:trPr>
          <w:jc w:val="center"/>
        </w:trPr>
        <w:tc>
          <w:tcPr>
            <w:tcW w:w="2676" w:type="pct"/>
            <w:tcBorders>
              <w:top w:val="single" w:sz="4" w:space="0" w:color="auto"/>
              <w:left w:val="single" w:sz="4" w:space="0" w:color="auto"/>
              <w:bottom w:val="single" w:sz="4" w:space="0" w:color="auto"/>
              <w:right w:val="single" w:sz="4" w:space="0" w:color="auto"/>
            </w:tcBorders>
            <w:vAlign w:val="center"/>
          </w:tcPr>
          <w:p w:rsidR="00376768" w:rsidRDefault="00EC2B72">
            <w:pPr>
              <w:ind w:left="432"/>
              <w:jc w:val="center"/>
              <w:rPr>
                <w:rFonts w:ascii="Arial" w:hAnsi="Arial" w:cs="Arial"/>
                <w:sz w:val="18"/>
                <w:lang w:eastAsia="en-IN"/>
              </w:rPr>
            </w:pPr>
            <w:r>
              <w:rPr>
                <w:rFonts w:ascii="Arial" w:hAnsi="Arial" w:cs="Arial"/>
                <w:sz w:val="18"/>
                <w:lang w:eastAsia="en-IN"/>
              </w:rPr>
              <w:t>121.5%</w:t>
            </w:r>
          </w:p>
        </w:tc>
        <w:tc>
          <w:tcPr>
            <w:tcW w:w="2324" w:type="pct"/>
            <w:tcBorders>
              <w:top w:val="single" w:sz="4" w:space="0" w:color="auto"/>
              <w:left w:val="single" w:sz="4" w:space="0" w:color="auto"/>
              <w:bottom w:val="single" w:sz="4" w:space="0" w:color="auto"/>
              <w:right w:val="single" w:sz="4" w:space="0" w:color="auto"/>
            </w:tcBorders>
            <w:vAlign w:val="center"/>
          </w:tcPr>
          <w:p w:rsidR="00376768" w:rsidRDefault="00EC2B72">
            <w:pPr>
              <w:jc w:val="center"/>
              <w:rPr>
                <w:rFonts w:ascii="Arial" w:hAnsi="Arial" w:cs="Arial"/>
                <w:sz w:val="18"/>
                <w:lang w:eastAsia="en-IN"/>
              </w:rPr>
            </w:pPr>
            <w:r>
              <w:rPr>
                <w:rFonts w:ascii="Arial" w:hAnsi="Arial" w:cs="Arial"/>
                <w:sz w:val="18"/>
                <w:lang w:eastAsia="en-IN"/>
              </w:rPr>
              <w:t>10%</w:t>
            </w:r>
          </w:p>
        </w:tc>
      </w:tr>
      <w:tr w:rsidR="00376768">
        <w:trPr>
          <w:jc w:val="center"/>
        </w:trPr>
        <w:tc>
          <w:tcPr>
            <w:tcW w:w="2676" w:type="pct"/>
            <w:tcBorders>
              <w:top w:val="single" w:sz="4" w:space="0" w:color="auto"/>
              <w:left w:val="single" w:sz="4" w:space="0" w:color="auto"/>
              <w:bottom w:val="single" w:sz="4" w:space="0" w:color="auto"/>
              <w:right w:val="single" w:sz="4" w:space="0" w:color="auto"/>
            </w:tcBorders>
            <w:shd w:val="clear" w:color="auto" w:fill="DEEFF7"/>
            <w:vAlign w:val="center"/>
          </w:tcPr>
          <w:p w:rsidR="00376768" w:rsidRDefault="00EC2B72">
            <w:pPr>
              <w:ind w:left="432"/>
              <w:jc w:val="center"/>
              <w:rPr>
                <w:rFonts w:ascii="Arial" w:hAnsi="Arial" w:cs="Arial"/>
                <w:sz w:val="18"/>
                <w:lang w:eastAsia="en-IN"/>
              </w:rPr>
            </w:pPr>
            <w:r>
              <w:rPr>
                <w:rFonts w:ascii="Arial" w:hAnsi="Arial" w:cs="Arial"/>
                <w:sz w:val="18"/>
                <w:lang w:eastAsia="en-IN"/>
              </w:rPr>
              <w:t>Greater than 121.5%</w:t>
            </w:r>
          </w:p>
        </w:tc>
        <w:tc>
          <w:tcPr>
            <w:tcW w:w="2324" w:type="pct"/>
            <w:tcBorders>
              <w:top w:val="single" w:sz="4" w:space="0" w:color="auto"/>
              <w:left w:val="single" w:sz="4" w:space="0" w:color="auto"/>
              <w:bottom w:val="single" w:sz="4" w:space="0" w:color="auto"/>
              <w:right w:val="single" w:sz="4" w:space="0" w:color="auto"/>
            </w:tcBorders>
            <w:shd w:val="clear" w:color="auto" w:fill="DEEFF7"/>
            <w:vAlign w:val="center"/>
          </w:tcPr>
          <w:p w:rsidR="00376768" w:rsidRDefault="00EC2B72">
            <w:pPr>
              <w:jc w:val="center"/>
              <w:rPr>
                <w:rFonts w:ascii="Arial" w:hAnsi="Arial" w:cs="Arial"/>
                <w:sz w:val="18"/>
                <w:lang w:eastAsia="en-IN"/>
              </w:rPr>
            </w:pPr>
            <w:r>
              <w:rPr>
                <w:rFonts w:ascii="Arial" w:hAnsi="Arial" w:cs="Arial"/>
                <w:sz w:val="18"/>
                <w:lang w:eastAsia="en-IN"/>
              </w:rPr>
              <w:t>0%</w:t>
            </w:r>
          </w:p>
        </w:tc>
      </w:tr>
      <w:tr w:rsidR="00376768">
        <w:trPr>
          <w:jc w:val="center"/>
        </w:trPr>
        <w:tc>
          <w:tcPr>
            <w:tcW w:w="2676" w:type="pct"/>
            <w:tcBorders>
              <w:top w:val="single" w:sz="4" w:space="0" w:color="auto"/>
              <w:left w:val="single" w:sz="4" w:space="0" w:color="auto"/>
              <w:bottom w:val="single" w:sz="4" w:space="0" w:color="auto"/>
              <w:right w:val="single" w:sz="4" w:space="0" w:color="auto"/>
            </w:tcBorders>
            <w:shd w:val="clear" w:color="auto" w:fill="B5DBE7"/>
            <w:vAlign w:val="center"/>
          </w:tcPr>
          <w:p w:rsidR="00376768" w:rsidRDefault="00EC2B72">
            <w:pPr>
              <w:ind w:left="432"/>
              <w:jc w:val="center"/>
              <w:rPr>
                <w:rFonts w:ascii="Arial" w:hAnsi="Arial" w:cs="Arial"/>
                <w:sz w:val="18"/>
                <w:lang w:eastAsia="en-IN"/>
              </w:rPr>
            </w:pPr>
            <w:r>
              <w:rPr>
                <w:rFonts w:ascii="Arial" w:hAnsi="Arial" w:cs="Arial"/>
                <w:b/>
                <w:bCs/>
                <w:sz w:val="18"/>
                <w:lang w:eastAsia="en-IN"/>
              </w:rPr>
              <w:t>2017 Actual Attainment</w:t>
            </w:r>
          </w:p>
        </w:tc>
        <w:tc>
          <w:tcPr>
            <w:tcW w:w="2324" w:type="pct"/>
            <w:tcBorders>
              <w:top w:val="single" w:sz="4" w:space="0" w:color="auto"/>
              <w:left w:val="single" w:sz="4" w:space="0" w:color="auto"/>
              <w:bottom w:val="single" w:sz="4" w:space="0" w:color="auto"/>
              <w:right w:val="single" w:sz="4" w:space="0" w:color="auto"/>
            </w:tcBorders>
            <w:shd w:val="clear" w:color="auto" w:fill="B5DBE7"/>
            <w:vAlign w:val="center"/>
          </w:tcPr>
          <w:p w:rsidR="00376768" w:rsidRDefault="00EC2B72">
            <w:pPr>
              <w:jc w:val="center"/>
              <w:rPr>
                <w:rFonts w:ascii="Arial" w:hAnsi="Arial" w:cs="Arial"/>
                <w:sz w:val="18"/>
                <w:lang w:eastAsia="en-IN"/>
              </w:rPr>
            </w:pPr>
            <w:r>
              <w:rPr>
                <w:rFonts w:ascii="Arial" w:hAnsi="Arial" w:cs="Arial"/>
                <w:b/>
                <w:bCs/>
                <w:sz w:val="18"/>
                <w:lang w:eastAsia="en-IN"/>
              </w:rPr>
              <w:t>2017 Payout as % of Target</w:t>
            </w:r>
          </w:p>
        </w:tc>
      </w:tr>
      <w:tr w:rsidR="00376768">
        <w:trPr>
          <w:jc w:val="center"/>
        </w:trPr>
        <w:tc>
          <w:tcPr>
            <w:tcW w:w="2676" w:type="pct"/>
            <w:tcBorders>
              <w:top w:val="single" w:sz="4" w:space="0" w:color="auto"/>
              <w:left w:val="single" w:sz="4" w:space="0" w:color="auto"/>
              <w:bottom w:val="single" w:sz="4" w:space="0" w:color="auto"/>
            </w:tcBorders>
            <w:vAlign w:val="center"/>
          </w:tcPr>
          <w:p w:rsidR="00376768" w:rsidRDefault="00EC2B72">
            <w:pPr>
              <w:ind w:left="43"/>
              <w:rPr>
                <w:rFonts w:ascii="Arial" w:hAnsi="Arial" w:cs="Arial"/>
                <w:sz w:val="18"/>
                <w:lang w:eastAsia="en-IN"/>
              </w:rPr>
            </w:pPr>
            <w:r>
              <w:rPr>
                <w:rFonts w:ascii="Arial" w:hAnsi="Arial" w:cs="Arial"/>
                <w:b/>
                <w:bCs/>
                <w:sz w:val="18"/>
                <w:lang w:eastAsia="en-IN"/>
              </w:rPr>
              <w:t>Corporate</w:t>
            </w:r>
          </w:p>
        </w:tc>
        <w:tc>
          <w:tcPr>
            <w:tcW w:w="2324" w:type="pct"/>
            <w:tcBorders>
              <w:top w:val="single" w:sz="4" w:space="0" w:color="auto"/>
              <w:bottom w:val="single" w:sz="4" w:space="0" w:color="auto"/>
              <w:right w:val="single" w:sz="4" w:space="0" w:color="auto"/>
            </w:tcBorders>
            <w:vAlign w:val="center"/>
          </w:tcPr>
          <w:p w:rsidR="00376768" w:rsidRDefault="00376768">
            <w:pPr>
              <w:jc w:val="center"/>
              <w:rPr>
                <w:rFonts w:ascii="Arial" w:hAnsi="Arial" w:cs="Arial"/>
                <w:sz w:val="18"/>
                <w:lang w:eastAsia="en-IN"/>
              </w:rPr>
            </w:pPr>
          </w:p>
        </w:tc>
      </w:tr>
      <w:tr w:rsidR="00376768">
        <w:trPr>
          <w:jc w:val="center"/>
        </w:trPr>
        <w:tc>
          <w:tcPr>
            <w:tcW w:w="2676" w:type="pct"/>
            <w:tcBorders>
              <w:top w:val="single" w:sz="4" w:space="0" w:color="auto"/>
              <w:left w:val="single" w:sz="4" w:space="0" w:color="auto"/>
              <w:bottom w:val="single" w:sz="4" w:space="0" w:color="auto"/>
              <w:right w:val="single" w:sz="4" w:space="0" w:color="auto"/>
            </w:tcBorders>
            <w:shd w:val="clear" w:color="auto" w:fill="DEEFF7"/>
            <w:vAlign w:val="center"/>
          </w:tcPr>
          <w:p w:rsidR="00376768" w:rsidRDefault="00EC2B72">
            <w:pPr>
              <w:ind w:left="432"/>
              <w:jc w:val="center"/>
              <w:rPr>
                <w:rFonts w:ascii="Arial" w:hAnsi="Arial" w:cs="Arial"/>
                <w:sz w:val="18"/>
                <w:lang w:eastAsia="en-IN"/>
              </w:rPr>
            </w:pPr>
            <w:r>
              <w:rPr>
                <w:rFonts w:ascii="Arial" w:hAnsi="Arial" w:cs="Arial"/>
                <w:sz w:val="18"/>
                <w:lang w:eastAsia="en-IN"/>
              </w:rPr>
              <w:t>91.87%</w:t>
            </w:r>
          </w:p>
        </w:tc>
        <w:tc>
          <w:tcPr>
            <w:tcW w:w="2324" w:type="pct"/>
            <w:tcBorders>
              <w:top w:val="single" w:sz="4" w:space="0" w:color="auto"/>
              <w:left w:val="single" w:sz="4" w:space="0" w:color="auto"/>
              <w:bottom w:val="single" w:sz="4" w:space="0" w:color="auto"/>
              <w:right w:val="single" w:sz="4" w:space="0" w:color="auto"/>
            </w:tcBorders>
            <w:shd w:val="clear" w:color="auto" w:fill="DEEFF7"/>
            <w:vAlign w:val="center"/>
          </w:tcPr>
          <w:p w:rsidR="00376768" w:rsidRDefault="00EC2B72">
            <w:pPr>
              <w:jc w:val="center"/>
              <w:rPr>
                <w:rFonts w:ascii="Arial" w:hAnsi="Arial" w:cs="Arial"/>
                <w:sz w:val="18"/>
                <w:lang w:eastAsia="en-IN"/>
              </w:rPr>
            </w:pPr>
            <w:r>
              <w:rPr>
                <w:rFonts w:ascii="Arial" w:hAnsi="Arial" w:cs="Arial"/>
                <w:sz w:val="18"/>
                <w:lang w:eastAsia="en-IN"/>
              </w:rPr>
              <w:t>146%</w:t>
            </w:r>
            <w:r>
              <w:rPr>
                <w:rFonts w:ascii="Arial" w:hAnsi="Arial" w:cs="Arial"/>
                <w:sz w:val="18"/>
                <w:vertAlign w:val="superscript"/>
                <w:lang w:eastAsia="en-IN"/>
              </w:rPr>
              <w:t>7</w:t>
            </w:r>
          </w:p>
        </w:tc>
      </w:tr>
      <w:tr w:rsidR="00376768">
        <w:trPr>
          <w:jc w:val="center"/>
        </w:trPr>
        <w:tc>
          <w:tcPr>
            <w:tcW w:w="2676" w:type="pct"/>
            <w:tcBorders>
              <w:top w:val="single" w:sz="4" w:space="0" w:color="auto"/>
              <w:left w:val="single" w:sz="4" w:space="0" w:color="auto"/>
              <w:bottom w:val="single" w:sz="4" w:space="0" w:color="auto"/>
            </w:tcBorders>
            <w:vAlign w:val="center"/>
          </w:tcPr>
          <w:p w:rsidR="00376768" w:rsidRDefault="00EC2B72">
            <w:pPr>
              <w:ind w:left="43"/>
              <w:rPr>
                <w:rFonts w:ascii="Arial" w:hAnsi="Arial" w:cs="Arial"/>
                <w:sz w:val="18"/>
                <w:lang w:eastAsia="en-IN"/>
              </w:rPr>
            </w:pPr>
            <w:r>
              <w:rPr>
                <w:rFonts w:ascii="Arial" w:hAnsi="Arial" w:cs="Arial"/>
                <w:b/>
                <w:bCs/>
                <w:sz w:val="18"/>
                <w:lang w:eastAsia="en-IN"/>
              </w:rPr>
              <w:t>Rail Products</w:t>
            </w:r>
          </w:p>
        </w:tc>
        <w:tc>
          <w:tcPr>
            <w:tcW w:w="2324" w:type="pct"/>
            <w:tcBorders>
              <w:top w:val="single" w:sz="4" w:space="0" w:color="auto"/>
              <w:bottom w:val="single" w:sz="4" w:space="0" w:color="auto"/>
              <w:right w:val="single" w:sz="4" w:space="0" w:color="auto"/>
            </w:tcBorders>
            <w:vAlign w:val="center"/>
          </w:tcPr>
          <w:p w:rsidR="00376768" w:rsidRDefault="00376768">
            <w:pPr>
              <w:jc w:val="center"/>
              <w:rPr>
                <w:rFonts w:ascii="Arial" w:hAnsi="Arial" w:cs="Arial"/>
                <w:sz w:val="18"/>
                <w:lang w:eastAsia="en-IN"/>
              </w:rPr>
            </w:pPr>
          </w:p>
        </w:tc>
      </w:tr>
      <w:tr w:rsidR="00376768">
        <w:trPr>
          <w:jc w:val="center"/>
        </w:trPr>
        <w:tc>
          <w:tcPr>
            <w:tcW w:w="2676" w:type="pct"/>
            <w:tcBorders>
              <w:top w:val="single" w:sz="4" w:space="0" w:color="auto"/>
              <w:left w:val="single" w:sz="4" w:space="0" w:color="auto"/>
              <w:bottom w:val="single" w:sz="4" w:space="0" w:color="auto"/>
              <w:right w:val="single" w:sz="4" w:space="0" w:color="auto"/>
            </w:tcBorders>
            <w:shd w:val="clear" w:color="auto" w:fill="DEEFF7"/>
            <w:vAlign w:val="center"/>
          </w:tcPr>
          <w:p w:rsidR="00376768" w:rsidRDefault="00EC2B72">
            <w:pPr>
              <w:ind w:left="432"/>
              <w:jc w:val="center"/>
              <w:rPr>
                <w:rFonts w:ascii="Arial" w:hAnsi="Arial" w:cs="Arial"/>
                <w:sz w:val="18"/>
                <w:lang w:eastAsia="en-IN"/>
              </w:rPr>
            </w:pPr>
            <w:r>
              <w:rPr>
                <w:rFonts w:ascii="Arial" w:hAnsi="Arial" w:cs="Arial"/>
                <w:sz w:val="18"/>
                <w:lang w:eastAsia="en-IN"/>
              </w:rPr>
              <w:t>98.53%</w:t>
            </w:r>
          </w:p>
        </w:tc>
        <w:tc>
          <w:tcPr>
            <w:tcW w:w="2324" w:type="pct"/>
            <w:tcBorders>
              <w:top w:val="single" w:sz="4" w:space="0" w:color="auto"/>
              <w:left w:val="single" w:sz="4" w:space="0" w:color="auto"/>
              <w:bottom w:val="single" w:sz="4" w:space="0" w:color="auto"/>
              <w:right w:val="single" w:sz="4" w:space="0" w:color="auto"/>
            </w:tcBorders>
            <w:shd w:val="clear" w:color="auto" w:fill="DEEFF7"/>
            <w:vAlign w:val="center"/>
          </w:tcPr>
          <w:p w:rsidR="00376768" w:rsidRDefault="00EC2B72">
            <w:pPr>
              <w:jc w:val="center"/>
              <w:rPr>
                <w:rFonts w:ascii="Arial" w:hAnsi="Arial" w:cs="Arial"/>
                <w:sz w:val="18"/>
                <w:lang w:eastAsia="en-IN"/>
              </w:rPr>
            </w:pPr>
            <w:r>
              <w:rPr>
                <w:rFonts w:ascii="Arial" w:hAnsi="Arial" w:cs="Arial"/>
                <w:sz w:val="18"/>
                <w:lang w:eastAsia="en-IN"/>
              </w:rPr>
              <w:t>108%</w:t>
            </w:r>
          </w:p>
        </w:tc>
      </w:tr>
    </w:tbl>
    <w:p w:rsidR="00376768" w:rsidRDefault="00EC2B72">
      <w:pPr>
        <w:spacing w:before="160"/>
        <w:jc w:val="center"/>
        <w:rPr>
          <w:rFonts w:ascii="Arial" w:hAnsi="Arial" w:cs="Arial"/>
          <w:lang w:eastAsia="en-IN"/>
        </w:rPr>
      </w:pPr>
      <w:r>
        <w:rPr>
          <w:rFonts w:ascii="Arial" w:hAnsi="Arial" w:cs="Arial"/>
          <w:b/>
          <w:bCs/>
          <w:lang w:eastAsia="en-IN"/>
        </w:rPr>
        <w:t>Corporate ROIC and Actual Performance and 2017 Payout</w:t>
      </w:r>
    </w:p>
    <w:tbl>
      <w:tblPr>
        <w:tblW w:w="4000" w:type="pct"/>
        <w:jc w:val="center"/>
        <w:tblLayout w:type="fixed"/>
        <w:tblCellMar>
          <w:left w:w="0" w:type="dxa"/>
          <w:right w:w="0" w:type="dxa"/>
        </w:tblCellMar>
        <w:tblLook w:val="0000" w:firstRow="0" w:lastRow="0" w:firstColumn="0" w:lastColumn="0" w:noHBand="0" w:noVBand="0"/>
      </w:tblPr>
      <w:tblGrid>
        <w:gridCol w:w="2160"/>
        <w:gridCol w:w="2160"/>
        <w:gridCol w:w="2160"/>
        <w:gridCol w:w="2160"/>
      </w:tblGrid>
      <w:tr w:rsidR="00376768">
        <w:trPr>
          <w:jc w:val="center"/>
        </w:trPr>
        <w:tc>
          <w:tcPr>
            <w:tcW w:w="1000" w:type="pct"/>
          </w:tcPr>
          <w:p w:rsidR="00376768" w:rsidRDefault="00376768">
            <w:pPr>
              <w:rPr>
                <w:rFonts w:ascii="Arial" w:hAnsi="Arial" w:cs="Arial"/>
                <w:sz w:val="18"/>
                <w:lang w:eastAsia="en-IN"/>
              </w:rPr>
            </w:pPr>
          </w:p>
        </w:tc>
        <w:tc>
          <w:tcPr>
            <w:tcW w:w="1000" w:type="pct"/>
            <w:tcBorders>
              <w:bottom w:val="single" w:sz="4" w:space="0" w:color="auto"/>
            </w:tcBorders>
          </w:tcPr>
          <w:p w:rsidR="00376768" w:rsidRDefault="00376768">
            <w:pPr>
              <w:rPr>
                <w:rFonts w:ascii="Arial" w:hAnsi="Arial" w:cs="Arial"/>
                <w:b/>
                <w:bCs/>
                <w:sz w:val="18"/>
                <w:lang w:eastAsia="en-IN"/>
              </w:rPr>
            </w:pPr>
          </w:p>
        </w:tc>
        <w:tc>
          <w:tcPr>
            <w:tcW w:w="1000" w:type="pct"/>
            <w:tcBorders>
              <w:bottom w:val="single" w:sz="4" w:space="0" w:color="auto"/>
            </w:tcBorders>
          </w:tcPr>
          <w:p w:rsidR="00376768" w:rsidRDefault="00376768">
            <w:pPr>
              <w:rPr>
                <w:rFonts w:ascii="Arial" w:hAnsi="Arial" w:cs="Arial"/>
                <w:b/>
                <w:bCs/>
                <w:sz w:val="18"/>
                <w:lang w:eastAsia="en-IN"/>
              </w:rPr>
            </w:pPr>
          </w:p>
        </w:tc>
        <w:tc>
          <w:tcPr>
            <w:tcW w:w="1000" w:type="pct"/>
            <w:tcBorders>
              <w:bottom w:val="single" w:sz="4" w:space="0" w:color="auto"/>
            </w:tcBorders>
          </w:tcPr>
          <w:p w:rsidR="00376768" w:rsidRDefault="00376768">
            <w:pPr>
              <w:rPr>
                <w:rFonts w:ascii="Arial" w:hAnsi="Arial" w:cs="Arial"/>
                <w:b/>
                <w:bCs/>
                <w:sz w:val="18"/>
                <w:lang w:eastAsia="en-IN"/>
              </w:rPr>
            </w:pPr>
          </w:p>
        </w:tc>
      </w:tr>
      <w:tr w:rsidR="00376768">
        <w:trPr>
          <w:jc w:val="center"/>
        </w:trPr>
        <w:tc>
          <w:tcPr>
            <w:tcW w:w="1000" w:type="pct"/>
            <w:tcBorders>
              <w:bottom w:val="single" w:sz="4" w:space="0" w:color="auto"/>
              <w:right w:val="single" w:sz="4" w:space="0" w:color="auto"/>
            </w:tcBorders>
          </w:tcPr>
          <w:p w:rsidR="00376768" w:rsidRDefault="00376768">
            <w:pPr>
              <w:rPr>
                <w:rFonts w:ascii="Arial" w:hAnsi="Arial" w:cs="Arial"/>
                <w:sz w:val="18"/>
                <w:lang w:eastAsia="en-IN"/>
              </w:rPr>
            </w:pPr>
          </w:p>
        </w:tc>
        <w:tc>
          <w:tcPr>
            <w:tcW w:w="1000" w:type="pct"/>
            <w:tcBorders>
              <w:top w:val="single" w:sz="4" w:space="0" w:color="auto"/>
              <w:left w:val="single" w:sz="4" w:space="0" w:color="auto"/>
              <w:bottom w:val="single" w:sz="4" w:space="0" w:color="auto"/>
              <w:right w:val="single" w:sz="4" w:space="0" w:color="auto"/>
            </w:tcBorders>
            <w:shd w:val="clear" w:color="auto" w:fill="B5DBE7"/>
          </w:tcPr>
          <w:p w:rsidR="00376768" w:rsidRDefault="00EC2B72">
            <w:pPr>
              <w:jc w:val="center"/>
              <w:rPr>
                <w:rFonts w:ascii="Arial" w:hAnsi="Arial" w:cs="Arial"/>
                <w:sz w:val="18"/>
                <w:lang w:eastAsia="en-IN"/>
              </w:rPr>
            </w:pPr>
            <w:r>
              <w:rPr>
                <w:rFonts w:ascii="Arial" w:hAnsi="Arial" w:cs="Arial"/>
                <w:b/>
                <w:bCs/>
                <w:sz w:val="18"/>
                <w:lang w:eastAsia="en-IN"/>
              </w:rPr>
              <w:t xml:space="preserve">2017 Target </w:t>
            </w:r>
            <w:r>
              <w:rPr>
                <w:rFonts w:ascii="Arial" w:hAnsi="Arial" w:cs="Arial"/>
                <w:b/>
                <w:bCs/>
                <w:sz w:val="18"/>
                <w:lang w:eastAsia="en-IN"/>
              </w:rPr>
              <w:br/>
              <w:t>Performance Goal</w:t>
            </w:r>
          </w:p>
        </w:tc>
        <w:tc>
          <w:tcPr>
            <w:tcW w:w="1000" w:type="pct"/>
            <w:tcBorders>
              <w:top w:val="single" w:sz="4" w:space="0" w:color="auto"/>
              <w:left w:val="single" w:sz="4" w:space="0" w:color="auto"/>
              <w:bottom w:val="single" w:sz="4" w:space="0" w:color="auto"/>
              <w:right w:val="single" w:sz="4" w:space="0" w:color="auto"/>
            </w:tcBorders>
            <w:shd w:val="clear" w:color="auto" w:fill="B5DBE7"/>
          </w:tcPr>
          <w:p w:rsidR="00376768" w:rsidRDefault="00EC2B72">
            <w:pPr>
              <w:jc w:val="center"/>
              <w:rPr>
                <w:rFonts w:ascii="Arial" w:hAnsi="Arial" w:cs="Arial"/>
                <w:sz w:val="18"/>
                <w:lang w:eastAsia="en-IN"/>
              </w:rPr>
            </w:pPr>
            <w:r>
              <w:rPr>
                <w:rFonts w:ascii="Arial" w:hAnsi="Arial" w:cs="Arial"/>
                <w:b/>
                <w:bCs/>
                <w:sz w:val="18"/>
                <w:lang w:eastAsia="en-IN"/>
              </w:rPr>
              <w:t xml:space="preserve">2017 Actual </w:t>
            </w:r>
            <w:r>
              <w:rPr>
                <w:rFonts w:ascii="Arial" w:hAnsi="Arial" w:cs="Arial"/>
                <w:b/>
                <w:bCs/>
                <w:sz w:val="18"/>
                <w:lang w:eastAsia="en-IN"/>
              </w:rPr>
              <w:br/>
              <w:t>Performance</w:t>
            </w:r>
          </w:p>
        </w:tc>
        <w:tc>
          <w:tcPr>
            <w:tcW w:w="1000" w:type="pct"/>
            <w:tcBorders>
              <w:top w:val="single" w:sz="4" w:space="0" w:color="auto"/>
              <w:left w:val="single" w:sz="4" w:space="0" w:color="auto"/>
              <w:bottom w:val="single" w:sz="4" w:space="0" w:color="auto"/>
              <w:right w:val="single" w:sz="4" w:space="0" w:color="auto"/>
            </w:tcBorders>
            <w:shd w:val="clear" w:color="auto" w:fill="B5DBE7"/>
          </w:tcPr>
          <w:p w:rsidR="00376768" w:rsidRDefault="00EC2B72">
            <w:pPr>
              <w:jc w:val="center"/>
              <w:rPr>
                <w:rFonts w:ascii="Arial" w:hAnsi="Arial" w:cs="Arial"/>
                <w:sz w:val="18"/>
                <w:lang w:eastAsia="en-IN"/>
              </w:rPr>
            </w:pPr>
            <w:r>
              <w:rPr>
                <w:rFonts w:ascii="Arial" w:hAnsi="Arial" w:cs="Arial"/>
                <w:b/>
                <w:bCs/>
                <w:sz w:val="18"/>
                <w:lang w:eastAsia="en-IN"/>
              </w:rPr>
              <w:t xml:space="preserve">2017 Payout as a % </w:t>
            </w:r>
            <w:r>
              <w:rPr>
                <w:rFonts w:ascii="Arial" w:hAnsi="Arial" w:cs="Arial"/>
                <w:b/>
                <w:bCs/>
                <w:sz w:val="18"/>
                <w:lang w:eastAsia="en-IN"/>
              </w:rPr>
              <w:br/>
              <w:t>of Target</w:t>
            </w:r>
            <w:r>
              <w:rPr>
                <w:rFonts w:ascii="Arial" w:hAnsi="Arial" w:cs="Arial"/>
                <w:b/>
                <w:bCs/>
                <w:sz w:val="18"/>
                <w:vertAlign w:val="superscript"/>
                <w:lang w:eastAsia="en-IN"/>
              </w:rPr>
              <w:t>7</w:t>
            </w:r>
          </w:p>
        </w:tc>
      </w:tr>
      <w:tr w:rsidR="00376768">
        <w:trPr>
          <w:jc w:val="center"/>
        </w:trPr>
        <w:tc>
          <w:tcPr>
            <w:tcW w:w="1000" w:type="pct"/>
            <w:tcBorders>
              <w:top w:val="single" w:sz="4" w:space="0" w:color="auto"/>
              <w:left w:val="single" w:sz="4" w:space="0" w:color="auto"/>
              <w:bottom w:val="single" w:sz="4" w:space="0" w:color="auto"/>
              <w:right w:val="single" w:sz="4" w:space="0" w:color="auto"/>
            </w:tcBorders>
          </w:tcPr>
          <w:p w:rsidR="00376768" w:rsidRDefault="00EC2B72">
            <w:pPr>
              <w:ind w:left="43"/>
              <w:rPr>
                <w:rFonts w:ascii="Arial" w:hAnsi="Arial" w:cs="Arial"/>
                <w:sz w:val="18"/>
                <w:lang w:eastAsia="en-IN"/>
              </w:rPr>
            </w:pPr>
            <w:r>
              <w:rPr>
                <w:rFonts w:ascii="Arial" w:hAnsi="Arial" w:cs="Arial"/>
                <w:sz w:val="18"/>
                <w:lang w:eastAsia="en-IN"/>
              </w:rPr>
              <w:t>Mr. Bauer</w:t>
            </w:r>
          </w:p>
        </w:tc>
        <w:tc>
          <w:tcPr>
            <w:tcW w:w="1000"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5.69%</w:t>
            </w:r>
          </w:p>
        </w:tc>
        <w:tc>
          <w:tcPr>
            <w:tcW w:w="1000"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6.18%</w:t>
            </w:r>
          </w:p>
        </w:tc>
        <w:tc>
          <w:tcPr>
            <w:tcW w:w="1000"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122%</w:t>
            </w:r>
          </w:p>
        </w:tc>
      </w:tr>
      <w:tr w:rsidR="00376768">
        <w:trPr>
          <w:jc w:val="center"/>
        </w:trPr>
        <w:tc>
          <w:tcPr>
            <w:tcW w:w="1000"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ind w:left="43"/>
              <w:rPr>
                <w:rFonts w:ascii="Arial" w:hAnsi="Arial" w:cs="Arial"/>
                <w:sz w:val="18"/>
                <w:lang w:eastAsia="en-IN"/>
              </w:rPr>
            </w:pPr>
            <w:r>
              <w:rPr>
                <w:rFonts w:ascii="Arial" w:hAnsi="Arial" w:cs="Arial"/>
                <w:sz w:val="18"/>
                <w:lang w:eastAsia="en-IN"/>
              </w:rPr>
              <w:t>Mr. Maloney</w:t>
            </w:r>
          </w:p>
        </w:tc>
        <w:tc>
          <w:tcPr>
            <w:tcW w:w="1000"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5.69%</w:t>
            </w:r>
          </w:p>
        </w:tc>
        <w:tc>
          <w:tcPr>
            <w:tcW w:w="1000"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6.18%</w:t>
            </w:r>
          </w:p>
        </w:tc>
        <w:tc>
          <w:tcPr>
            <w:tcW w:w="1000"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122%</w:t>
            </w:r>
          </w:p>
        </w:tc>
      </w:tr>
      <w:tr w:rsidR="00376768">
        <w:trPr>
          <w:jc w:val="center"/>
        </w:trPr>
        <w:tc>
          <w:tcPr>
            <w:tcW w:w="1000" w:type="pct"/>
            <w:tcBorders>
              <w:top w:val="single" w:sz="4" w:space="0" w:color="auto"/>
              <w:left w:val="single" w:sz="4" w:space="0" w:color="auto"/>
              <w:bottom w:val="single" w:sz="4" w:space="0" w:color="auto"/>
              <w:right w:val="single" w:sz="4" w:space="0" w:color="auto"/>
            </w:tcBorders>
          </w:tcPr>
          <w:p w:rsidR="00376768" w:rsidRDefault="00EC2B72">
            <w:pPr>
              <w:ind w:left="43"/>
              <w:rPr>
                <w:rFonts w:ascii="Arial" w:hAnsi="Arial" w:cs="Arial"/>
                <w:sz w:val="18"/>
                <w:lang w:eastAsia="en-IN"/>
              </w:rPr>
            </w:pPr>
            <w:r>
              <w:rPr>
                <w:rFonts w:ascii="Arial" w:hAnsi="Arial" w:cs="Arial"/>
                <w:sz w:val="18"/>
                <w:lang w:eastAsia="en-IN"/>
              </w:rPr>
              <w:t>Mr. Scanlon</w:t>
            </w:r>
          </w:p>
        </w:tc>
        <w:tc>
          <w:tcPr>
            <w:tcW w:w="1000"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5.69%</w:t>
            </w:r>
          </w:p>
        </w:tc>
        <w:tc>
          <w:tcPr>
            <w:tcW w:w="1000"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6.18%</w:t>
            </w:r>
          </w:p>
        </w:tc>
        <w:tc>
          <w:tcPr>
            <w:tcW w:w="1000"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122%</w:t>
            </w:r>
          </w:p>
        </w:tc>
      </w:tr>
      <w:tr w:rsidR="00376768">
        <w:trPr>
          <w:jc w:val="center"/>
        </w:trPr>
        <w:tc>
          <w:tcPr>
            <w:tcW w:w="1000"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ind w:left="43"/>
              <w:rPr>
                <w:rFonts w:ascii="Arial" w:hAnsi="Arial" w:cs="Arial"/>
                <w:sz w:val="18"/>
                <w:lang w:eastAsia="en-IN"/>
              </w:rPr>
            </w:pPr>
            <w:r>
              <w:rPr>
                <w:rFonts w:ascii="Arial" w:hAnsi="Arial" w:cs="Arial"/>
                <w:sz w:val="18"/>
                <w:lang w:eastAsia="en-IN"/>
              </w:rPr>
              <w:t xml:space="preserve">Mr. </w:t>
            </w:r>
            <w:proofErr w:type="spellStart"/>
            <w:r>
              <w:rPr>
                <w:rFonts w:ascii="Arial" w:hAnsi="Arial" w:cs="Arial"/>
                <w:sz w:val="18"/>
                <w:lang w:eastAsia="en-IN"/>
              </w:rPr>
              <w:t>Guinee</w:t>
            </w:r>
            <w:proofErr w:type="spellEnd"/>
          </w:p>
        </w:tc>
        <w:tc>
          <w:tcPr>
            <w:tcW w:w="1000"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5.69%</w:t>
            </w:r>
          </w:p>
        </w:tc>
        <w:tc>
          <w:tcPr>
            <w:tcW w:w="1000"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6.18%</w:t>
            </w:r>
          </w:p>
        </w:tc>
        <w:tc>
          <w:tcPr>
            <w:tcW w:w="1000"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122%</w:t>
            </w:r>
          </w:p>
        </w:tc>
      </w:tr>
      <w:tr w:rsidR="00376768">
        <w:trPr>
          <w:jc w:val="center"/>
        </w:trPr>
        <w:tc>
          <w:tcPr>
            <w:tcW w:w="1000" w:type="pct"/>
            <w:tcBorders>
              <w:top w:val="single" w:sz="4" w:space="0" w:color="auto"/>
              <w:left w:val="single" w:sz="4" w:space="0" w:color="auto"/>
              <w:bottom w:val="single" w:sz="4" w:space="0" w:color="auto"/>
              <w:right w:val="single" w:sz="4" w:space="0" w:color="auto"/>
            </w:tcBorders>
          </w:tcPr>
          <w:p w:rsidR="00376768" w:rsidRDefault="00EC2B72">
            <w:pPr>
              <w:ind w:left="43"/>
              <w:rPr>
                <w:rFonts w:ascii="Arial" w:hAnsi="Arial" w:cs="Arial"/>
                <w:sz w:val="18"/>
                <w:lang w:eastAsia="en-IN"/>
              </w:rPr>
            </w:pPr>
            <w:r>
              <w:rPr>
                <w:rFonts w:ascii="Arial" w:hAnsi="Arial" w:cs="Arial"/>
                <w:sz w:val="18"/>
                <w:lang w:eastAsia="en-IN"/>
              </w:rPr>
              <w:t>Mr. Kelly</w:t>
            </w:r>
          </w:p>
        </w:tc>
        <w:tc>
          <w:tcPr>
            <w:tcW w:w="1000"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5.69%</w:t>
            </w:r>
          </w:p>
        </w:tc>
        <w:tc>
          <w:tcPr>
            <w:tcW w:w="1000"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6.18%</w:t>
            </w:r>
          </w:p>
        </w:tc>
        <w:tc>
          <w:tcPr>
            <w:tcW w:w="1000"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122%</w:t>
            </w:r>
          </w:p>
        </w:tc>
      </w:tr>
    </w:tbl>
    <w:p w:rsidR="00376768" w:rsidRDefault="00376768">
      <w:pPr>
        <w:spacing w:before="160"/>
        <w:jc w:val="center"/>
        <w:rPr>
          <w:rFonts w:ascii="Arial" w:hAnsi="Arial" w:cs="Arial"/>
          <w:b/>
          <w:bCs/>
          <w:lang w:eastAsia="en-IN"/>
        </w:rPr>
      </w:pPr>
    </w:p>
    <w:p w:rsidR="00376768" w:rsidRDefault="00EC2B72">
      <w:pPr>
        <w:jc w:val="center"/>
        <w:rPr>
          <w:rFonts w:ascii="Arial" w:hAnsi="Arial" w:cs="Arial"/>
          <w:lang w:eastAsia="en-IN"/>
        </w:rPr>
      </w:pPr>
      <w:r>
        <w:rPr>
          <w:rFonts w:ascii="Arial" w:hAnsi="Arial" w:cs="Arial"/>
          <w:b/>
          <w:bCs/>
          <w:lang w:eastAsia="en-IN"/>
        </w:rPr>
        <w:br w:type="page"/>
      </w:r>
      <w:r>
        <w:rPr>
          <w:rFonts w:ascii="Arial" w:hAnsi="Arial" w:cs="Arial"/>
          <w:b/>
          <w:bCs/>
          <w:lang w:eastAsia="en-IN"/>
        </w:rPr>
        <w:lastRenderedPageBreak/>
        <w:t>Corporate Adjusted EBITDA Target and Actual Performance and 2017 Payout</w:t>
      </w:r>
    </w:p>
    <w:tbl>
      <w:tblPr>
        <w:tblW w:w="4000" w:type="pct"/>
        <w:jc w:val="center"/>
        <w:tblLayout w:type="fixed"/>
        <w:tblCellMar>
          <w:left w:w="0" w:type="dxa"/>
          <w:right w:w="0" w:type="dxa"/>
        </w:tblCellMar>
        <w:tblLook w:val="0000" w:firstRow="0" w:lastRow="0" w:firstColumn="0" w:lastColumn="0" w:noHBand="0" w:noVBand="0"/>
      </w:tblPr>
      <w:tblGrid>
        <w:gridCol w:w="2160"/>
        <w:gridCol w:w="2160"/>
        <w:gridCol w:w="2160"/>
        <w:gridCol w:w="2160"/>
      </w:tblGrid>
      <w:tr w:rsidR="00376768">
        <w:trPr>
          <w:jc w:val="center"/>
        </w:trPr>
        <w:tc>
          <w:tcPr>
            <w:tcW w:w="1000" w:type="pct"/>
          </w:tcPr>
          <w:p w:rsidR="00376768" w:rsidRDefault="00376768">
            <w:pPr>
              <w:ind w:left="43"/>
              <w:rPr>
                <w:rFonts w:ascii="Arial" w:hAnsi="Arial" w:cs="Arial"/>
                <w:sz w:val="18"/>
                <w:lang w:eastAsia="en-IN"/>
              </w:rPr>
            </w:pPr>
          </w:p>
        </w:tc>
        <w:tc>
          <w:tcPr>
            <w:tcW w:w="1000" w:type="pct"/>
            <w:tcBorders>
              <w:bottom w:val="single" w:sz="4" w:space="0" w:color="auto"/>
            </w:tcBorders>
          </w:tcPr>
          <w:p w:rsidR="00376768" w:rsidRDefault="00376768">
            <w:pPr>
              <w:rPr>
                <w:rFonts w:ascii="Arial" w:hAnsi="Arial" w:cs="Arial"/>
                <w:sz w:val="18"/>
                <w:lang w:eastAsia="en-IN"/>
              </w:rPr>
            </w:pPr>
          </w:p>
        </w:tc>
        <w:tc>
          <w:tcPr>
            <w:tcW w:w="1000" w:type="pct"/>
            <w:tcBorders>
              <w:bottom w:val="single" w:sz="4" w:space="0" w:color="auto"/>
            </w:tcBorders>
          </w:tcPr>
          <w:p w:rsidR="00376768" w:rsidRDefault="00376768">
            <w:pPr>
              <w:rPr>
                <w:rFonts w:ascii="Arial" w:hAnsi="Arial" w:cs="Arial"/>
                <w:sz w:val="18"/>
                <w:lang w:eastAsia="en-IN"/>
              </w:rPr>
            </w:pPr>
          </w:p>
        </w:tc>
        <w:tc>
          <w:tcPr>
            <w:tcW w:w="1000" w:type="pct"/>
            <w:tcBorders>
              <w:bottom w:val="single" w:sz="4" w:space="0" w:color="auto"/>
            </w:tcBorders>
          </w:tcPr>
          <w:p w:rsidR="00376768" w:rsidRDefault="00376768">
            <w:pPr>
              <w:rPr>
                <w:rFonts w:ascii="Arial" w:hAnsi="Arial" w:cs="Arial"/>
                <w:sz w:val="18"/>
                <w:lang w:eastAsia="en-IN"/>
              </w:rPr>
            </w:pPr>
          </w:p>
        </w:tc>
      </w:tr>
      <w:tr w:rsidR="00376768">
        <w:trPr>
          <w:jc w:val="center"/>
        </w:trPr>
        <w:tc>
          <w:tcPr>
            <w:tcW w:w="1000" w:type="pct"/>
            <w:tcBorders>
              <w:bottom w:val="single" w:sz="4" w:space="0" w:color="auto"/>
              <w:right w:val="single" w:sz="4" w:space="0" w:color="auto"/>
            </w:tcBorders>
          </w:tcPr>
          <w:p w:rsidR="00376768" w:rsidRDefault="00376768">
            <w:pPr>
              <w:ind w:left="43"/>
              <w:rPr>
                <w:rFonts w:ascii="Arial" w:hAnsi="Arial" w:cs="Arial"/>
                <w:sz w:val="18"/>
                <w:lang w:eastAsia="en-IN"/>
              </w:rPr>
            </w:pPr>
          </w:p>
        </w:tc>
        <w:tc>
          <w:tcPr>
            <w:tcW w:w="1000" w:type="pct"/>
            <w:tcBorders>
              <w:top w:val="single" w:sz="4" w:space="0" w:color="auto"/>
              <w:left w:val="single" w:sz="4" w:space="0" w:color="auto"/>
              <w:bottom w:val="single" w:sz="4" w:space="0" w:color="auto"/>
              <w:right w:val="single" w:sz="4" w:space="0" w:color="auto"/>
            </w:tcBorders>
            <w:shd w:val="clear" w:color="auto" w:fill="B5DBE7"/>
          </w:tcPr>
          <w:p w:rsidR="00376768" w:rsidRDefault="00EC2B72">
            <w:pPr>
              <w:jc w:val="center"/>
              <w:rPr>
                <w:rFonts w:ascii="Arial" w:hAnsi="Arial" w:cs="Arial"/>
                <w:sz w:val="18"/>
                <w:lang w:eastAsia="en-IN"/>
              </w:rPr>
            </w:pPr>
            <w:r>
              <w:rPr>
                <w:rFonts w:ascii="Arial" w:hAnsi="Arial" w:cs="Arial"/>
                <w:b/>
                <w:bCs/>
                <w:sz w:val="18"/>
                <w:lang w:eastAsia="en-IN"/>
              </w:rPr>
              <w:t xml:space="preserve">2017 Target </w:t>
            </w:r>
            <w:r>
              <w:rPr>
                <w:rFonts w:ascii="Arial" w:hAnsi="Arial" w:cs="Arial"/>
                <w:b/>
                <w:bCs/>
                <w:sz w:val="18"/>
                <w:lang w:eastAsia="en-IN"/>
              </w:rPr>
              <w:br/>
              <w:t>Performance Goal</w:t>
            </w:r>
          </w:p>
        </w:tc>
        <w:tc>
          <w:tcPr>
            <w:tcW w:w="1000" w:type="pct"/>
            <w:tcBorders>
              <w:top w:val="single" w:sz="4" w:space="0" w:color="auto"/>
              <w:left w:val="single" w:sz="4" w:space="0" w:color="auto"/>
              <w:bottom w:val="single" w:sz="4" w:space="0" w:color="auto"/>
              <w:right w:val="single" w:sz="4" w:space="0" w:color="auto"/>
            </w:tcBorders>
            <w:shd w:val="clear" w:color="auto" w:fill="B5DBE7"/>
          </w:tcPr>
          <w:p w:rsidR="00376768" w:rsidRDefault="00EC2B72">
            <w:pPr>
              <w:jc w:val="center"/>
              <w:rPr>
                <w:rFonts w:ascii="Arial" w:hAnsi="Arial" w:cs="Arial"/>
                <w:sz w:val="18"/>
                <w:lang w:eastAsia="en-IN"/>
              </w:rPr>
            </w:pPr>
            <w:r>
              <w:rPr>
                <w:rFonts w:ascii="Arial" w:hAnsi="Arial" w:cs="Arial"/>
                <w:b/>
                <w:bCs/>
                <w:sz w:val="18"/>
                <w:lang w:eastAsia="en-IN"/>
              </w:rPr>
              <w:t xml:space="preserve">2017 Actual </w:t>
            </w:r>
            <w:r>
              <w:rPr>
                <w:rFonts w:ascii="Arial" w:hAnsi="Arial" w:cs="Arial"/>
                <w:b/>
                <w:bCs/>
                <w:sz w:val="18"/>
                <w:lang w:eastAsia="en-IN"/>
              </w:rPr>
              <w:br/>
              <w:t>Performance</w:t>
            </w:r>
          </w:p>
        </w:tc>
        <w:tc>
          <w:tcPr>
            <w:tcW w:w="1000" w:type="pct"/>
            <w:tcBorders>
              <w:top w:val="single" w:sz="4" w:space="0" w:color="auto"/>
              <w:left w:val="single" w:sz="4" w:space="0" w:color="auto"/>
              <w:bottom w:val="single" w:sz="4" w:space="0" w:color="auto"/>
              <w:right w:val="single" w:sz="4" w:space="0" w:color="auto"/>
            </w:tcBorders>
            <w:shd w:val="clear" w:color="auto" w:fill="B5DBE7"/>
          </w:tcPr>
          <w:p w:rsidR="00376768" w:rsidRDefault="00EC2B72">
            <w:pPr>
              <w:jc w:val="center"/>
              <w:rPr>
                <w:rFonts w:ascii="Arial" w:hAnsi="Arial" w:cs="Arial"/>
                <w:sz w:val="18"/>
                <w:lang w:eastAsia="en-IN"/>
              </w:rPr>
            </w:pPr>
            <w:r>
              <w:rPr>
                <w:rFonts w:ascii="Arial" w:hAnsi="Arial" w:cs="Arial"/>
                <w:b/>
                <w:bCs/>
                <w:sz w:val="18"/>
                <w:lang w:eastAsia="en-IN"/>
              </w:rPr>
              <w:t xml:space="preserve">2017 Payout as a % </w:t>
            </w:r>
            <w:r>
              <w:rPr>
                <w:rFonts w:ascii="Arial" w:hAnsi="Arial" w:cs="Arial"/>
                <w:b/>
                <w:bCs/>
                <w:sz w:val="18"/>
                <w:lang w:eastAsia="en-IN"/>
              </w:rPr>
              <w:br/>
              <w:t>of Target</w:t>
            </w:r>
            <w:r>
              <w:rPr>
                <w:rFonts w:ascii="Arial" w:hAnsi="Arial" w:cs="Arial"/>
                <w:b/>
                <w:bCs/>
                <w:sz w:val="18"/>
                <w:vertAlign w:val="superscript"/>
                <w:lang w:eastAsia="en-IN"/>
              </w:rPr>
              <w:t>7</w:t>
            </w:r>
          </w:p>
        </w:tc>
      </w:tr>
      <w:tr w:rsidR="00376768">
        <w:trPr>
          <w:jc w:val="center"/>
        </w:trPr>
        <w:tc>
          <w:tcPr>
            <w:tcW w:w="1000" w:type="pct"/>
            <w:tcBorders>
              <w:top w:val="single" w:sz="4" w:space="0" w:color="auto"/>
              <w:left w:val="single" w:sz="4" w:space="0" w:color="auto"/>
              <w:bottom w:val="single" w:sz="4" w:space="0" w:color="auto"/>
              <w:right w:val="single" w:sz="4" w:space="0" w:color="auto"/>
            </w:tcBorders>
          </w:tcPr>
          <w:p w:rsidR="00376768" w:rsidRDefault="00EC2B72">
            <w:pPr>
              <w:ind w:left="43"/>
              <w:rPr>
                <w:rFonts w:ascii="Arial" w:hAnsi="Arial" w:cs="Arial"/>
                <w:sz w:val="18"/>
                <w:lang w:eastAsia="en-IN"/>
              </w:rPr>
            </w:pPr>
            <w:r>
              <w:rPr>
                <w:rFonts w:ascii="Arial" w:hAnsi="Arial" w:cs="Arial"/>
                <w:sz w:val="18"/>
                <w:lang w:eastAsia="en-IN"/>
              </w:rPr>
              <w:t>Mr. Bauer</w:t>
            </w:r>
          </w:p>
        </w:tc>
        <w:tc>
          <w:tcPr>
            <w:tcW w:w="1000"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$33,065M</w:t>
            </w:r>
          </w:p>
        </w:tc>
        <w:tc>
          <w:tcPr>
            <w:tcW w:w="1000"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$36,405M</w:t>
            </w:r>
          </w:p>
        </w:tc>
        <w:tc>
          <w:tcPr>
            <w:tcW w:w="1000"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115%</w:t>
            </w:r>
          </w:p>
        </w:tc>
      </w:tr>
      <w:tr w:rsidR="00376768">
        <w:trPr>
          <w:jc w:val="center"/>
        </w:trPr>
        <w:tc>
          <w:tcPr>
            <w:tcW w:w="1000"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ind w:left="43"/>
              <w:rPr>
                <w:rFonts w:ascii="Arial" w:hAnsi="Arial" w:cs="Arial"/>
                <w:sz w:val="18"/>
                <w:lang w:eastAsia="en-IN"/>
              </w:rPr>
            </w:pPr>
            <w:r>
              <w:rPr>
                <w:rFonts w:ascii="Arial" w:hAnsi="Arial" w:cs="Arial"/>
                <w:sz w:val="18"/>
                <w:lang w:eastAsia="en-IN"/>
              </w:rPr>
              <w:t>Mr. Maloney</w:t>
            </w:r>
          </w:p>
        </w:tc>
        <w:tc>
          <w:tcPr>
            <w:tcW w:w="1000"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$33,065M</w:t>
            </w:r>
          </w:p>
        </w:tc>
        <w:tc>
          <w:tcPr>
            <w:tcW w:w="1000"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$36,405M</w:t>
            </w:r>
          </w:p>
        </w:tc>
        <w:tc>
          <w:tcPr>
            <w:tcW w:w="1000"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115%</w:t>
            </w:r>
          </w:p>
        </w:tc>
      </w:tr>
      <w:tr w:rsidR="00376768">
        <w:trPr>
          <w:jc w:val="center"/>
        </w:trPr>
        <w:tc>
          <w:tcPr>
            <w:tcW w:w="1000" w:type="pct"/>
            <w:tcBorders>
              <w:top w:val="single" w:sz="4" w:space="0" w:color="auto"/>
              <w:left w:val="single" w:sz="4" w:space="0" w:color="auto"/>
              <w:bottom w:val="single" w:sz="4" w:space="0" w:color="auto"/>
              <w:right w:val="single" w:sz="4" w:space="0" w:color="auto"/>
            </w:tcBorders>
          </w:tcPr>
          <w:p w:rsidR="00376768" w:rsidRDefault="00EC2B72">
            <w:pPr>
              <w:ind w:left="43"/>
              <w:rPr>
                <w:rFonts w:ascii="Arial" w:hAnsi="Arial" w:cs="Arial"/>
                <w:sz w:val="18"/>
                <w:lang w:eastAsia="en-IN"/>
              </w:rPr>
            </w:pPr>
            <w:r>
              <w:rPr>
                <w:rFonts w:ascii="Arial" w:hAnsi="Arial" w:cs="Arial"/>
                <w:sz w:val="18"/>
                <w:lang w:eastAsia="en-IN"/>
              </w:rPr>
              <w:t>Mr. Scanlon</w:t>
            </w:r>
          </w:p>
        </w:tc>
        <w:tc>
          <w:tcPr>
            <w:tcW w:w="1000"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$33,065M</w:t>
            </w:r>
          </w:p>
        </w:tc>
        <w:tc>
          <w:tcPr>
            <w:tcW w:w="1000"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$36,405M</w:t>
            </w:r>
          </w:p>
        </w:tc>
        <w:tc>
          <w:tcPr>
            <w:tcW w:w="1000"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115%</w:t>
            </w:r>
          </w:p>
        </w:tc>
      </w:tr>
      <w:tr w:rsidR="00376768">
        <w:trPr>
          <w:jc w:val="center"/>
        </w:trPr>
        <w:tc>
          <w:tcPr>
            <w:tcW w:w="1000"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ind w:left="43"/>
              <w:rPr>
                <w:rFonts w:ascii="Arial" w:hAnsi="Arial" w:cs="Arial"/>
                <w:sz w:val="18"/>
                <w:lang w:eastAsia="en-IN"/>
              </w:rPr>
            </w:pPr>
            <w:r>
              <w:rPr>
                <w:rFonts w:ascii="Arial" w:hAnsi="Arial" w:cs="Arial"/>
                <w:sz w:val="18"/>
                <w:lang w:eastAsia="en-IN"/>
              </w:rPr>
              <w:t xml:space="preserve">Mr. </w:t>
            </w:r>
            <w:proofErr w:type="spellStart"/>
            <w:r>
              <w:rPr>
                <w:rFonts w:ascii="Arial" w:hAnsi="Arial" w:cs="Arial"/>
                <w:sz w:val="18"/>
                <w:lang w:eastAsia="en-IN"/>
              </w:rPr>
              <w:t>Kasel</w:t>
            </w:r>
            <w:proofErr w:type="spellEnd"/>
          </w:p>
        </w:tc>
        <w:tc>
          <w:tcPr>
            <w:tcW w:w="1000"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$33,065M</w:t>
            </w:r>
          </w:p>
        </w:tc>
        <w:tc>
          <w:tcPr>
            <w:tcW w:w="1000"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$36,405M</w:t>
            </w:r>
          </w:p>
        </w:tc>
        <w:tc>
          <w:tcPr>
            <w:tcW w:w="1000"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115%</w:t>
            </w:r>
          </w:p>
        </w:tc>
      </w:tr>
      <w:tr w:rsidR="00376768">
        <w:trPr>
          <w:jc w:val="center"/>
        </w:trPr>
        <w:tc>
          <w:tcPr>
            <w:tcW w:w="1000" w:type="pct"/>
            <w:tcBorders>
              <w:top w:val="single" w:sz="4" w:space="0" w:color="auto"/>
              <w:left w:val="single" w:sz="4" w:space="0" w:color="auto"/>
              <w:bottom w:val="single" w:sz="4" w:space="0" w:color="auto"/>
              <w:right w:val="single" w:sz="4" w:space="0" w:color="auto"/>
            </w:tcBorders>
          </w:tcPr>
          <w:p w:rsidR="00376768" w:rsidRDefault="00EC2B72">
            <w:pPr>
              <w:ind w:left="43"/>
              <w:rPr>
                <w:rFonts w:ascii="Arial" w:hAnsi="Arial" w:cs="Arial"/>
                <w:sz w:val="18"/>
                <w:lang w:eastAsia="en-IN"/>
              </w:rPr>
            </w:pPr>
            <w:r>
              <w:rPr>
                <w:rFonts w:ascii="Arial" w:hAnsi="Arial" w:cs="Arial"/>
                <w:sz w:val="18"/>
                <w:lang w:eastAsia="en-IN"/>
              </w:rPr>
              <w:t xml:space="preserve">Mr. </w:t>
            </w:r>
            <w:proofErr w:type="spellStart"/>
            <w:r>
              <w:rPr>
                <w:rFonts w:ascii="Arial" w:hAnsi="Arial" w:cs="Arial"/>
                <w:sz w:val="18"/>
                <w:lang w:eastAsia="en-IN"/>
              </w:rPr>
              <w:t>Guinee</w:t>
            </w:r>
            <w:proofErr w:type="spellEnd"/>
          </w:p>
        </w:tc>
        <w:tc>
          <w:tcPr>
            <w:tcW w:w="1000"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$33,065M</w:t>
            </w:r>
          </w:p>
        </w:tc>
        <w:tc>
          <w:tcPr>
            <w:tcW w:w="1000"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$36,405M</w:t>
            </w:r>
          </w:p>
        </w:tc>
        <w:tc>
          <w:tcPr>
            <w:tcW w:w="1000"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115%</w:t>
            </w:r>
          </w:p>
        </w:tc>
      </w:tr>
      <w:tr w:rsidR="00376768">
        <w:trPr>
          <w:jc w:val="center"/>
        </w:trPr>
        <w:tc>
          <w:tcPr>
            <w:tcW w:w="1000" w:type="pct"/>
            <w:tcBorders>
              <w:top w:val="single" w:sz="4" w:space="0" w:color="auto"/>
              <w:left w:val="single" w:sz="4" w:space="0" w:color="auto"/>
              <w:bottom w:val="single" w:sz="4" w:space="0" w:color="auto"/>
              <w:right w:val="single" w:sz="4" w:space="0" w:color="auto"/>
            </w:tcBorders>
          </w:tcPr>
          <w:p w:rsidR="00376768" w:rsidRDefault="00EC2B72">
            <w:pPr>
              <w:ind w:left="43"/>
              <w:rPr>
                <w:rFonts w:ascii="Arial" w:hAnsi="Arial" w:cs="Arial"/>
                <w:sz w:val="18"/>
                <w:lang w:eastAsia="en-IN"/>
              </w:rPr>
            </w:pPr>
            <w:r>
              <w:rPr>
                <w:rFonts w:ascii="Arial" w:hAnsi="Arial" w:cs="Arial"/>
                <w:sz w:val="18"/>
                <w:lang w:eastAsia="en-IN"/>
              </w:rPr>
              <w:t>Mr. Kelly</w:t>
            </w:r>
          </w:p>
        </w:tc>
        <w:tc>
          <w:tcPr>
            <w:tcW w:w="1000"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$33,065M</w:t>
            </w:r>
          </w:p>
        </w:tc>
        <w:tc>
          <w:tcPr>
            <w:tcW w:w="1000"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$36,405M</w:t>
            </w:r>
          </w:p>
        </w:tc>
        <w:tc>
          <w:tcPr>
            <w:tcW w:w="1000"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115%</w:t>
            </w:r>
          </w:p>
        </w:tc>
      </w:tr>
    </w:tbl>
    <w:p w:rsidR="00376768" w:rsidRDefault="00EC2B72">
      <w:pPr>
        <w:spacing w:before="160"/>
        <w:jc w:val="center"/>
        <w:rPr>
          <w:rFonts w:ascii="Arial" w:hAnsi="Arial" w:cs="Arial"/>
          <w:lang w:eastAsia="en-IN"/>
        </w:rPr>
      </w:pPr>
      <w:r>
        <w:rPr>
          <w:rFonts w:ascii="Arial" w:hAnsi="Arial" w:cs="Arial"/>
          <w:b/>
          <w:bCs/>
          <w:lang w:eastAsia="en-IN"/>
        </w:rPr>
        <w:t>Rail Adjusted EBITDA Income Target and Actual Performance and 2017 Payout</w:t>
      </w:r>
    </w:p>
    <w:tbl>
      <w:tblPr>
        <w:tblW w:w="4000" w:type="pct"/>
        <w:jc w:val="center"/>
        <w:tblLayout w:type="fixed"/>
        <w:tblCellMar>
          <w:left w:w="0" w:type="dxa"/>
          <w:right w:w="0" w:type="dxa"/>
        </w:tblCellMar>
        <w:tblLook w:val="0000" w:firstRow="0" w:lastRow="0" w:firstColumn="0" w:lastColumn="0" w:noHBand="0" w:noVBand="0"/>
      </w:tblPr>
      <w:tblGrid>
        <w:gridCol w:w="2160"/>
        <w:gridCol w:w="2160"/>
        <w:gridCol w:w="2160"/>
        <w:gridCol w:w="2160"/>
      </w:tblGrid>
      <w:tr w:rsidR="00376768">
        <w:trPr>
          <w:jc w:val="center"/>
        </w:trPr>
        <w:tc>
          <w:tcPr>
            <w:tcW w:w="1000" w:type="pct"/>
          </w:tcPr>
          <w:p w:rsidR="00376768" w:rsidRDefault="00376768">
            <w:pPr>
              <w:ind w:left="43"/>
              <w:rPr>
                <w:rFonts w:ascii="Arial" w:hAnsi="Arial" w:cs="Arial"/>
                <w:sz w:val="18"/>
                <w:lang w:eastAsia="en-IN"/>
              </w:rPr>
            </w:pPr>
          </w:p>
        </w:tc>
        <w:tc>
          <w:tcPr>
            <w:tcW w:w="1000" w:type="pct"/>
            <w:tcBorders>
              <w:bottom w:val="single" w:sz="4" w:space="0" w:color="auto"/>
            </w:tcBorders>
          </w:tcPr>
          <w:p w:rsidR="00376768" w:rsidRDefault="00376768">
            <w:pPr>
              <w:ind w:left="43"/>
              <w:rPr>
                <w:rFonts w:ascii="Arial" w:hAnsi="Arial" w:cs="Arial"/>
                <w:b/>
                <w:bCs/>
                <w:sz w:val="18"/>
                <w:lang w:eastAsia="en-IN"/>
              </w:rPr>
            </w:pPr>
          </w:p>
        </w:tc>
        <w:tc>
          <w:tcPr>
            <w:tcW w:w="1000" w:type="pct"/>
            <w:tcBorders>
              <w:bottom w:val="single" w:sz="4" w:space="0" w:color="auto"/>
            </w:tcBorders>
          </w:tcPr>
          <w:p w:rsidR="00376768" w:rsidRDefault="00376768">
            <w:pPr>
              <w:ind w:left="43"/>
              <w:rPr>
                <w:rFonts w:ascii="Arial" w:hAnsi="Arial" w:cs="Arial"/>
                <w:b/>
                <w:bCs/>
                <w:sz w:val="18"/>
                <w:lang w:eastAsia="en-IN"/>
              </w:rPr>
            </w:pPr>
          </w:p>
        </w:tc>
        <w:tc>
          <w:tcPr>
            <w:tcW w:w="1000" w:type="pct"/>
            <w:tcBorders>
              <w:bottom w:val="single" w:sz="4" w:space="0" w:color="auto"/>
            </w:tcBorders>
          </w:tcPr>
          <w:p w:rsidR="00376768" w:rsidRDefault="00376768">
            <w:pPr>
              <w:ind w:left="43"/>
              <w:rPr>
                <w:rFonts w:ascii="Arial" w:hAnsi="Arial" w:cs="Arial"/>
                <w:b/>
                <w:bCs/>
                <w:sz w:val="18"/>
                <w:lang w:eastAsia="en-IN"/>
              </w:rPr>
            </w:pPr>
          </w:p>
        </w:tc>
      </w:tr>
      <w:tr w:rsidR="00376768">
        <w:trPr>
          <w:jc w:val="center"/>
        </w:trPr>
        <w:tc>
          <w:tcPr>
            <w:tcW w:w="1000" w:type="pct"/>
            <w:tcBorders>
              <w:bottom w:val="single" w:sz="4" w:space="0" w:color="auto"/>
              <w:right w:val="single" w:sz="4" w:space="0" w:color="auto"/>
            </w:tcBorders>
          </w:tcPr>
          <w:p w:rsidR="00376768" w:rsidRDefault="00376768">
            <w:pPr>
              <w:ind w:left="43"/>
              <w:rPr>
                <w:rFonts w:ascii="Arial" w:hAnsi="Arial" w:cs="Arial"/>
                <w:sz w:val="18"/>
                <w:lang w:eastAsia="en-IN"/>
              </w:rPr>
            </w:pPr>
          </w:p>
        </w:tc>
        <w:tc>
          <w:tcPr>
            <w:tcW w:w="1000" w:type="pct"/>
            <w:tcBorders>
              <w:top w:val="single" w:sz="4" w:space="0" w:color="auto"/>
              <w:left w:val="single" w:sz="4" w:space="0" w:color="auto"/>
              <w:bottom w:val="single" w:sz="4" w:space="0" w:color="auto"/>
              <w:right w:val="single" w:sz="4" w:space="0" w:color="auto"/>
            </w:tcBorders>
            <w:shd w:val="clear" w:color="auto" w:fill="B5DBE7"/>
          </w:tcPr>
          <w:p w:rsidR="00376768" w:rsidRDefault="00EC2B72">
            <w:pPr>
              <w:ind w:left="43"/>
              <w:jc w:val="center"/>
              <w:rPr>
                <w:rFonts w:ascii="Arial" w:hAnsi="Arial" w:cs="Arial"/>
                <w:sz w:val="18"/>
                <w:lang w:eastAsia="en-IN"/>
              </w:rPr>
            </w:pPr>
            <w:r>
              <w:rPr>
                <w:rFonts w:ascii="Arial" w:hAnsi="Arial" w:cs="Arial"/>
                <w:b/>
                <w:bCs/>
                <w:sz w:val="18"/>
                <w:lang w:eastAsia="en-IN"/>
              </w:rPr>
              <w:t xml:space="preserve">2017 Target </w:t>
            </w:r>
            <w:r>
              <w:rPr>
                <w:rFonts w:ascii="Arial" w:hAnsi="Arial" w:cs="Arial"/>
                <w:b/>
                <w:bCs/>
                <w:sz w:val="18"/>
                <w:lang w:eastAsia="en-IN"/>
              </w:rPr>
              <w:br/>
              <w:t>Performance Goal</w:t>
            </w:r>
          </w:p>
        </w:tc>
        <w:tc>
          <w:tcPr>
            <w:tcW w:w="1000" w:type="pct"/>
            <w:tcBorders>
              <w:top w:val="single" w:sz="4" w:space="0" w:color="auto"/>
              <w:left w:val="single" w:sz="4" w:space="0" w:color="auto"/>
              <w:bottom w:val="single" w:sz="4" w:space="0" w:color="auto"/>
              <w:right w:val="single" w:sz="4" w:space="0" w:color="auto"/>
            </w:tcBorders>
            <w:shd w:val="clear" w:color="auto" w:fill="B5DBE7"/>
          </w:tcPr>
          <w:p w:rsidR="00376768" w:rsidRDefault="00EC2B72">
            <w:pPr>
              <w:ind w:left="43"/>
              <w:jc w:val="center"/>
              <w:rPr>
                <w:rFonts w:ascii="Arial" w:hAnsi="Arial" w:cs="Arial"/>
                <w:sz w:val="18"/>
                <w:lang w:eastAsia="en-IN"/>
              </w:rPr>
            </w:pPr>
            <w:r>
              <w:rPr>
                <w:rFonts w:ascii="Arial" w:hAnsi="Arial" w:cs="Arial"/>
                <w:b/>
                <w:bCs/>
                <w:sz w:val="18"/>
                <w:lang w:eastAsia="en-IN"/>
              </w:rPr>
              <w:t xml:space="preserve">2017 Actual </w:t>
            </w:r>
            <w:r>
              <w:rPr>
                <w:rFonts w:ascii="Arial" w:hAnsi="Arial" w:cs="Arial"/>
                <w:b/>
                <w:bCs/>
                <w:sz w:val="18"/>
                <w:lang w:eastAsia="en-IN"/>
              </w:rPr>
              <w:br/>
              <w:t>Performance</w:t>
            </w:r>
          </w:p>
        </w:tc>
        <w:tc>
          <w:tcPr>
            <w:tcW w:w="1000" w:type="pct"/>
            <w:tcBorders>
              <w:top w:val="single" w:sz="4" w:space="0" w:color="auto"/>
              <w:left w:val="single" w:sz="4" w:space="0" w:color="auto"/>
              <w:bottom w:val="single" w:sz="4" w:space="0" w:color="auto"/>
              <w:right w:val="single" w:sz="4" w:space="0" w:color="auto"/>
            </w:tcBorders>
            <w:shd w:val="clear" w:color="auto" w:fill="B5DBE7"/>
          </w:tcPr>
          <w:p w:rsidR="00376768" w:rsidRDefault="00EC2B72">
            <w:pPr>
              <w:ind w:left="43"/>
              <w:jc w:val="center"/>
              <w:rPr>
                <w:rFonts w:ascii="Arial" w:hAnsi="Arial" w:cs="Arial"/>
                <w:sz w:val="18"/>
                <w:lang w:eastAsia="en-IN"/>
              </w:rPr>
            </w:pPr>
            <w:r>
              <w:rPr>
                <w:rFonts w:ascii="Arial" w:hAnsi="Arial" w:cs="Arial"/>
                <w:b/>
                <w:bCs/>
                <w:sz w:val="18"/>
                <w:lang w:eastAsia="en-IN"/>
              </w:rPr>
              <w:t xml:space="preserve">2017 Payout as a % </w:t>
            </w:r>
            <w:r>
              <w:rPr>
                <w:rFonts w:ascii="Arial" w:hAnsi="Arial" w:cs="Arial"/>
                <w:b/>
                <w:bCs/>
                <w:sz w:val="18"/>
                <w:lang w:eastAsia="en-IN"/>
              </w:rPr>
              <w:br/>
              <w:t>of Target</w:t>
            </w:r>
          </w:p>
        </w:tc>
      </w:tr>
      <w:tr w:rsidR="00376768">
        <w:trPr>
          <w:jc w:val="center"/>
        </w:trPr>
        <w:tc>
          <w:tcPr>
            <w:tcW w:w="1000" w:type="pct"/>
            <w:tcBorders>
              <w:top w:val="single" w:sz="4" w:space="0" w:color="auto"/>
              <w:left w:val="single" w:sz="4" w:space="0" w:color="auto"/>
              <w:bottom w:val="single" w:sz="4" w:space="0" w:color="auto"/>
              <w:right w:val="single" w:sz="4" w:space="0" w:color="auto"/>
            </w:tcBorders>
          </w:tcPr>
          <w:p w:rsidR="00376768" w:rsidRDefault="00EC2B72">
            <w:pPr>
              <w:ind w:left="43"/>
              <w:rPr>
                <w:rFonts w:ascii="Arial" w:hAnsi="Arial" w:cs="Arial"/>
                <w:sz w:val="18"/>
                <w:lang w:eastAsia="en-IN"/>
              </w:rPr>
            </w:pPr>
            <w:r>
              <w:rPr>
                <w:rFonts w:ascii="Arial" w:hAnsi="Arial" w:cs="Arial"/>
                <w:sz w:val="18"/>
                <w:lang w:eastAsia="en-IN"/>
              </w:rPr>
              <w:t xml:space="preserve">Mr. </w:t>
            </w:r>
            <w:proofErr w:type="spellStart"/>
            <w:r>
              <w:rPr>
                <w:rFonts w:ascii="Arial" w:hAnsi="Arial" w:cs="Arial"/>
                <w:sz w:val="18"/>
                <w:lang w:eastAsia="en-IN"/>
              </w:rPr>
              <w:t>Kasel</w:t>
            </w:r>
            <w:proofErr w:type="spellEnd"/>
          </w:p>
        </w:tc>
        <w:tc>
          <w:tcPr>
            <w:tcW w:w="1000" w:type="pct"/>
            <w:tcBorders>
              <w:top w:val="single" w:sz="4" w:space="0" w:color="auto"/>
              <w:left w:val="single" w:sz="4" w:space="0" w:color="auto"/>
              <w:bottom w:val="single" w:sz="4" w:space="0" w:color="auto"/>
              <w:right w:val="single" w:sz="4" w:space="0" w:color="auto"/>
            </w:tcBorders>
          </w:tcPr>
          <w:p w:rsidR="00376768" w:rsidRDefault="00EC2B72">
            <w:pPr>
              <w:ind w:left="43"/>
              <w:jc w:val="center"/>
              <w:rPr>
                <w:rFonts w:ascii="Arial" w:hAnsi="Arial" w:cs="Arial"/>
                <w:sz w:val="18"/>
                <w:lang w:eastAsia="en-IN"/>
              </w:rPr>
            </w:pPr>
            <w:r>
              <w:rPr>
                <w:rFonts w:ascii="Arial" w:hAnsi="Arial" w:cs="Arial"/>
                <w:sz w:val="18"/>
                <w:lang w:eastAsia="en-IN"/>
              </w:rPr>
              <w:t>$37,724M</w:t>
            </w:r>
          </w:p>
        </w:tc>
        <w:tc>
          <w:tcPr>
            <w:tcW w:w="1000" w:type="pct"/>
            <w:tcBorders>
              <w:top w:val="single" w:sz="4" w:space="0" w:color="auto"/>
              <w:left w:val="single" w:sz="4" w:space="0" w:color="auto"/>
              <w:bottom w:val="single" w:sz="4" w:space="0" w:color="auto"/>
              <w:right w:val="single" w:sz="4" w:space="0" w:color="auto"/>
            </w:tcBorders>
          </w:tcPr>
          <w:p w:rsidR="00376768" w:rsidRDefault="00EC2B72">
            <w:pPr>
              <w:ind w:left="43"/>
              <w:jc w:val="center"/>
              <w:rPr>
                <w:rFonts w:ascii="Arial" w:hAnsi="Arial" w:cs="Arial"/>
                <w:sz w:val="18"/>
                <w:lang w:eastAsia="en-IN"/>
              </w:rPr>
            </w:pPr>
            <w:r>
              <w:rPr>
                <w:rFonts w:ascii="Arial" w:hAnsi="Arial" w:cs="Arial"/>
                <w:sz w:val="18"/>
                <w:lang w:eastAsia="en-IN"/>
              </w:rPr>
              <w:t>$32,319M</w:t>
            </w:r>
          </w:p>
        </w:tc>
        <w:tc>
          <w:tcPr>
            <w:tcW w:w="1000" w:type="pct"/>
            <w:tcBorders>
              <w:top w:val="single" w:sz="4" w:space="0" w:color="auto"/>
              <w:left w:val="single" w:sz="4" w:space="0" w:color="auto"/>
              <w:bottom w:val="single" w:sz="4" w:space="0" w:color="auto"/>
              <w:right w:val="single" w:sz="4" w:space="0" w:color="auto"/>
            </w:tcBorders>
          </w:tcPr>
          <w:p w:rsidR="00376768" w:rsidRDefault="00EC2B72">
            <w:pPr>
              <w:ind w:left="43"/>
              <w:jc w:val="center"/>
              <w:rPr>
                <w:rFonts w:ascii="Arial" w:hAnsi="Arial" w:cs="Arial"/>
                <w:sz w:val="18"/>
                <w:lang w:eastAsia="en-IN"/>
              </w:rPr>
            </w:pPr>
            <w:r>
              <w:rPr>
                <w:rFonts w:ascii="Arial" w:hAnsi="Arial" w:cs="Arial"/>
                <w:sz w:val="18"/>
                <w:lang w:eastAsia="en-IN"/>
              </w:rPr>
              <w:t>77%</w:t>
            </w:r>
          </w:p>
        </w:tc>
      </w:tr>
    </w:tbl>
    <w:p w:rsidR="00376768" w:rsidRDefault="00EC2B72">
      <w:pPr>
        <w:spacing w:before="160"/>
        <w:jc w:val="center"/>
        <w:rPr>
          <w:rFonts w:ascii="Arial" w:hAnsi="Arial" w:cs="Arial"/>
          <w:lang w:eastAsia="en-IN"/>
        </w:rPr>
      </w:pPr>
      <w:r>
        <w:rPr>
          <w:rFonts w:ascii="Arial" w:hAnsi="Arial" w:cs="Arial"/>
          <w:b/>
          <w:bCs/>
          <w:lang w:eastAsia="en-IN"/>
        </w:rPr>
        <w:t>Corporate Working Capital as a % of Sales Target and Actual Performance and 2017 Payout</w:t>
      </w:r>
    </w:p>
    <w:tbl>
      <w:tblPr>
        <w:tblW w:w="4000" w:type="pct"/>
        <w:jc w:val="center"/>
        <w:tblLayout w:type="fixed"/>
        <w:tblCellMar>
          <w:left w:w="0" w:type="dxa"/>
          <w:right w:w="0" w:type="dxa"/>
        </w:tblCellMar>
        <w:tblLook w:val="0000" w:firstRow="0" w:lastRow="0" w:firstColumn="0" w:lastColumn="0" w:noHBand="0" w:noVBand="0"/>
      </w:tblPr>
      <w:tblGrid>
        <w:gridCol w:w="2160"/>
        <w:gridCol w:w="2160"/>
        <w:gridCol w:w="2160"/>
        <w:gridCol w:w="2160"/>
      </w:tblGrid>
      <w:tr w:rsidR="00376768">
        <w:trPr>
          <w:jc w:val="center"/>
        </w:trPr>
        <w:tc>
          <w:tcPr>
            <w:tcW w:w="1250" w:type="pct"/>
          </w:tcPr>
          <w:p w:rsidR="00376768" w:rsidRDefault="00376768">
            <w:pPr>
              <w:ind w:left="43"/>
              <w:rPr>
                <w:rFonts w:ascii="Arial" w:hAnsi="Arial" w:cs="Arial"/>
                <w:sz w:val="18"/>
                <w:lang w:eastAsia="en-IN"/>
              </w:rPr>
            </w:pPr>
          </w:p>
        </w:tc>
        <w:tc>
          <w:tcPr>
            <w:tcW w:w="1250" w:type="pct"/>
            <w:tcBorders>
              <w:bottom w:val="single" w:sz="4" w:space="0" w:color="auto"/>
            </w:tcBorders>
          </w:tcPr>
          <w:p w:rsidR="00376768" w:rsidRDefault="00376768">
            <w:pPr>
              <w:rPr>
                <w:rFonts w:ascii="Arial" w:hAnsi="Arial" w:cs="Arial"/>
                <w:b/>
                <w:bCs/>
                <w:sz w:val="18"/>
                <w:lang w:eastAsia="en-IN"/>
              </w:rPr>
            </w:pPr>
          </w:p>
        </w:tc>
        <w:tc>
          <w:tcPr>
            <w:tcW w:w="1250" w:type="pct"/>
            <w:tcBorders>
              <w:bottom w:val="single" w:sz="4" w:space="0" w:color="auto"/>
            </w:tcBorders>
          </w:tcPr>
          <w:p w:rsidR="00376768" w:rsidRDefault="00376768">
            <w:pPr>
              <w:rPr>
                <w:rFonts w:ascii="Arial" w:hAnsi="Arial" w:cs="Arial"/>
                <w:b/>
                <w:bCs/>
                <w:sz w:val="18"/>
                <w:lang w:eastAsia="en-IN"/>
              </w:rPr>
            </w:pPr>
          </w:p>
        </w:tc>
        <w:tc>
          <w:tcPr>
            <w:tcW w:w="1250" w:type="pct"/>
            <w:tcBorders>
              <w:bottom w:val="single" w:sz="4" w:space="0" w:color="auto"/>
            </w:tcBorders>
          </w:tcPr>
          <w:p w:rsidR="00376768" w:rsidRDefault="00376768">
            <w:pPr>
              <w:rPr>
                <w:rFonts w:ascii="Arial" w:hAnsi="Arial" w:cs="Arial"/>
                <w:b/>
                <w:bCs/>
                <w:sz w:val="18"/>
                <w:lang w:eastAsia="en-IN"/>
              </w:rPr>
            </w:pPr>
          </w:p>
        </w:tc>
      </w:tr>
      <w:tr w:rsidR="00376768">
        <w:trPr>
          <w:jc w:val="center"/>
        </w:trPr>
        <w:tc>
          <w:tcPr>
            <w:tcW w:w="1250" w:type="pct"/>
            <w:tcBorders>
              <w:bottom w:val="single" w:sz="4" w:space="0" w:color="auto"/>
              <w:right w:val="single" w:sz="4" w:space="0" w:color="auto"/>
            </w:tcBorders>
          </w:tcPr>
          <w:p w:rsidR="00376768" w:rsidRDefault="00376768">
            <w:pPr>
              <w:ind w:left="43"/>
              <w:rPr>
                <w:rFonts w:ascii="Arial" w:hAnsi="Arial" w:cs="Arial"/>
                <w:sz w:val="18"/>
                <w:lang w:eastAsia="en-IN"/>
              </w:rPr>
            </w:pPr>
          </w:p>
        </w:tc>
        <w:tc>
          <w:tcPr>
            <w:tcW w:w="1250" w:type="pct"/>
            <w:tcBorders>
              <w:top w:val="single" w:sz="4" w:space="0" w:color="auto"/>
              <w:left w:val="single" w:sz="4" w:space="0" w:color="auto"/>
              <w:bottom w:val="single" w:sz="4" w:space="0" w:color="auto"/>
              <w:right w:val="single" w:sz="4" w:space="0" w:color="auto"/>
            </w:tcBorders>
            <w:shd w:val="clear" w:color="auto" w:fill="B5DBE7"/>
          </w:tcPr>
          <w:p w:rsidR="00376768" w:rsidRDefault="00EC2B72">
            <w:pPr>
              <w:jc w:val="center"/>
              <w:rPr>
                <w:rFonts w:ascii="Arial" w:hAnsi="Arial" w:cs="Arial"/>
                <w:sz w:val="18"/>
                <w:lang w:eastAsia="en-IN"/>
              </w:rPr>
            </w:pPr>
            <w:r>
              <w:rPr>
                <w:rFonts w:ascii="Arial" w:hAnsi="Arial" w:cs="Arial"/>
                <w:b/>
                <w:bCs/>
                <w:sz w:val="18"/>
                <w:lang w:eastAsia="en-IN"/>
              </w:rPr>
              <w:t xml:space="preserve">2017 Target </w:t>
            </w:r>
            <w:r>
              <w:rPr>
                <w:rFonts w:ascii="Arial" w:hAnsi="Arial" w:cs="Arial"/>
                <w:b/>
                <w:bCs/>
                <w:sz w:val="18"/>
                <w:lang w:eastAsia="en-IN"/>
              </w:rPr>
              <w:br/>
              <w:t>Performance Goal</w:t>
            </w:r>
          </w:p>
        </w:tc>
        <w:tc>
          <w:tcPr>
            <w:tcW w:w="1250" w:type="pct"/>
            <w:tcBorders>
              <w:top w:val="single" w:sz="4" w:space="0" w:color="auto"/>
              <w:left w:val="single" w:sz="4" w:space="0" w:color="auto"/>
              <w:bottom w:val="single" w:sz="4" w:space="0" w:color="auto"/>
              <w:right w:val="single" w:sz="4" w:space="0" w:color="auto"/>
            </w:tcBorders>
            <w:shd w:val="clear" w:color="auto" w:fill="B5DBE7"/>
          </w:tcPr>
          <w:p w:rsidR="00376768" w:rsidRDefault="00EC2B72">
            <w:pPr>
              <w:jc w:val="center"/>
              <w:rPr>
                <w:rFonts w:ascii="Arial" w:hAnsi="Arial" w:cs="Arial"/>
                <w:sz w:val="18"/>
                <w:lang w:eastAsia="en-IN"/>
              </w:rPr>
            </w:pPr>
            <w:r>
              <w:rPr>
                <w:rFonts w:ascii="Arial" w:hAnsi="Arial" w:cs="Arial"/>
                <w:b/>
                <w:bCs/>
                <w:sz w:val="18"/>
                <w:lang w:eastAsia="en-IN"/>
              </w:rPr>
              <w:t xml:space="preserve">2017 Actual </w:t>
            </w:r>
            <w:r>
              <w:rPr>
                <w:rFonts w:ascii="Arial" w:hAnsi="Arial" w:cs="Arial"/>
                <w:b/>
                <w:bCs/>
                <w:sz w:val="18"/>
                <w:lang w:eastAsia="en-IN"/>
              </w:rPr>
              <w:br/>
              <w:t>Performance</w:t>
            </w:r>
          </w:p>
        </w:tc>
        <w:tc>
          <w:tcPr>
            <w:tcW w:w="1250" w:type="pct"/>
            <w:tcBorders>
              <w:top w:val="single" w:sz="4" w:space="0" w:color="auto"/>
              <w:left w:val="single" w:sz="4" w:space="0" w:color="auto"/>
              <w:bottom w:val="single" w:sz="4" w:space="0" w:color="auto"/>
              <w:right w:val="single" w:sz="4" w:space="0" w:color="auto"/>
            </w:tcBorders>
            <w:shd w:val="clear" w:color="auto" w:fill="B5DBE7"/>
          </w:tcPr>
          <w:p w:rsidR="00376768" w:rsidRDefault="00EC2B72">
            <w:pPr>
              <w:jc w:val="center"/>
              <w:rPr>
                <w:rFonts w:ascii="Arial" w:hAnsi="Arial" w:cs="Arial"/>
                <w:sz w:val="18"/>
                <w:lang w:eastAsia="en-IN"/>
              </w:rPr>
            </w:pPr>
            <w:r>
              <w:rPr>
                <w:rFonts w:ascii="Arial" w:hAnsi="Arial" w:cs="Arial"/>
                <w:b/>
                <w:bCs/>
                <w:sz w:val="18"/>
                <w:lang w:eastAsia="en-IN"/>
              </w:rPr>
              <w:t xml:space="preserve">2017 Payout as a % </w:t>
            </w:r>
            <w:r>
              <w:rPr>
                <w:rFonts w:ascii="Arial" w:hAnsi="Arial" w:cs="Arial"/>
                <w:b/>
                <w:bCs/>
                <w:sz w:val="18"/>
                <w:lang w:eastAsia="en-IN"/>
              </w:rPr>
              <w:br/>
              <w:t>of Target</w:t>
            </w:r>
            <w:r>
              <w:rPr>
                <w:rFonts w:ascii="Arial" w:hAnsi="Arial" w:cs="Arial"/>
                <w:b/>
                <w:bCs/>
                <w:sz w:val="18"/>
                <w:vertAlign w:val="superscript"/>
                <w:lang w:eastAsia="en-IN"/>
              </w:rPr>
              <w:t>7</w:t>
            </w:r>
          </w:p>
        </w:tc>
      </w:tr>
      <w:tr w:rsidR="00376768">
        <w:trPr>
          <w:jc w:val="center"/>
        </w:trPr>
        <w:tc>
          <w:tcPr>
            <w:tcW w:w="1250" w:type="pct"/>
            <w:tcBorders>
              <w:top w:val="single" w:sz="4" w:space="0" w:color="auto"/>
              <w:left w:val="single" w:sz="4" w:space="0" w:color="auto"/>
              <w:bottom w:val="single" w:sz="4" w:space="0" w:color="auto"/>
              <w:right w:val="single" w:sz="4" w:space="0" w:color="auto"/>
            </w:tcBorders>
          </w:tcPr>
          <w:p w:rsidR="00376768" w:rsidRDefault="00EC2B72">
            <w:pPr>
              <w:ind w:left="43"/>
              <w:rPr>
                <w:rFonts w:ascii="Arial" w:hAnsi="Arial" w:cs="Arial"/>
                <w:sz w:val="18"/>
                <w:lang w:eastAsia="en-IN"/>
              </w:rPr>
            </w:pPr>
            <w:r>
              <w:rPr>
                <w:rFonts w:ascii="Arial" w:hAnsi="Arial" w:cs="Arial"/>
                <w:sz w:val="18"/>
                <w:lang w:eastAsia="en-IN"/>
              </w:rPr>
              <w:t>Mr. Bauer</w:t>
            </w:r>
          </w:p>
        </w:tc>
        <w:tc>
          <w:tcPr>
            <w:tcW w:w="1250"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21.9%</w:t>
            </w:r>
          </w:p>
        </w:tc>
        <w:tc>
          <w:tcPr>
            <w:tcW w:w="1250"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20.12%</w:t>
            </w:r>
          </w:p>
        </w:tc>
        <w:tc>
          <w:tcPr>
            <w:tcW w:w="1250"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146%</w:t>
            </w:r>
          </w:p>
        </w:tc>
      </w:tr>
      <w:tr w:rsidR="00376768">
        <w:trPr>
          <w:jc w:val="center"/>
        </w:trPr>
        <w:tc>
          <w:tcPr>
            <w:tcW w:w="1250"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ind w:left="43"/>
              <w:rPr>
                <w:rFonts w:ascii="Arial" w:hAnsi="Arial" w:cs="Arial"/>
                <w:sz w:val="18"/>
                <w:lang w:eastAsia="en-IN"/>
              </w:rPr>
            </w:pPr>
            <w:r>
              <w:rPr>
                <w:rFonts w:ascii="Arial" w:hAnsi="Arial" w:cs="Arial"/>
                <w:sz w:val="18"/>
                <w:lang w:eastAsia="en-IN"/>
              </w:rPr>
              <w:t>Mr. Maloney</w:t>
            </w:r>
          </w:p>
        </w:tc>
        <w:tc>
          <w:tcPr>
            <w:tcW w:w="1250"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21.9%</w:t>
            </w:r>
          </w:p>
        </w:tc>
        <w:tc>
          <w:tcPr>
            <w:tcW w:w="1250"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20.12%</w:t>
            </w:r>
          </w:p>
        </w:tc>
        <w:tc>
          <w:tcPr>
            <w:tcW w:w="1250"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146%</w:t>
            </w:r>
          </w:p>
        </w:tc>
      </w:tr>
      <w:tr w:rsidR="00376768">
        <w:trPr>
          <w:jc w:val="center"/>
        </w:trPr>
        <w:tc>
          <w:tcPr>
            <w:tcW w:w="1250" w:type="pct"/>
            <w:tcBorders>
              <w:top w:val="single" w:sz="4" w:space="0" w:color="auto"/>
              <w:left w:val="single" w:sz="4" w:space="0" w:color="auto"/>
              <w:bottom w:val="single" w:sz="4" w:space="0" w:color="auto"/>
              <w:right w:val="single" w:sz="4" w:space="0" w:color="auto"/>
            </w:tcBorders>
          </w:tcPr>
          <w:p w:rsidR="00376768" w:rsidRDefault="00EC2B72">
            <w:pPr>
              <w:ind w:left="43"/>
              <w:rPr>
                <w:rFonts w:ascii="Arial" w:hAnsi="Arial" w:cs="Arial"/>
                <w:sz w:val="18"/>
                <w:lang w:eastAsia="en-IN"/>
              </w:rPr>
            </w:pPr>
            <w:r>
              <w:rPr>
                <w:rFonts w:ascii="Arial" w:hAnsi="Arial" w:cs="Arial"/>
                <w:sz w:val="18"/>
                <w:lang w:eastAsia="en-IN"/>
              </w:rPr>
              <w:t>Mr. Scanlon</w:t>
            </w:r>
          </w:p>
        </w:tc>
        <w:tc>
          <w:tcPr>
            <w:tcW w:w="1250"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21.9%</w:t>
            </w:r>
          </w:p>
        </w:tc>
        <w:tc>
          <w:tcPr>
            <w:tcW w:w="1250"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20.12%</w:t>
            </w:r>
          </w:p>
        </w:tc>
        <w:tc>
          <w:tcPr>
            <w:tcW w:w="1250"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146%</w:t>
            </w:r>
          </w:p>
        </w:tc>
      </w:tr>
      <w:tr w:rsidR="00376768">
        <w:trPr>
          <w:jc w:val="center"/>
        </w:trPr>
        <w:tc>
          <w:tcPr>
            <w:tcW w:w="1250"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ind w:left="43"/>
              <w:rPr>
                <w:rFonts w:ascii="Arial" w:hAnsi="Arial" w:cs="Arial"/>
                <w:sz w:val="18"/>
                <w:lang w:eastAsia="en-IN"/>
              </w:rPr>
            </w:pPr>
            <w:r>
              <w:rPr>
                <w:rFonts w:ascii="Arial" w:hAnsi="Arial" w:cs="Arial"/>
                <w:sz w:val="18"/>
                <w:lang w:eastAsia="en-IN"/>
              </w:rPr>
              <w:t xml:space="preserve">Mr. </w:t>
            </w:r>
            <w:proofErr w:type="spellStart"/>
            <w:r>
              <w:rPr>
                <w:rFonts w:ascii="Arial" w:hAnsi="Arial" w:cs="Arial"/>
                <w:sz w:val="18"/>
                <w:lang w:eastAsia="en-IN"/>
              </w:rPr>
              <w:t>Guinee</w:t>
            </w:r>
            <w:proofErr w:type="spellEnd"/>
          </w:p>
        </w:tc>
        <w:tc>
          <w:tcPr>
            <w:tcW w:w="1250"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21.9%</w:t>
            </w:r>
          </w:p>
        </w:tc>
        <w:tc>
          <w:tcPr>
            <w:tcW w:w="1250"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20.12%</w:t>
            </w:r>
          </w:p>
        </w:tc>
        <w:tc>
          <w:tcPr>
            <w:tcW w:w="1250"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146%</w:t>
            </w:r>
          </w:p>
        </w:tc>
      </w:tr>
      <w:tr w:rsidR="00376768">
        <w:trPr>
          <w:jc w:val="center"/>
        </w:trPr>
        <w:tc>
          <w:tcPr>
            <w:tcW w:w="1250" w:type="pct"/>
            <w:tcBorders>
              <w:top w:val="single" w:sz="4" w:space="0" w:color="auto"/>
              <w:left w:val="single" w:sz="4" w:space="0" w:color="auto"/>
              <w:bottom w:val="single" w:sz="4" w:space="0" w:color="auto"/>
              <w:right w:val="single" w:sz="4" w:space="0" w:color="auto"/>
            </w:tcBorders>
          </w:tcPr>
          <w:p w:rsidR="00376768" w:rsidRDefault="00EC2B72">
            <w:pPr>
              <w:ind w:left="43"/>
              <w:rPr>
                <w:rFonts w:ascii="Arial" w:hAnsi="Arial" w:cs="Arial"/>
                <w:sz w:val="18"/>
                <w:lang w:eastAsia="en-IN"/>
              </w:rPr>
            </w:pPr>
            <w:r>
              <w:rPr>
                <w:rFonts w:ascii="Arial" w:hAnsi="Arial" w:cs="Arial"/>
                <w:sz w:val="18"/>
                <w:lang w:eastAsia="en-IN"/>
              </w:rPr>
              <w:t>Mr. Kelly</w:t>
            </w:r>
          </w:p>
        </w:tc>
        <w:tc>
          <w:tcPr>
            <w:tcW w:w="1250"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21.9%</w:t>
            </w:r>
          </w:p>
        </w:tc>
        <w:tc>
          <w:tcPr>
            <w:tcW w:w="1250"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20.12%</w:t>
            </w:r>
          </w:p>
        </w:tc>
        <w:tc>
          <w:tcPr>
            <w:tcW w:w="1250"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146%</w:t>
            </w:r>
          </w:p>
        </w:tc>
      </w:tr>
    </w:tbl>
    <w:p w:rsidR="00376768" w:rsidRDefault="00EC2B72">
      <w:pPr>
        <w:spacing w:before="160"/>
        <w:jc w:val="center"/>
        <w:rPr>
          <w:rFonts w:ascii="Arial" w:hAnsi="Arial" w:cs="Arial"/>
          <w:lang w:eastAsia="en-IN"/>
        </w:rPr>
      </w:pPr>
      <w:r>
        <w:rPr>
          <w:rFonts w:ascii="Arial" w:hAnsi="Arial" w:cs="Arial"/>
          <w:b/>
          <w:bCs/>
          <w:lang w:eastAsia="en-IN"/>
        </w:rPr>
        <w:t>Rail Working Capital as a % of Sales Target and Actual Performance and 2017 Payout</w:t>
      </w:r>
    </w:p>
    <w:tbl>
      <w:tblPr>
        <w:tblW w:w="4000" w:type="pct"/>
        <w:jc w:val="center"/>
        <w:tblLayout w:type="fixed"/>
        <w:tblCellMar>
          <w:left w:w="0" w:type="dxa"/>
          <w:right w:w="0" w:type="dxa"/>
        </w:tblCellMar>
        <w:tblLook w:val="0000" w:firstRow="0" w:lastRow="0" w:firstColumn="0" w:lastColumn="0" w:noHBand="0" w:noVBand="0"/>
      </w:tblPr>
      <w:tblGrid>
        <w:gridCol w:w="2160"/>
        <w:gridCol w:w="2160"/>
        <w:gridCol w:w="2160"/>
        <w:gridCol w:w="2160"/>
      </w:tblGrid>
      <w:tr w:rsidR="00376768">
        <w:trPr>
          <w:jc w:val="center"/>
        </w:trPr>
        <w:tc>
          <w:tcPr>
            <w:tcW w:w="1000" w:type="pct"/>
          </w:tcPr>
          <w:p w:rsidR="00376768" w:rsidRDefault="00376768">
            <w:pPr>
              <w:rPr>
                <w:rFonts w:ascii="Arial" w:hAnsi="Arial" w:cs="Arial"/>
                <w:sz w:val="18"/>
                <w:lang w:eastAsia="en-IN"/>
              </w:rPr>
            </w:pPr>
          </w:p>
        </w:tc>
        <w:tc>
          <w:tcPr>
            <w:tcW w:w="1000" w:type="pct"/>
            <w:tcBorders>
              <w:bottom w:val="single" w:sz="4" w:space="0" w:color="auto"/>
            </w:tcBorders>
          </w:tcPr>
          <w:p w:rsidR="00376768" w:rsidRDefault="00376768">
            <w:pPr>
              <w:rPr>
                <w:rFonts w:ascii="Arial" w:hAnsi="Arial" w:cs="Arial"/>
                <w:sz w:val="18"/>
                <w:lang w:eastAsia="en-IN"/>
              </w:rPr>
            </w:pPr>
          </w:p>
        </w:tc>
        <w:tc>
          <w:tcPr>
            <w:tcW w:w="1000" w:type="pct"/>
            <w:tcBorders>
              <w:bottom w:val="single" w:sz="4" w:space="0" w:color="auto"/>
            </w:tcBorders>
          </w:tcPr>
          <w:p w:rsidR="00376768" w:rsidRDefault="00376768">
            <w:pPr>
              <w:rPr>
                <w:rFonts w:ascii="Arial" w:hAnsi="Arial" w:cs="Arial"/>
                <w:sz w:val="18"/>
                <w:lang w:eastAsia="en-IN"/>
              </w:rPr>
            </w:pPr>
          </w:p>
        </w:tc>
        <w:tc>
          <w:tcPr>
            <w:tcW w:w="1000" w:type="pct"/>
            <w:tcBorders>
              <w:bottom w:val="single" w:sz="4" w:space="0" w:color="auto"/>
            </w:tcBorders>
          </w:tcPr>
          <w:p w:rsidR="00376768" w:rsidRDefault="00376768">
            <w:pPr>
              <w:rPr>
                <w:rFonts w:ascii="Arial" w:hAnsi="Arial" w:cs="Arial"/>
                <w:sz w:val="18"/>
                <w:lang w:eastAsia="en-IN"/>
              </w:rPr>
            </w:pPr>
          </w:p>
        </w:tc>
      </w:tr>
      <w:tr w:rsidR="00376768">
        <w:trPr>
          <w:jc w:val="center"/>
        </w:trPr>
        <w:tc>
          <w:tcPr>
            <w:tcW w:w="1000" w:type="pct"/>
            <w:tcBorders>
              <w:bottom w:val="single" w:sz="4" w:space="0" w:color="auto"/>
              <w:right w:val="single" w:sz="4" w:space="0" w:color="auto"/>
            </w:tcBorders>
          </w:tcPr>
          <w:p w:rsidR="00376768" w:rsidRDefault="00376768">
            <w:pPr>
              <w:rPr>
                <w:rFonts w:ascii="Arial" w:hAnsi="Arial" w:cs="Arial"/>
                <w:sz w:val="18"/>
                <w:lang w:eastAsia="en-IN"/>
              </w:rPr>
            </w:pPr>
          </w:p>
        </w:tc>
        <w:tc>
          <w:tcPr>
            <w:tcW w:w="1000" w:type="pct"/>
            <w:tcBorders>
              <w:top w:val="single" w:sz="4" w:space="0" w:color="auto"/>
              <w:left w:val="single" w:sz="4" w:space="0" w:color="auto"/>
              <w:bottom w:val="single" w:sz="4" w:space="0" w:color="auto"/>
              <w:right w:val="single" w:sz="4" w:space="0" w:color="auto"/>
            </w:tcBorders>
            <w:shd w:val="clear" w:color="auto" w:fill="B5DBE7"/>
          </w:tcPr>
          <w:p w:rsidR="00376768" w:rsidRDefault="00EC2B72">
            <w:pPr>
              <w:jc w:val="center"/>
              <w:rPr>
                <w:rFonts w:ascii="Arial" w:hAnsi="Arial" w:cs="Arial"/>
                <w:sz w:val="18"/>
                <w:lang w:eastAsia="en-IN"/>
              </w:rPr>
            </w:pPr>
            <w:r>
              <w:rPr>
                <w:rFonts w:ascii="Arial" w:hAnsi="Arial" w:cs="Arial"/>
                <w:b/>
                <w:bCs/>
                <w:sz w:val="18"/>
                <w:lang w:eastAsia="en-IN"/>
              </w:rPr>
              <w:t xml:space="preserve">2017 Target </w:t>
            </w:r>
            <w:r>
              <w:rPr>
                <w:rFonts w:ascii="Arial" w:hAnsi="Arial" w:cs="Arial"/>
                <w:b/>
                <w:bCs/>
                <w:sz w:val="18"/>
                <w:lang w:eastAsia="en-IN"/>
              </w:rPr>
              <w:br/>
              <w:t>Performance Goal</w:t>
            </w:r>
          </w:p>
        </w:tc>
        <w:tc>
          <w:tcPr>
            <w:tcW w:w="1000" w:type="pct"/>
            <w:tcBorders>
              <w:top w:val="single" w:sz="4" w:space="0" w:color="auto"/>
              <w:left w:val="single" w:sz="4" w:space="0" w:color="auto"/>
              <w:bottom w:val="single" w:sz="4" w:space="0" w:color="auto"/>
              <w:right w:val="single" w:sz="4" w:space="0" w:color="auto"/>
            </w:tcBorders>
            <w:shd w:val="clear" w:color="auto" w:fill="B5DBE7"/>
          </w:tcPr>
          <w:p w:rsidR="00376768" w:rsidRDefault="00EC2B72">
            <w:pPr>
              <w:jc w:val="center"/>
              <w:rPr>
                <w:rFonts w:ascii="Arial" w:hAnsi="Arial" w:cs="Arial"/>
                <w:sz w:val="18"/>
                <w:lang w:eastAsia="en-IN"/>
              </w:rPr>
            </w:pPr>
            <w:r>
              <w:rPr>
                <w:rFonts w:ascii="Arial" w:hAnsi="Arial" w:cs="Arial"/>
                <w:b/>
                <w:bCs/>
                <w:sz w:val="18"/>
                <w:lang w:eastAsia="en-IN"/>
              </w:rPr>
              <w:t xml:space="preserve">2017 Actual </w:t>
            </w:r>
            <w:r>
              <w:rPr>
                <w:rFonts w:ascii="Arial" w:hAnsi="Arial" w:cs="Arial"/>
                <w:b/>
                <w:bCs/>
                <w:sz w:val="18"/>
                <w:lang w:eastAsia="en-IN"/>
              </w:rPr>
              <w:br/>
              <w:t>Performance</w:t>
            </w:r>
          </w:p>
        </w:tc>
        <w:tc>
          <w:tcPr>
            <w:tcW w:w="1000" w:type="pct"/>
            <w:tcBorders>
              <w:top w:val="single" w:sz="4" w:space="0" w:color="auto"/>
              <w:left w:val="single" w:sz="4" w:space="0" w:color="auto"/>
              <w:bottom w:val="single" w:sz="4" w:space="0" w:color="auto"/>
              <w:right w:val="single" w:sz="4" w:space="0" w:color="auto"/>
            </w:tcBorders>
            <w:shd w:val="clear" w:color="auto" w:fill="B5DBE7"/>
          </w:tcPr>
          <w:p w:rsidR="00376768" w:rsidRDefault="00EC2B72">
            <w:pPr>
              <w:jc w:val="center"/>
              <w:rPr>
                <w:rFonts w:ascii="Arial" w:hAnsi="Arial" w:cs="Arial"/>
                <w:sz w:val="18"/>
                <w:lang w:eastAsia="en-IN"/>
              </w:rPr>
            </w:pPr>
            <w:r>
              <w:rPr>
                <w:rFonts w:ascii="Arial" w:hAnsi="Arial" w:cs="Arial"/>
                <w:b/>
                <w:bCs/>
                <w:sz w:val="18"/>
                <w:lang w:eastAsia="en-IN"/>
              </w:rPr>
              <w:t xml:space="preserve">2017 Payout as a % </w:t>
            </w:r>
            <w:r>
              <w:rPr>
                <w:rFonts w:ascii="Arial" w:hAnsi="Arial" w:cs="Arial"/>
                <w:b/>
                <w:bCs/>
                <w:sz w:val="18"/>
                <w:lang w:eastAsia="en-IN"/>
              </w:rPr>
              <w:br/>
              <w:t>of Target</w:t>
            </w:r>
          </w:p>
        </w:tc>
      </w:tr>
      <w:tr w:rsidR="00376768">
        <w:trPr>
          <w:jc w:val="center"/>
        </w:trPr>
        <w:tc>
          <w:tcPr>
            <w:tcW w:w="1000" w:type="pct"/>
            <w:tcBorders>
              <w:top w:val="single" w:sz="4" w:space="0" w:color="auto"/>
              <w:left w:val="single" w:sz="4" w:space="0" w:color="auto"/>
              <w:bottom w:val="single" w:sz="4" w:space="0" w:color="auto"/>
              <w:right w:val="single" w:sz="4" w:space="0" w:color="auto"/>
            </w:tcBorders>
          </w:tcPr>
          <w:p w:rsidR="00376768" w:rsidRDefault="00EC2B72">
            <w:pPr>
              <w:ind w:left="43"/>
              <w:rPr>
                <w:rFonts w:ascii="Arial" w:hAnsi="Arial" w:cs="Arial"/>
                <w:sz w:val="18"/>
                <w:lang w:eastAsia="en-IN"/>
              </w:rPr>
            </w:pPr>
            <w:r>
              <w:rPr>
                <w:rFonts w:ascii="Arial" w:hAnsi="Arial" w:cs="Arial"/>
                <w:sz w:val="18"/>
                <w:lang w:eastAsia="en-IN"/>
              </w:rPr>
              <w:t xml:space="preserve">Mr. </w:t>
            </w:r>
            <w:proofErr w:type="spellStart"/>
            <w:r>
              <w:rPr>
                <w:rFonts w:ascii="Arial" w:hAnsi="Arial" w:cs="Arial"/>
                <w:sz w:val="18"/>
                <w:lang w:eastAsia="en-IN"/>
              </w:rPr>
              <w:t>Kasel</w:t>
            </w:r>
            <w:proofErr w:type="spellEnd"/>
          </w:p>
        </w:tc>
        <w:tc>
          <w:tcPr>
            <w:tcW w:w="1000"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19.3%</w:t>
            </w:r>
          </w:p>
        </w:tc>
        <w:tc>
          <w:tcPr>
            <w:tcW w:w="1000"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19.02%</w:t>
            </w:r>
          </w:p>
        </w:tc>
        <w:tc>
          <w:tcPr>
            <w:tcW w:w="1000"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108%</w:t>
            </w:r>
          </w:p>
        </w:tc>
      </w:tr>
    </w:tbl>
    <w:p w:rsidR="00376768" w:rsidRDefault="00EC2B72">
      <w:pPr>
        <w:spacing w:before="160"/>
        <w:ind w:firstLine="360"/>
        <w:jc w:val="both"/>
        <w:rPr>
          <w:rFonts w:ascii="Arial" w:hAnsi="Arial" w:cs="Arial"/>
        </w:rPr>
      </w:pPr>
      <w:r>
        <w:rPr>
          <w:rFonts w:ascii="Arial" w:hAnsi="Arial" w:cs="Arial"/>
          <w:lang w:eastAsia="en-IN"/>
        </w:rPr>
        <w:t xml:space="preserve">Actual cash incentive awards earned and paid to the NEOs under the 2017 Annual Plan in 2017 are included in the Summary Compensation Table on page 54 under the column heading </w:t>
      </w:r>
      <w:r>
        <w:rPr>
          <w:rFonts w:ascii="Arial" w:hAnsi="Arial" w:cs="Arial"/>
          <w:i/>
          <w:iCs/>
          <w:lang w:eastAsia="en-IN"/>
        </w:rPr>
        <w:t>Non-Equity Incentive Plan Compensation.</w:t>
      </w:r>
    </w:p>
    <w:p w:rsidR="00376768" w:rsidRDefault="00EC2B72">
      <w:pPr>
        <w:spacing w:before="160"/>
        <w:ind w:left="360"/>
        <w:jc w:val="both"/>
        <w:rPr>
          <w:rFonts w:ascii="Arial" w:hAnsi="Arial" w:cs="Arial"/>
        </w:rPr>
      </w:pPr>
      <w:r>
        <w:rPr>
          <w:rFonts w:ascii="Arial" w:hAnsi="Arial" w:cs="Arial"/>
          <w:i/>
          <w:iCs/>
          <w:lang w:eastAsia="en-IN"/>
        </w:rPr>
        <w:t>Long-Term Incentive Plan</w:t>
      </w:r>
    </w:p>
    <w:p w:rsidR="00376768" w:rsidRDefault="00EC2B72">
      <w:pPr>
        <w:spacing w:before="160"/>
        <w:ind w:left="360"/>
        <w:jc w:val="both"/>
        <w:rPr>
          <w:rFonts w:ascii="Arial" w:hAnsi="Arial" w:cs="Arial"/>
        </w:rPr>
      </w:pPr>
      <w:r>
        <w:rPr>
          <w:rFonts w:ascii="Arial" w:hAnsi="Arial" w:cs="Arial"/>
          <w:i/>
          <w:iCs/>
          <w:lang w:eastAsia="en-IN"/>
        </w:rPr>
        <w:t>2017 Long-Term Incentive Awards</w:t>
      </w:r>
    </w:p>
    <w:p w:rsidR="00376768" w:rsidRDefault="00EC2B72">
      <w:pPr>
        <w:spacing w:before="160"/>
        <w:ind w:firstLine="360"/>
        <w:jc w:val="both"/>
        <w:rPr>
          <w:rFonts w:ascii="Arial" w:hAnsi="Arial" w:cs="Arial"/>
        </w:rPr>
      </w:pPr>
      <w:r>
        <w:rPr>
          <w:rFonts w:ascii="Arial" w:hAnsi="Arial" w:cs="Arial"/>
          <w:lang w:eastAsia="en-IN"/>
        </w:rPr>
        <w:t>The LTIP under the 2006 Omnibus Incentive Plan provides (i) NEOs with an incentive to remain with the Company, (ii) a means for NEOs to build ownership in the Company, and (iii) alignment with the value of NEOs’ awards and the Company’s long-term financial performance. In 2017, the Committee approved annual grants of equity to each NEO, consisting of two components: time-vested restricted stock and PSUs.</w:t>
      </w:r>
    </w:p>
    <w:p w:rsidR="00376768" w:rsidRDefault="00EC2B72">
      <w:pPr>
        <w:spacing w:before="160"/>
        <w:ind w:firstLine="360"/>
        <w:jc w:val="both"/>
        <w:rPr>
          <w:rFonts w:ascii="Arial" w:hAnsi="Arial" w:cs="Arial"/>
        </w:rPr>
      </w:pPr>
      <w:r>
        <w:rPr>
          <w:rFonts w:ascii="Arial" w:hAnsi="Arial" w:cs="Arial"/>
          <w:lang w:eastAsia="en-IN"/>
        </w:rPr>
        <w:t>For each NEO, 25% of the target long-term incentive value was granted in the form of time-vested restricted stock, which vests ratably in one-third installments over a three-year period from grant. The average closing price per share of the Company’s common stock during the first 15 calendar days of February 2017 was used to determine the number of shares granted to each executive, other than Mr. Maloney. Mr. Maloney was granted shares in consideration of the market analysis provided by the company’s executive compensation consultant, with such shares issued at the closing price of the Company’s common stock on his date of hire</w:t>
      </w:r>
      <w:r>
        <w:rPr>
          <w:rFonts w:ascii="Arial" w:hAnsi="Arial" w:cs="Arial"/>
          <w:b/>
          <w:bCs/>
          <w:lang w:eastAsia="en-IN"/>
        </w:rPr>
        <w:t xml:space="preserve">. </w:t>
      </w:r>
      <w:r>
        <w:rPr>
          <w:rFonts w:ascii="Arial" w:hAnsi="Arial" w:cs="Arial"/>
          <w:lang w:eastAsia="en-IN"/>
        </w:rPr>
        <w:t>The Committee believes that restricted stock awards recognize the cyclicality of the Company’s markets, promote executive retention and build ownership in the Company. Restricted stock also aligns our NEOs’ compensation and Company performance by conditioning a portion of the incentive opportunity upon appreciation of share value.</w:t>
      </w:r>
    </w:p>
    <w:p w:rsidR="00376768" w:rsidRDefault="00EC2B72">
      <w:pPr>
        <w:spacing w:before="160"/>
        <w:ind w:firstLine="360"/>
        <w:jc w:val="both"/>
        <w:rPr>
          <w:rFonts w:ascii="Arial" w:hAnsi="Arial" w:cs="Arial"/>
        </w:rPr>
      </w:pPr>
      <w:r>
        <w:rPr>
          <w:rFonts w:ascii="Arial" w:hAnsi="Arial" w:cs="Arial"/>
          <w:lang w:eastAsia="en-IN"/>
        </w:rPr>
        <w:t>The remaining 75% of a NEO’s target long-term incentive award for 2017 was distributed in the form of PSUs, with the number of units determined in the same manner as the portion granted in restricted stock for each NEO, including the CEO. The PSUs have a performance period of January 1, 2017 through December 31, 2019, and will be converted into Company common stock based upon the Company’s achievement of two equally-weighted performance goals of Average ROIC and EBITDA CAGR, each measured over a cumulative three-year performance period. The PSUs are designed to align compensation and Company performance by making our NEOs’ long-term incentive compensation over a three-year performance period contingent upon the Company’s 2017-2019 Average ROIC and EBITDA CAGR.</w:t>
      </w:r>
    </w:p>
    <w:p w:rsidR="00390411" w:rsidRDefault="00390411">
      <w:pPr>
        <w:rPr>
          <w:rFonts w:ascii="Arial" w:hAnsi="Arial" w:cs="Arial"/>
          <w:lang w:eastAsia="en-IN"/>
        </w:rPr>
      </w:pPr>
      <w:r>
        <w:rPr>
          <w:rFonts w:ascii="Arial" w:hAnsi="Arial" w:cs="Arial"/>
          <w:lang w:eastAsia="en-IN"/>
        </w:rPr>
        <w:br w:type="page"/>
      </w:r>
    </w:p>
    <w:p w:rsidR="00376768" w:rsidRDefault="00EC2B72" w:rsidP="004C05D2">
      <w:pPr>
        <w:ind w:firstLine="360"/>
        <w:jc w:val="both"/>
        <w:rPr>
          <w:rFonts w:ascii="Arial" w:hAnsi="Arial" w:cs="Arial"/>
          <w:lang w:eastAsia="en-IN"/>
        </w:rPr>
      </w:pPr>
      <w:r>
        <w:rPr>
          <w:rFonts w:ascii="Arial" w:hAnsi="Arial" w:cs="Arial"/>
          <w:lang w:eastAsia="en-IN"/>
        </w:rPr>
        <w:lastRenderedPageBreak/>
        <w:t xml:space="preserve">In 2017, the Committee approved the following target long-term incentive values for each NEO, to be allocated between restricted stock awards and PSUs: </w:t>
      </w:r>
    </w:p>
    <w:tbl>
      <w:tblPr>
        <w:tblW w:w="2000" w:type="pct"/>
        <w:jc w:val="center"/>
        <w:tblLayout w:type="fixed"/>
        <w:tblCellMar>
          <w:left w:w="0" w:type="dxa"/>
          <w:right w:w="0" w:type="dxa"/>
        </w:tblCellMar>
        <w:tblLook w:val="0000" w:firstRow="0" w:lastRow="0" w:firstColumn="0" w:lastColumn="0" w:noHBand="0" w:noVBand="0"/>
      </w:tblPr>
      <w:tblGrid>
        <w:gridCol w:w="2160"/>
        <w:gridCol w:w="2160"/>
      </w:tblGrid>
      <w:tr w:rsidR="00376768">
        <w:trPr>
          <w:jc w:val="center"/>
        </w:trPr>
        <w:tc>
          <w:tcPr>
            <w:tcW w:w="1000" w:type="pct"/>
            <w:tcBorders>
              <w:bottom w:val="single" w:sz="4" w:space="0" w:color="auto"/>
            </w:tcBorders>
          </w:tcPr>
          <w:p w:rsidR="00376768" w:rsidRDefault="00376768">
            <w:pPr>
              <w:ind w:left="43"/>
              <w:rPr>
                <w:rFonts w:ascii="Arial" w:hAnsi="Arial" w:cs="Arial"/>
                <w:sz w:val="18"/>
                <w:lang w:eastAsia="en-IN"/>
              </w:rPr>
            </w:pPr>
          </w:p>
        </w:tc>
        <w:tc>
          <w:tcPr>
            <w:tcW w:w="1000" w:type="pct"/>
            <w:tcBorders>
              <w:bottom w:val="single" w:sz="4" w:space="0" w:color="auto"/>
            </w:tcBorders>
          </w:tcPr>
          <w:p w:rsidR="00376768" w:rsidRDefault="00376768">
            <w:pPr>
              <w:rPr>
                <w:rFonts w:ascii="Arial" w:hAnsi="Arial" w:cs="Arial"/>
                <w:sz w:val="18"/>
                <w:lang w:eastAsia="en-IN"/>
              </w:rPr>
            </w:pPr>
          </w:p>
        </w:tc>
      </w:tr>
      <w:tr w:rsidR="00376768">
        <w:trPr>
          <w:jc w:val="center"/>
        </w:trPr>
        <w:tc>
          <w:tcPr>
            <w:tcW w:w="1000" w:type="pct"/>
            <w:tcBorders>
              <w:top w:val="single" w:sz="4" w:space="0" w:color="auto"/>
              <w:left w:val="single" w:sz="4" w:space="0" w:color="auto"/>
              <w:bottom w:val="single" w:sz="4" w:space="0" w:color="auto"/>
              <w:right w:val="single" w:sz="4" w:space="0" w:color="auto"/>
            </w:tcBorders>
            <w:shd w:val="clear" w:color="auto" w:fill="B5DBE7"/>
          </w:tcPr>
          <w:p w:rsidR="00376768" w:rsidRDefault="00EC2B72">
            <w:pPr>
              <w:ind w:left="43"/>
              <w:jc w:val="center"/>
              <w:rPr>
                <w:rFonts w:ascii="Arial" w:hAnsi="Arial" w:cs="Arial"/>
                <w:sz w:val="18"/>
                <w:lang w:eastAsia="en-IN"/>
              </w:rPr>
            </w:pPr>
            <w:r>
              <w:rPr>
                <w:rFonts w:ascii="Arial" w:hAnsi="Arial" w:cs="Arial"/>
                <w:b/>
                <w:bCs/>
                <w:sz w:val="18"/>
                <w:lang w:eastAsia="en-IN"/>
              </w:rPr>
              <w:t>Name</w:t>
            </w:r>
          </w:p>
        </w:tc>
        <w:tc>
          <w:tcPr>
            <w:tcW w:w="1000" w:type="pct"/>
            <w:tcBorders>
              <w:top w:val="single" w:sz="4" w:space="0" w:color="auto"/>
              <w:left w:val="single" w:sz="4" w:space="0" w:color="auto"/>
              <w:bottom w:val="single" w:sz="4" w:space="0" w:color="auto"/>
              <w:right w:val="single" w:sz="4" w:space="0" w:color="auto"/>
            </w:tcBorders>
            <w:shd w:val="clear" w:color="auto" w:fill="B5DBE7"/>
          </w:tcPr>
          <w:p w:rsidR="00376768" w:rsidRDefault="00EC2B72">
            <w:pPr>
              <w:jc w:val="center"/>
              <w:rPr>
                <w:rFonts w:ascii="Arial" w:hAnsi="Arial" w:cs="Arial"/>
                <w:sz w:val="18"/>
                <w:lang w:eastAsia="en-IN"/>
              </w:rPr>
            </w:pPr>
            <w:r>
              <w:rPr>
                <w:rFonts w:ascii="Arial" w:hAnsi="Arial" w:cs="Arial"/>
                <w:b/>
                <w:bCs/>
                <w:sz w:val="18"/>
                <w:lang w:eastAsia="en-IN"/>
              </w:rPr>
              <w:t>Target ($)</w:t>
            </w:r>
          </w:p>
        </w:tc>
      </w:tr>
      <w:tr w:rsidR="00376768">
        <w:trPr>
          <w:jc w:val="center"/>
        </w:trPr>
        <w:tc>
          <w:tcPr>
            <w:tcW w:w="1000" w:type="pct"/>
            <w:tcBorders>
              <w:top w:val="single" w:sz="4" w:space="0" w:color="auto"/>
              <w:left w:val="single" w:sz="4" w:space="0" w:color="auto"/>
              <w:bottom w:val="single" w:sz="4" w:space="0" w:color="auto"/>
              <w:right w:val="single" w:sz="4" w:space="0" w:color="auto"/>
            </w:tcBorders>
          </w:tcPr>
          <w:p w:rsidR="00376768" w:rsidRDefault="00EC2B72">
            <w:pPr>
              <w:ind w:left="43"/>
              <w:rPr>
                <w:rFonts w:ascii="Arial" w:hAnsi="Arial" w:cs="Arial"/>
                <w:sz w:val="18"/>
                <w:lang w:eastAsia="en-IN"/>
              </w:rPr>
            </w:pPr>
            <w:r>
              <w:rPr>
                <w:rFonts w:ascii="Arial" w:hAnsi="Arial" w:cs="Arial"/>
                <w:sz w:val="18"/>
                <w:lang w:eastAsia="en-IN"/>
              </w:rPr>
              <w:t>Robert P. Bauer</w:t>
            </w:r>
          </w:p>
        </w:tc>
        <w:tc>
          <w:tcPr>
            <w:tcW w:w="1000"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$700,000</w:t>
            </w:r>
          </w:p>
        </w:tc>
      </w:tr>
      <w:tr w:rsidR="00376768">
        <w:trPr>
          <w:jc w:val="center"/>
        </w:trPr>
        <w:tc>
          <w:tcPr>
            <w:tcW w:w="1000"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ind w:left="43"/>
              <w:rPr>
                <w:rFonts w:ascii="Arial" w:hAnsi="Arial" w:cs="Arial"/>
                <w:sz w:val="18"/>
                <w:lang w:eastAsia="en-IN"/>
              </w:rPr>
            </w:pPr>
            <w:r>
              <w:rPr>
                <w:rFonts w:ascii="Arial" w:hAnsi="Arial" w:cs="Arial"/>
                <w:sz w:val="18"/>
                <w:lang w:eastAsia="en-IN"/>
              </w:rPr>
              <w:t>James P. Maloney</w:t>
            </w:r>
          </w:p>
        </w:tc>
        <w:tc>
          <w:tcPr>
            <w:tcW w:w="1000"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$225,000</w:t>
            </w:r>
          </w:p>
        </w:tc>
      </w:tr>
      <w:tr w:rsidR="00376768">
        <w:trPr>
          <w:jc w:val="center"/>
        </w:trPr>
        <w:tc>
          <w:tcPr>
            <w:tcW w:w="1000" w:type="pct"/>
            <w:tcBorders>
              <w:top w:val="single" w:sz="4" w:space="0" w:color="auto"/>
              <w:left w:val="single" w:sz="4" w:space="0" w:color="auto"/>
              <w:bottom w:val="single" w:sz="4" w:space="0" w:color="auto"/>
              <w:right w:val="single" w:sz="4" w:space="0" w:color="auto"/>
            </w:tcBorders>
          </w:tcPr>
          <w:p w:rsidR="00376768" w:rsidRDefault="00EC2B72">
            <w:pPr>
              <w:ind w:left="43"/>
              <w:rPr>
                <w:rFonts w:ascii="Arial" w:hAnsi="Arial" w:cs="Arial"/>
                <w:sz w:val="18"/>
                <w:lang w:eastAsia="en-IN"/>
              </w:rPr>
            </w:pPr>
            <w:r>
              <w:rPr>
                <w:rFonts w:ascii="Arial" w:hAnsi="Arial" w:cs="Arial"/>
                <w:sz w:val="18"/>
                <w:lang w:eastAsia="en-IN"/>
              </w:rPr>
              <w:t>David J. Russo*</w:t>
            </w:r>
          </w:p>
        </w:tc>
        <w:tc>
          <w:tcPr>
            <w:tcW w:w="1000"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$300,000</w:t>
            </w:r>
          </w:p>
        </w:tc>
      </w:tr>
      <w:tr w:rsidR="00376768">
        <w:trPr>
          <w:jc w:val="center"/>
        </w:trPr>
        <w:tc>
          <w:tcPr>
            <w:tcW w:w="1000"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ind w:left="43"/>
              <w:rPr>
                <w:rFonts w:ascii="Arial" w:hAnsi="Arial" w:cs="Arial"/>
                <w:sz w:val="18"/>
                <w:lang w:eastAsia="en-IN"/>
              </w:rPr>
            </w:pPr>
            <w:r>
              <w:rPr>
                <w:rFonts w:ascii="Arial" w:hAnsi="Arial" w:cs="Arial"/>
                <w:sz w:val="18"/>
                <w:lang w:eastAsia="en-IN"/>
              </w:rPr>
              <w:t>Christopher T. Scanlon</w:t>
            </w:r>
          </w:p>
        </w:tc>
        <w:tc>
          <w:tcPr>
            <w:tcW w:w="1000"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$90,000</w:t>
            </w:r>
          </w:p>
        </w:tc>
      </w:tr>
      <w:tr w:rsidR="00376768">
        <w:trPr>
          <w:jc w:val="center"/>
        </w:trPr>
        <w:tc>
          <w:tcPr>
            <w:tcW w:w="1000" w:type="pct"/>
            <w:tcBorders>
              <w:top w:val="single" w:sz="4" w:space="0" w:color="auto"/>
              <w:left w:val="single" w:sz="4" w:space="0" w:color="auto"/>
              <w:bottom w:val="single" w:sz="4" w:space="0" w:color="auto"/>
              <w:right w:val="single" w:sz="4" w:space="0" w:color="auto"/>
            </w:tcBorders>
          </w:tcPr>
          <w:p w:rsidR="00376768" w:rsidRDefault="00EC2B72">
            <w:pPr>
              <w:ind w:left="43"/>
              <w:rPr>
                <w:rFonts w:ascii="Arial" w:hAnsi="Arial" w:cs="Arial"/>
                <w:sz w:val="18"/>
                <w:lang w:eastAsia="en-IN"/>
              </w:rPr>
            </w:pPr>
            <w:r>
              <w:rPr>
                <w:rFonts w:ascii="Arial" w:hAnsi="Arial" w:cs="Arial"/>
                <w:sz w:val="18"/>
                <w:lang w:eastAsia="en-IN"/>
              </w:rPr>
              <w:t xml:space="preserve">John F. </w:t>
            </w:r>
            <w:proofErr w:type="spellStart"/>
            <w:r>
              <w:rPr>
                <w:rFonts w:ascii="Arial" w:hAnsi="Arial" w:cs="Arial"/>
                <w:sz w:val="18"/>
                <w:lang w:eastAsia="en-IN"/>
              </w:rPr>
              <w:t>Kasel</w:t>
            </w:r>
            <w:proofErr w:type="spellEnd"/>
          </w:p>
        </w:tc>
        <w:tc>
          <w:tcPr>
            <w:tcW w:w="1000"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$230,000</w:t>
            </w:r>
          </w:p>
        </w:tc>
      </w:tr>
      <w:tr w:rsidR="00376768">
        <w:trPr>
          <w:jc w:val="center"/>
        </w:trPr>
        <w:tc>
          <w:tcPr>
            <w:tcW w:w="1000"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ind w:left="43"/>
              <w:rPr>
                <w:rFonts w:ascii="Arial" w:hAnsi="Arial" w:cs="Arial"/>
                <w:sz w:val="18"/>
                <w:lang w:eastAsia="en-IN"/>
              </w:rPr>
            </w:pPr>
            <w:r>
              <w:rPr>
                <w:rFonts w:ascii="Arial" w:hAnsi="Arial" w:cs="Arial"/>
                <w:sz w:val="18"/>
                <w:lang w:eastAsia="en-IN"/>
              </w:rPr>
              <w:t xml:space="preserve">Patrick J. </w:t>
            </w:r>
            <w:proofErr w:type="spellStart"/>
            <w:r>
              <w:rPr>
                <w:rFonts w:ascii="Arial" w:hAnsi="Arial" w:cs="Arial"/>
                <w:sz w:val="18"/>
                <w:lang w:eastAsia="en-IN"/>
              </w:rPr>
              <w:t>Guinee</w:t>
            </w:r>
            <w:proofErr w:type="spellEnd"/>
          </w:p>
        </w:tc>
        <w:tc>
          <w:tcPr>
            <w:tcW w:w="1000"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$160,000</w:t>
            </w:r>
          </w:p>
        </w:tc>
      </w:tr>
      <w:tr w:rsidR="00376768">
        <w:trPr>
          <w:jc w:val="center"/>
        </w:trPr>
        <w:tc>
          <w:tcPr>
            <w:tcW w:w="1000" w:type="pct"/>
            <w:tcBorders>
              <w:top w:val="single" w:sz="4" w:space="0" w:color="auto"/>
              <w:left w:val="single" w:sz="4" w:space="0" w:color="auto"/>
              <w:bottom w:val="single" w:sz="4" w:space="0" w:color="auto"/>
              <w:right w:val="single" w:sz="4" w:space="0" w:color="auto"/>
            </w:tcBorders>
          </w:tcPr>
          <w:p w:rsidR="00376768" w:rsidRDefault="00EC2B72">
            <w:pPr>
              <w:ind w:left="43"/>
              <w:rPr>
                <w:rFonts w:ascii="Arial" w:hAnsi="Arial" w:cs="Arial"/>
                <w:sz w:val="18"/>
                <w:lang w:eastAsia="en-IN"/>
              </w:rPr>
            </w:pPr>
            <w:r>
              <w:rPr>
                <w:rFonts w:ascii="Arial" w:hAnsi="Arial" w:cs="Arial"/>
                <w:sz w:val="18"/>
                <w:lang w:eastAsia="en-IN"/>
              </w:rPr>
              <w:t>Brian H. Kelly</w:t>
            </w:r>
          </w:p>
        </w:tc>
        <w:tc>
          <w:tcPr>
            <w:tcW w:w="1000"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$150,000</w:t>
            </w:r>
          </w:p>
        </w:tc>
      </w:tr>
    </w:tbl>
    <w:p w:rsidR="00376768" w:rsidRDefault="00376768">
      <w:pPr>
        <w:rPr>
          <w:rFonts w:ascii="Arial" w:hAnsi="Arial" w:cs="Arial"/>
          <w:lang w:eastAsia="en-IN"/>
        </w:rPr>
      </w:pPr>
    </w:p>
    <w:tbl>
      <w:tblPr>
        <w:tblW w:w="5100" w:type="pct"/>
        <w:tblLayout w:type="fixed"/>
        <w:tblCellMar>
          <w:left w:w="0" w:type="dxa"/>
          <w:right w:w="0" w:type="dxa"/>
        </w:tblCellMar>
        <w:tblLook w:val="0000" w:firstRow="0" w:lastRow="0" w:firstColumn="0" w:lastColumn="0" w:noHBand="0" w:noVBand="0"/>
      </w:tblPr>
      <w:tblGrid>
        <w:gridCol w:w="2203"/>
        <w:gridCol w:w="8813"/>
      </w:tblGrid>
      <w:tr w:rsidR="00376768">
        <w:tc>
          <w:tcPr>
            <w:tcW w:w="1000" w:type="pct"/>
            <w:tcBorders>
              <w:bottom w:val="single" w:sz="4" w:space="0" w:color="auto"/>
            </w:tcBorders>
          </w:tcPr>
          <w:p w:rsidR="00376768" w:rsidRDefault="00376768">
            <w:pPr>
              <w:rPr>
                <w:rFonts w:ascii="Arial" w:hAnsi="Arial" w:cs="Arial"/>
                <w:sz w:val="4"/>
                <w:lang w:eastAsia="en-IN"/>
              </w:rPr>
            </w:pPr>
          </w:p>
        </w:tc>
        <w:tc>
          <w:tcPr>
            <w:tcW w:w="4000" w:type="pct"/>
          </w:tcPr>
          <w:p w:rsidR="00376768" w:rsidRDefault="00376768">
            <w:pPr>
              <w:rPr>
                <w:rFonts w:ascii="Arial" w:hAnsi="Arial" w:cs="Arial"/>
                <w:sz w:val="4"/>
                <w:lang w:eastAsia="en-IN"/>
              </w:rPr>
            </w:pPr>
          </w:p>
        </w:tc>
      </w:tr>
    </w:tbl>
    <w:p w:rsidR="00376768" w:rsidRDefault="00EC2B72">
      <w:pPr>
        <w:spacing w:before="160"/>
        <w:rPr>
          <w:rFonts w:ascii="Arial" w:hAnsi="Arial" w:cs="Arial"/>
        </w:rPr>
      </w:pPr>
      <w:r>
        <w:rPr>
          <w:rFonts w:ascii="Arial" w:hAnsi="Arial" w:cs="Arial"/>
          <w:lang w:eastAsia="en-IN"/>
        </w:rPr>
        <w:t>*Mr. Russo forfeited his 2017 LTIP awards at the time of his termination of employment with the Company.</w:t>
      </w:r>
    </w:p>
    <w:p w:rsidR="00376768" w:rsidRDefault="00EC2B72">
      <w:pPr>
        <w:spacing w:before="160"/>
        <w:rPr>
          <w:rFonts w:ascii="Arial" w:hAnsi="Arial" w:cs="Arial"/>
          <w:lang w:eastAsia="en-IN"/>
        </w:rPr>
      </w:pPr>
      <w:r>
        <w:rPr>
          <w:rFonts w:ascii="Arial" w:hAnsi="Arial" w:cs="Arial"/>
          <w:lang w:eastAsia="en-IN"/>
        </w:rPr>
        <w:t>Based on these target values, the NEOs were awarded the following restricted shares and PSUs</w:t>
      </w:r>
      <w:r>
        <w:rPr>
          <w:rFonts w:ascii="Arial" w:hAnsi="Arial" w:cs="Arial"/>
          <w:b/>
          <w:bCs/>
          <w:lang w:eastAsia="en-IN"/>
        </w:rPr>
        <w:t>:</w:t>
      </w:r>
    </w:p>
    <w:tbl>
      <w:tblPr>
        <w:tblW w:w="3000" w:type="pct"/>
        <w:jc w:val="center"/>
        <w:tblLayout w:type="fixed"/>
        <w:tblCellMar>
          <w:left w:w="0" w:type="dxa"/>
          <w:right w:w="0" w:type="dxa"/>
        </w:tblCellMar>
        <w:tblLook w:val="0000" w:firstRow="0" w:lastRow="0" w:firstColumn="0" w:lastColumn="0" w:noHBand="0" w:noVBand="0"/>
      </w:tblPr>
      <w:tblGrid>
        <w:gridCol w:w="2160"/>
        <w:gridCol w:w="2160"/>
        <w:gridCol w:w="2160"/>
      </w:tblGrid>
      <w:tr w:rsidR="00376768">
        <w:trPr>
          <w:jc w:val="center"/>
        </w:trPr>
        <w:tc>
          <w:tcPr>
            <w:tcW w:w="1000" w:type="pct"/>
            <w:tcBorders>
              <w:bottom w:val="single" w:sz="4" w:space="0" w:color="auto"/>
            </w:tcBorders>
          </w:tcPr>
          <w:p w:rsidR="00376768" w:rsidRDefault="00376768">
            <w:pPr>
              <w:ind w:left="43"/>
              <w:rPr>
                <w:rFonts w:ascii="Arial" w:hAnsi="Arial" w:cs="Arial"/>
                <w:sz w:val="18"/>
                <w:lang w:eastAsia="en-IN"/>
              </w:rPr>
            </w:pPr>
          </w:p>
        </w:tc>
        <w:tc>
          <w:tcPr>
            <w:tcW w:w="1000" w:type="pct"/>
            <w:tcBorders>
              <w:bottom w:val="single" w:sz="4" w:space="0" w:color="auto"/>
            </w:tcBorders>
          </w:tcPr>
          <w:p w:rsidR="00376768" w:rsidRDefault="00376768">
            <w:pPr>
              <w:rPr>
                <w:rFonts w:ascii="Arial" w:hAnsi="Arial" w:cs="Arial"/>
                <w:b/>
                <w:bCs/>
                <w:sz w:val="18"/>
                <w:lang w:eastAsia="en-IN"/>
              </w:rPr>
            </w:pPr>
          </w:p>
        </w:tc>
        <w:tc>
          <w:tcPr>
            <w:tcW w:w="1000" w:type="pct"/>
            <w:tcBorders>
              <w:bottom w:val="single" w:sz="4" w:space="0" w:color="auto"/>
            </w:tcBorders>
          </w:tcPr>
          <w:p w:rsidR="00376768" w:rsidRDefault="00376768">
            <w:pPr>
              <w:rPr>
                <w:rFonts w:ascii="Arial" w:hAnsi="Arial" w:cs="Arial"/>
                <w:b/>
                <w:bCs/>
                <w:sz w:val="18"/>
                <w:lang w:eastAsia="en-IN"/>
              </w:rPr>
            </w:pPr>
          </w:p>
        </w:tc>
      </w:tr>
      <w:tr w:rsidR="00376768">
        <w:trPr>
          <w:jc w:val="center"/>
        </w:trPr>
        <w:tc>
          <w:tcPr>
            <w:tcW w:w="1000" w:type="pct"/>
            <w:tcBorders>
              <w:top w:val="single" w:sz="4" w:space="0" w:color="auto"/>
              <w:left w:val="single" w:sz="4" w:space="0" w:color="auto"/>
              <w:bottom w:val="single" w:sz="4" w:space="0" w:color="auto"/>
              <w:right w:val="single" w:sz="4" w:space="0" w:color="auto"/>
            </w:tcBorders>
            <w:shd w:val="clear" w:color="auto" w:fill="B5DBE7"/>
            <w:vAlign w:val="center"/>
          </w:tcPr>
          <w:p w:rsidR="00376768" w:rsidRDefault="00EC2B72">
            <w:pPr>
              <w:ind w:left="43"/>
              <w:jc w:val="center"/>
              <w:rPr>
                <w:rFonts w:ascii="Arial" w:hAnsi="Arial" w:cs="Arial"/>
                <w:sz w:val="18"/>
                <w:lang w:eastAsia="en-IN"/>
              </w:rPr>
            </w:pPr>
            <w:r>
              <w:rPr>
                <w:rFonts w:ascii="Arial" w:hAnsi="Arial" w:cs="Arial"/>
                <w:b/>
                <w:bCs/>
                <w:sz w:val="18"/>
                <w:lang w:eastAsia="en-IN"/>
              </w:rPr>
              <w:t>Name</w:t>
            </w:r>
          </w:p>
        </w:tc>
        <w:tc>
          <w:tcPr>
            <w:tcW w:w="1000" w:type="pct"/>
            <w:tcBorders>
              <w:top w:val="single" w:sz="4" w:space="0" w:color="auto"/>
              <w:left w:val="single" w:sz="4" w:space="0" w:color="auto"/>
              <w:bottom w:val="single" w:sz="4" w:space="0" w:color="auto"/>
              <w:right w:val="single" w:sz="4" w:space="0" w:color="auto"/>
            </w:tcBorders>
            <w:shd w:val="clear" w:color="auto" w:fill="B5DBE7"/>
          </w:tcPr>
          <w:p w:rsidR="00376768" w:rsidRDefault="00EC2B72">
            <w:pPr>
              <w:jc w:val="center"/>
              <w:rPr>
                <w:rFonts w:ascii="Arial" w:hAnsi="Arial" w:cs="Arial"/>
                <w:sz w:val="18"/>
                <w:lang w:eastAsia="en-IN"/>
              </w:rPr>
            </w:pPr>
            <w:r>
              <w:rPr>
                <w:rFonts w:ascii="Arial" w:hAnsi="Arial" w:cs="Arial"/>
                <w:b/>
                <w:bCs/>
                <w:sz w:val="18"/>
                <w:lang w:eastAsia="en-IN"/>
              </w:rPr>
              <w:t xml:space="preserve">Restricted </w:t>
            </w:r>
            <w:r>
              <w:rPr>
                <w:rFonts w:ascii="Arial" w:hAnsi="Arial" w:cs="Arial"/>
                <w:b/>
                <w:bCs/>
                <w:sz w:val="18"/>
                <w:lang w:eastAsia="en-IN"/>
              </w:rPr>
              <w:br/>
              <w:t>Shares</w:t>
            </w:r>
          </w:p>
        </w:tc>
        <w:tc>
          <w:tcPr>
            <w:tcW w:w="1000" w:type="pct"/>
            <w:tcBorders>
              <w:top w:val="single" w:sz="4" w:space="0" w:color="auto"/>
              <w:left w:val="single" w:sz="4" w:space="0" w:color="auto"/>
              <w:bottom w:val="single" w:sz="4" w:space="0" w:color="auto"/>
              <w:right w:val="single" w:sz="4" w:space="0" w:color="auto"/>
            </w:tcBorders>
            <w:shd w:val="clear" w:color="auto" w:fill="B5DBE7"/>
          </w:tcPr>
          <w:p w:rsidR="00376768" w:rsidRDefault="00EC2B72">
            <w:pPr>
              <w:jc w:val="center"/>
              <w:rPr>
                <w:rFonts w:ascii="Arial" w:hAnsi="Arial" w:cs="Arial"/>
                <w:sz w:val="18"/>
                <w:lang w:eastAsia="en-IN"/>
              </w:rPr>
            </w:pPr>
            <w:r>
              <w:rPr>
                <w:rFonts w:ascii="Arial" w:hAnsi="Arial" w:cs="Arial"/>
                <w:b/>
                <w:bCs/>
                <w:sz w:val="18"/>
                <w:lang w:eastAsia="en-IN"/>
              </w:rPr>
              <w:t xml:space="preserve">2017-2019 PSUs </w:t>
            </w:r>
            <w:r>
              <w:rPr>
                <w:rFonts w:ascii="Arial" w:hAnsi="Arial" w:cs="Arial"/>
                <w:b/>
                <w:bCs/>
                <w:sz w:val="18"/>
                <w:lang w:eastAsia="en-IN"/>
              </w:rPr>
              <w:br/>
              <w:t>(at Target)</w:t>
            </w:r>
          </w:p>
        </w:tc>
      </w:tr>
      <w:tr w:rsidR="00376768">
        <w:trPr>
          <w:jc w:val="center"/>
        </w:trPr>
        <w:tc>
          <w:tcPr>
            <w:tcW w:w="1000" w:type="pct"/>
            <w:tcBorders>
              <w:top w:val="single" w:sz="4" w:space="0" w:color="auto"/>
              <w:left w:val="single" w:sz="4" w:space="0" w:color="auto"/>
              <w:bottom w:val="single" w:sz="4" w:space="0" w:color="auto"/>
              <w:right w:val="single" w:sz="4" w:space="0" w:color="auto"/>
            </w:tcBorders>
          </w:tcPr>
          <w:p w:rsidR="00376768" w:rsidRDefault="00EC2B72">
            <w:pPr>
              <w:ind w:left="43"/>
              <w:rPr>
                <w:rFonts w:ascii="Arial" w:hAnsi="Arial" w:cs="Arial"/>
                <w:sz w:val="18"/>
                <w:lang w:eastAsia="en-IN"/>
              </w:rPr>
            </w:pPr>
            <w:r>
              <w:rPr>
                <w:rFonts w:ascii="Arial" w:hAnsi="Arial" w:cs="Arial"/>
                <w:sz w:val="18"/>
                <w:lang w:eastAsia="en-IN"/>
              </w:rPr>
              <w:t>Robert P. Bauer</w:t>
            </w:r>
          </w:p>
        </w:tc>
        <w:tc>
          <w:tcPr>
            <w:tcW w:w="1000"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12,350</w:t>
            </w:r>
          </w:p>
        </w:tc>
        <w:tc>
          <w:tcPr>
            <w:tcW w:w="1000"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37,050</w:t>
            </w:r>
          </w:p>
        </w:tc>
      </w:tr>
      <w:tr w:rsidR="00376768">
        <w:trPr>
          <w:jc w:val="center"/>
        </w:trPr>
        <w:tc>
          <w:tcPr>
            <w:tcW w:w="1000"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ind w:left="43"/>
              <w:rPr>
                <w:rFonts w:ascii="Arial" w:hAnsi="Arial" w:cs="Arial"/>
                <w:sz w:val="18"/>
                <w:lang w:eastAsia="en-IN"/>
              </w:rPr>
            </w:pPr>
            <w:r>
              <w:rPr>
                <w:rFonts w:ascii="Arial" w:hAnsi="Arial" w:cs="Arial"/>
                <w:sz w:val="18"/>
                <w:lang w:eastAsia="en-IN"/>
              </w:rPr>
              <w:t>James P. Maloney</w:t>
            </w:r>
          </w:p>
        </w:tc>
        <w:tc>
          <w:tcPr>
            <w:tcW w:w="1000"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2,792</w:t>
            </w:r>
          </w:p>
        </w:tc>
        <w:tc>
          <w:tcPr>
            <w:tcW w:w="1000"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8,375</w:t>
            </w:r>
          </w:p>
        </w:tc>
      </w:tr>
      <w:tr w:rsidR="00376768">
        <w:trPr>
          <w:jc w:val="center"/>
        </w:trPr>
        <w:tc>
          <w:tcPr>
            <w:tcW w:w="1000" w:type="pct"/>
            <w:tcBorders>
              <w:top w:val="single" w:sz="4" w:space="0" w:color="auto"/>
              <w:left w:val="single" w:sz="4" w:space="0" w:color="auto"/>
              <w:bottom w:val="single" w:sz="4" w:space="0" w:color="auto"/>
              <w:right w:val="single" w:sz="4" w:space="0" w:color="auto"/>
            </w:tcBorders>
          </w:tcPr>
          <w:p w:rsidR="00376768" w:rsidRDefault="00EC2B72">
            <w:pPr>
              <w:ind w:left="43"/>
              <w:rPr>
                <w:rFonts w:ascii="Arial" w:hAnsi="Arial" w:cs="Arial"/>
                <w:sz w:val="18"/>
                <w:lang w:eastAsia="en-IN"/>
              </w:rPr>
            </w:pPr>
            <w:r>
              <w:rPr>
                <w:rFonts w:ascii="Arial" w:hAnsi="Arial" w:cs="Arial"/>
                <w:sz w:val="18"/>
                <w:lang w:eastAsia="en-IN"/>
              </w:rPr>
              <w:t>David J. Russo</w:t>
            </w:r>
          </w:p>
        </w:tc>
        <w:tc>
          <w:tcPr>
            <w:tcW w:w="1000"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5,293</w:t>
            </w:r>
          </w:p>
        </w:tc>
        <w:tc>
          <w:tcPr>
            <w:tcW w:w="1000"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15,878</w:t>
            </w:r>
          </w:p>
        </w:tc>
      </w:tr>
      <w:tr w:rsidR="00376768">
        <w:trPr>
          <w:jc w:val="center"/>
        </w:trPr>
        <w:tc>
          <w:tcPr>
            <w:tcW w:w="1000"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ind w:left="43"/>
              <w:rPr>
                <w:rFonts w:ascii="Arial" w:hAnsi="Arial" w:cs="Arial"/>
                <w:sz w:val="18"/>
                <w:lang w:eastAsia="en-IN"/>
              </w:rPr>
            </w:pPr>
            <w:r>
              <w:rPr>
                <w:rFonts w:ascii="Arial" w:hAnsi="Arial" w:cs="Arial"/>
                <w:sz w:val="18"/>
                <w:lang w:eastAsia="en-IN"/>
              </w:rPr>
              <w:t>Christopher T. Scanlon</w:t>
            </w:r>
          </w:p>
        </w:tc>
        <w:tc>
          <w:tcPr>
            <w:tcW w:w="1000"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1,588</w:t>
            </w:r>
          </w:p>
        </w:tc>
        <w:tc>
          <w:tcPr>
            <w:tcW w:w="1000"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4,764</w:t>
            </w:r>
          </w:p>
        </w:tc>
      </w:tr>
      <w:tr w:rsidR="00376768">
        <w:trPr>
          <w:jc w:val="center"/>
        </w:trPr>
        <w:tc>
          <w:tcPr>
            <w:tcW w:w="1000" w:type="pct"/>
            <w:tcBorders>
              <w:top w:val="single" w:sz="4" w:space="0" w:color="auto"/>
              <w:left w:val="single" w:sz="4" w:space="0" w:color="auto"/>
              <w:bottom w:val="single" w:sz="4" w:space="0" w:color="auto"/>
              <w:right w:val="single" w:sz="4" w:space="0" w:color="auto"/>
            </w:tcBorders>
          </w:tcPr>
          <w:p w:rsidR="00376768" w:rsidRDefault="00EC2B72">
            <w:pPr>
              <w:ind w:left="43"/>
              <w:rPr>
                <w:rFonts w:ascii="Arial" w:hAnsi="Arial" w:cs="Arial"/>
                <w:sz w:val="18"/>
                <w:lang w:eastAsia="en-IN"/>
              </w:rPr>
            </w:pPr>
            <w:r>
              <w:rPr>
                <w:rFonts w:ascii="Arial" w:hAnsi="Arial" w:cs="Arial"/>
                <w:sz w:val="18"/>
                <w:lang w:eastAsia="en-IN"/>
              </w:rPr>
              <w:t xml:space="preserve">John F. </w:t>
            </w:r>
            <w:proofErr w:type="spellStart"/>
            <w:r>
              <w:rPr>
                <w:rFonts w:ascii="Arial" w:hAnsi="Arial" w:cs="Arial"/>
                <w:sz w:val="18"/>
                <w:lang w:eastAsia="en-IN"/>
              </w:rPr>
              <w:t>Kasel</w:t>
            </w:r>
            <w:proofErr w:type="spellEnd"/>
          </w:p>
        </w:tc>
        <w:tc>
          <w:tcPr>
            <w:tcW w:w="1000"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4,058</w:t>
            </w:r>
          </w:p>
        </w:tc>
        <w:tc>
          <w:tcPr>
            <w:tcW w:w="1000"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12,174</w:t>
            </w:r>
          </w:p>
        </w:tc>
      </w:tr>
      <w:tr w:rsidR="00376768">
        <w:trPr>
          <w:jc w:val="center"/>
        </w:trPr>
        <w:tc>
          <w:tcPr>
            <w:tcW w:w="1000"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ind w:left="43"/>
              <w:rPr>
                <w:rFonts w:ascii="Arial" w:hAnsi="Arial" w:cs="Arial"/>
                <w:sz w:val="18"/>
                <w:lang w:eastAsia="en-IN"/>
              </w:rPr>
            </w:pPr>
            <w:r>
              <w:rPr>
                <w:rFonts w:ascii="Arial" w:hAnsi="Arial" w:cs="Arial"/>
                <w:sz w:val="18"/>
                <w:lang w:eastAsia="en-IN"/>
              </w:rPr>
              <w:t xml:space="preserve">Patrick J. </w:t>
            </w:r>
            <w:proofErr w:type="spellStart"/>
            <w:r>
              <w:rPr>
                <w:rFonts w:ascii="Arial" w:hAnsi="Arial" w:cs="Arial"/>
                <w:sz w:val="18"/>
                <w:lang w:eastAsia="en-IN"/>
              </w:rPr>
              <w:t>Guinee</w:t>
            </w:r>
            <w:proofErr w:type="spellEnd"/>
          </w:p>
        </w:tc>
        <w:tc>
          <w:tcPr>
            <w:tcW w:w="1000"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2,823</w:t>
            </w:r>
          </w:p>
        </w:tc>
        <w:tc>
          <w:tcPr>
            <w:tcW w:w="1000"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8,468</w:t>
            </w:r>
          </w:p>
        </w:tc>
      </w:tr>
      <w:tr w:rsidR="00376768">
        <w:trPr>
          <w:jc w:val="center"/>
        </w:trPr>
        <w:tc>
          <w:tcPr>
            <w:tcW w:w="1000" w:type="pct"/>
            <w:tcBorders>
              <w:top w:val="single" w:sz="4" w:space="0" w:color="auto"/>
              <w:left w:val="single" w:sz="4" w:space="0" w:color="auto"/>
              <w:bottom w:val="single" w:sz="4" w:space="0" w:color="auto"/>
              <w:right w:val="single" w:sz="4" w:space="0" w:color="auto"/>
            </w:tcBorders>
          </w:tcPr>
          <w:p w:rsidR="00376768" w:rsidRDefault="00EC2B72">
            <w:pPr>
              <w:ind w:left="43"/>
              <w:rPr>
                <w:rFonts w:ascii="Arial" w:hAnsi="Arial" w:cs="Arial"/>
                <w:sz w:val="18"/>
                <w:lang w:eastAsia="en-IN"/>
              </w:rPr>
            </w:pPr>
            <w:r>
              <w:rPr>
                <w:rFonts w:ascii="Arial" w:hAnsi="Arial" w:cs="Arial"/>
                <w:sz w:val="18"/>
                <w:lang w:eastAsia="en-IN"/>
              </w:rPr>
              <w:t>Brian H. Kelly</w:t>
            </w:r>
          </w:p>
        </w:tc>
        <w:tc>
          <w:tcPr>
            <w:tcW w:w="1000"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2,646</w:t>
            </w:r>
          </w:p>
        </w:tc>
        <w:tc>
          <w:tcPr>
            <w:tcW w:w="1000"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7,940</w:t>
            </w:r>
          </w:p>
        </w:tc>
      </w:tr>
    </w:tbl>
    <w:p w:rsidR="00376768" w:rsidRDefault="00EC2B72">
      <w:pPr>
        <w:spacing w:before="160"/>
        <w:ind w:firstLine="360"/>
        <w:jc w:val="both"/>
        <w:rPr>
          <w:rFonts w:ascii="Arial" w:hAnsi="Arial" w:cs="Arial"/>
          <w:lang w:eastAsia="en-IN"/>
        </w:rPr>
      </w:pPr>
      <w:r>
        <w:rPr>
          <w:rFonts w:ascii="Arial" w:hAnsi="Arial" w:cs="Arial"/>
          <w:lang w:eastAsia="en-IN"/>
        </w:rPr>
        <w:t>The number of PSUs to be earned at the end of the performance period and awarded to a participant in common stock will be determined by multiplying each NEO’s PSU grants by the “Percent of PSUs Earned (with respect to the Average ROIC component) and the “EBITDA CAGR Award Multiplier” (with respect to the EBITDA CAGR component) shown below, which corresponds to the Company’s achievement of the Average ROIC and EBITDA CAGR performance goals over the 2017 to 2019 performance period, as compared to target.</w:t>
      </w:r>
      <w:r>
        <w:rPr>
          <w:rFonts w:ascii="Arial" w:hAnsi="Arial" w:cs="Arial"/>
          <w:b/>
          <w:bCs/>
          <w:lang w:eastAsia="en-IN"/>
        </w:rPr>
        <w:t xml:space="preserve"> </w:t>
      </w:r>
      <w:r>
        <w:rPr>
          <w:rFonts w:ascii="Arial" w:hAnsi="Arial" w:cs="Arial"/>
          <w:lang w:eastAsia="en-IN"/>
        </w:rPr>
        <w:t>For 2017, the target performance levels for the Average ROIC measure were adjusted based on an externally provided input regarding the Weighted Average Cost of Capital (WACC) that impacted the ROIC calculation and more accurately reflected appropriate targets.</w:t>
      </w:r>
    </w:p>
    <w:tbl>
      <w:tblPr>
        <w:tblW w:w="4000" w:type="pct"/>
        <w:jc w:val="center"/>
        <w:tblLayout w:type="fixed"/>
        <w:tblCellMar>
          <w:left w:w="0" w:type="dxa"/>
          <w:right w:w="0" w:type="dxa"/>
        </w:tblCellMar>
        <w:tblLook w:val="0000" w:firstRow="0" w:lastRow="0" w:firstColumn="0" w:lastColumn="0" w:noHBand="0" w:noVBand="0"/>
      </w:tblPr>
      <w:tblGrid>
        <w:gridCol w:w="2160"/>
        <w:gridCol w:w="3240"/>
        <w:gridCol w:w="3240"/>
      </w:tblGrid>
      <w:tr w:rsidR="00376768">
        <w:trPr>
          <w:jc w:val="center"/>
        </w:trPr>
        <w:tc>
          <w:tcPr>
            <w:tcW w:w="1000" w:type="pct"/>
            <w:tcBorders>
              <w:bottom w:val="single" w:sz="4" w:space="0" w:color="auto"/>
            </w:tcBorders>
          </w:tcPr>
          <w:p w:rsidR="00376768" w:rsidRDefault="00376768">
            <w:pPr>
              <w:ind w:left="43"/>
              <w:rPr>
                <w:rFonts w:ascii="Arial" w:hAnsi="Arial" w:cs="Arial"/>
                <w:sz w:val="18"/>
                <w:lang w:eastAsia="en-IN"/>
              </w:rPr>
            </w:pPr>
          </w:p>
        </w:tc>
        <w:tc>
          <w:tcPr>
            <w:tcW w:w="1500" w:type="pct"/>
            <w:tcBorders>
              <w:bottom w:val="single" w:sz="4" w:space="0" w:color="auto"/>
            </w:tcBorders>
          </w:tcPr>
          <w:p w:rsidR="00376768" w:rsidRDefault="00376768">
            <w:pPr>
              <w:ind w:left="43"/>
              <w:rPr>
                <w:rFonts w:ascii="Arial" w:hAnsi="Arial" w:cs="Arial"/>
                <w:sz w:val="18"/>
                <w:lang w:eastAsia="en-IN"/>
              </w:rPr>
            </w:pPr>
          </w:p>
        </w:tc>
        <w:tc>
          <w:tcPr>
            <w:tcW w:w="1500" w:type="pct"/>
            <w:tcBorders>
              <w:bottom w:val="single" w:sz="4" w:space="0" w:color="auto"/>
            </w:tcBorders>
          </w:tcPr>
          <w:p w:rsidR="00376768" w:rsidRDefault="00376768">
            <w:pPr>
              <w:rPr>
                <w:rFonts w:ascii="Arial" w:hAnsi="Arial" w:cs="Arial"/>
                <w:sz w:val="18"/>
                <w:lang w:eastAsia="en-IN"/>
              </w:rPr>
            </w:pPr>
          </w:p>
        </w:tc>
      </w:tr>
      <w:tr w:rsidR="00376768">
        <w:trPr>
          <w:jc w:val="center"/>
        </w:trPr>
        <w:tc>
          <w:tcPr>
            <w:tcW w:w="1500" w:type="pct"/>
            <w:gridSpan w:val="3"/>
            <w:tcBorders>
              <w:top w:val="single" w:sz="4" w:space="0" w:color="auto"/>
              <w:left w:val="single" w:sz="4" w:space="0" w:color="auto"/>
              <w:right w:val="single" w:sz="4" w:space="0" w:color="auto"/>
            </w:tcBorders>
            <w:shd w:val="clear" w:color="auto" w:fill="B5DBE7"/>
          </w:tcPr>
          <w:p w:rsidR="00376768" w:rsidRDefault="00EC2B72">
            <w:pPr>
              <w:jc w:val="center"/>
              <w:rPr>
                <w:rFonts w:ascii="Arial" w:hAnsi="Arial" w:cs="Arial"/>
                <w:sz w:val="18"/>
                <w:lang w:eastAsia="en-IN"/>
              </w:rPr>
            </w:pPr>
            <w:r>
              <w:rPr>
                <w:rFonts w:ascii="Arial" w:hAnsi="Arial" w:cs="Arial"/>
                <w:b/>
                <w:bCs/>
                <w:sz w:val="18"/>
                <w:lang w:eastAsia="en-IN"/>
              </w:rPr>
              <w:t>2017-2019 Average ROIC</w:t>
            </w:r>
          </w:p>
        </w:tc>
      </w:tr>
      <w:tr w:rsidR="00376768">
        <w:trPr>
          <w:jc w:val="center"/>
        </w:trPr>
        <w:tc>
          <w:tcPr>
            <w:tcW w:w="1000" w:type="pct"/>
            <w:tcBorders>
              <w:left w:val="single" w:sz="4" w:space="0" w:color="auto"/>
              <w:bottom w:val="single" w:sz="4" w:space="0" w:color="auto"/>
            </w:tcBorders>
            <w:shd w:val="clear" w:color="auto" w:fill="B5DBE7"/>
            <w:vAlign w:val="bottom"/>
          </w:tcPr>
          <w:p w:rsidR="00376768" w:rsidRDefault="00EC2B72">
            <w:pPr>
              <w:ind w:left="43"/>
              <w:rPr>
                <w:rFonts w:ascii="Arial" w:hAnsi="Arial" w:cs="Arial"/>
                <w:sz w:val="18"/>
                <w:lang w:eastAsia="en-IN"/>
              </w:rPr>
            </w:pPr>
            <w:r>
              <w:rPr>
                <w:rFonts w:ascii="Arial" w:hAnsi="Arial" w:cs="Arial"/>
                <w:b/>
                <w:bCs/>
                <w:sz w:val="18"/>
                <w:lang w:eastAsia="en-IN"/>
              </w:rPr>
              <w:t>Level of Performance</w:t>
            </w:r>
          </w:p>
        </w:tc>
        <w:tc>
          <w:tcPr>
            <w:tcW w:w="1500" w:type="pct"/>
            <w:tcBorders>
              <w:bottom w:val="single" w:sz="4" w:space="0" w:color="auto"/>
            </w:tcBorders>
            <w:shd w:val="clear" w:color="auto" w:fill="B5DBE7"/>
            <w:vAlign w:val="bottom"/>
          </w:tcPr>
          <w:p w:rsidR="00376768" w:rsidRDefault="00EC2B72">
            <w:pPr>
              <w:ind w:left="43"/>
              <w:jc w:val="center"/>
              <w:rPr>
                <w:rFonts w:ascii="Arial" w:hAnsi="Arial" w:cs="Arial"/>
                <w:sz w:val="18"/>
                <w:lang w:eastAsia="en-IN"/>
              </w:rPr>
            </w:pPr>
            <w:r>
              <w:rPr>
                <w:rFonts w:ascii="Arial" w:hAnsi="Arial" w:cs="Arial"/>
                <w:b/>
                <w:bCs/>
                <w:sz w:val="18"/>
                <w:lang w:eastAsia="en-IN"/>
              </w:rPr>
              <w:t>Average ROIC</w:t>
            </w:r>
          </w:p>
        </w:tc>
        <w:tc>
          <w:tcPr>
            <w:tcW w:w="1500" w:type="pct"/>
            <w:tcBorders>
              <w:bottom w:val="single" w:sz="4" w:space="0" w:color="auto"/>
              <w:right w:val="single" w:sz="4" w:space="0" w:color="auto"/>
            </w:tcBorders>
            <w:shd w:val="clear" w:color="auto" w:fill="B5DBE7"/>
            <w:vAlign w:val="bottom"/>
          </w:tcPr>
          <w:p w:rsidR="00376768" w:rsidRDefault="00EC2B72">
            <w:pPr>
              <w:jc w:val="center"/>
              <w:rPr>
                <w:rFonts w:ascii="Arial" w:hAnsi="Arial" w:cs="Arial"/>
                <w:sz w:val="18"/>
                <w:lang w:eastAsia="en-IN"/>
              </w:rPr>
            </w:pPr>
            <w:r>
              <w:rPr>
                <w:rFonts w:ascii="Arial" w:hAnsi="Arial" w:cs="Arial"/>
                <w:b/>
                <w:bCs/>
                <w:sz w:val="18"/>
                <w:lang w:eastAsia="en-IN"/>
              </w:rPr>
              <w:t>Percent of PSUs Earned</w:t>
            </w:r>
          </w:p>
        </w:tc>
      </w:tr>
      <w:tr w:rsidR="00376768">
        <w:trPr>
          <w:jc w:val="center"/>
        </w:trPr>
        <w:tc>
          <w:tcPr>
            <w:tcW w:w="1000" w:type="pct"/>
            <w:tcBorders>
              <w:top w:val="single" w:sz="4" w:space="0" w:color="auto"/>
              <w:left w:val="single" w:sz="4" w:space="0" w:color="auto"/>
              <w:bottom w:val="single" w:sz="4" w:space="0" w:color="auto"/>
              <w:right w:val="single" w:sz="4" w:space="0" w:color="auto"/>
            </w:tcBorders>
          </w:tcPr>
          <w:p w:rsidR="00376768" w:rsidRDefault="00EC2B72">
            <w:pPr>
              <w:ind w:left="43"/>
              <w:rPr>
                <w:rFonts w:ascii="Arial" w:hAnsi="Arial" w:cs="Arial"/>
                <w:sz w:val="18"/>
                <w:lang w:eastAsia="en-IN"/>
              </w:rPr>
            </w:pPr>
            <w:r>
              <w:rPr>
                <w:rFonts w:ascii="Arial" w:hAnsi="Arial" w:cs="Arial"/>
                <w:sz w:val="18"/>
                <w:lang w:eastAsia="en-IN"/>
              </w:rPr>
              <w:t>Below Threshold</w:t>
            </w:r>
          </w:p>
        </w:tc>
        <w:tc>
          <w:tcPr>
            <w:tcW w:w="1500" w:type="pct"/>
            <w:tcBorders>
              <w:top w:val="single" w:sz="4" w:space="0" w:color="auto"/>
              <w:left w:val="single" w:sz="4" w:space="0" w:color="auto"/>
              <w:bottom w:val="single" w:sz="4" w:space="0" w:color="auto"/>
              <w:right w:val="single" w:sz="4" w:space="0" w:color="auto"/>
            </w:tcBorders>
          </w:tcPr>
          <w:p w:rsidR="00376768" w:rsidRDefault="00EC2B72">
            <w:pPr>
              <w:ind w:left="43"/>
              <w:rPr>
                <w:rFonts w:ascii="Arial" w:hAnsi="Arial" w:cs="Arial"/>
                <w:sz w:val="18"/>
                <w:lang w:eastAsia="en-IN"/>
              </w:rPr>
            </w:pPr>
            <w:r>
              <w:rPr>
                <w:rFonts w:ascii="Arial" w:hAnsi="Arial" w:cs="Arial"/>
                <w:sz w:val="18"/>
                <w:lang w:eastAsia="en-IN"/>
              </w:rPr>
              <w:t>Below 7.00%</w:t>
            </w:r>
          </w:p>
        </w:tc>
        <w:tc>
          <w:tcPr>
            <w:tcW w:w="1500"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0%</w:t>
            </w:r>
          </w:p>
        </w:tc>
      </w:tr>
      <w:tr w:rsidR="00376768">
        <w:trPr>
          <w:jc w:val="center"/>
        </w:trPr>
        <w:tc>
          <w:tcPr>
            <w:tcW w:w="1000"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ind w:left="43"/>
              <w:rPr>
                <w:rFonts w:ascii="Arial" w:hAnsi="Arial" w:cs="Arial"/>
                <w:sz w:val="18"/>
                <w:lang w:eastAsia="en-IN"/>
              </w:rPr>
            </w:pPr>
            <w:r>
              <w:rPr>
                <w:rFonts w:ascii="Arial" w:hAnsi="Arial" w:cs="Arial"/>
                <w:sz w:val="18"/>
                <w:lang w:eastAsia="en-IN"/>
              </w:rPr>
              <w:t>Threshold</w:t>
            </w:r>
          </w:p>
        </w:tc>
        <w:tc>
          <w:tcPr>
            <w:tcW w:w="1500"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ind w:left="43"/>
              <w:rPr>
                <w:rFonts w:ascii="Arial" w:hAnsi="Arial" w:cs="Arial"/>
                <w:sz w:val="18"/>
                <w:lang w:eastAsia="en-IN"/>
              </w:rPr>
            </w:pPr>
            <w:r>
              <w:rPr>
                <w:rFonts w:ascii="Arial" w:hAnsi="Arial" w:cs="Arial"/>
                <w:sz w:val="18"/>
                <w:lang w:eastAsia="en-IN"/>
              </w:rPr>
              <w:t>Equal to 7.00%</w:t>
            </w:r>
          </w:p>
        </w:tc>
        <w:tc>
          <w:tcPr>
            <w:tcW w:w="1500"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25%</w:t>
            </w:r>
          </w:p>
        </w:tc>
      </w:tr>
      <w:tr w:rsidR="00376768">
        <w:trPr>
          <w:jc w:val="center"/>
        </w:trPr>
        <w:tc>
          <w:tcPr>
            <w:tcW w:w="1000" w:type="pct"/>
            <w:tcBorders>
              <w:top w:val="single" w:sz="4" w:space="0" w:color="auto"/>
              <w:left w:val="single" w:sz="4" w:space="0" w:color="auto"/>
              <w:bottom w:val="single" w:sz="4" w:space="0" w:color="auto"/>
              <w:right w:val="single" w:sz="4" w:space="0" w:color="auto"/>
            </w:tcBorders>
          </w:tcPr>
          <w:p w:rsidR="00376768" w:rsidRDefault="00EC2B72">
            <w:pPr>
              <w:ind w:left="43"/>
              <w:rPr>
                <w:rFonts w:ascii="Arial" w:hAnsi="Arial" w:cs="Arial"/>
                <w:sz w:val="18"/>
                <w:lang w:eastAsia="en-IN"/>
              </w:rPr>
            </w:pPr>
            <w:r>
              <w:rPr>
                <w:rFonts w:ascii="Arial" w:hAnsi="Arial" w:cs="Arial"/>
                <w:sz w:val="18"/>
                <w:lang w:eastAsia="en-IN"/>
              </w:rPr>
              <w:t>Target</w:t>
            </w:r>
          </w:p>
        </w:tc>
        <w:tc>
          <w:tcPr>
            <w:tcW w:w="1500" w:type="pct"/>
            <w:tcBorders>
              <w:top w:val="single" w:sz="4" w:space="0" w:color="auto"/>
              <w:left w:val="single" w:sz="4" w:space="0" w:color="auto"/>
              <w:bottom w:val="single" w:sz="4" w:space="0" w:color="auto"/>
              <w:right w:val="single" w:sz="4" w:space="0" w:color="auto"/>
            </w:tcBorders>
          </w:tcPr>
          <w:p w:rsidR="00376768" w:rsidRDefault="00EC2B72">
            <w:pPr>
              <w:ind w:left="43"/>
              <w:rPr>
                <w:rFonts w:ascii="Arial" w:hAnsi="Arial" w:cs="Arial"/>
                <w:sz w:val="18"/>
                <w:lang w:eastAsia="en-IN"/>
              </w:rPr>
            </w:pPr>
            <w:r>
              <w:rPr>
                <w:rFonts w:ascii="Arial" w:hAnsi="Arial" w:cs="Arial"/>
                <w:sz w:val="18"/>
                <w:lang w:eastAsia="en-IN"/>
              </w:rPr>
              <w:t>Equal to 10.0%</w:t>
            </w:r>
          </w:p>
        </w:tc>
        <w:tc>
          <w:tcPr>
            <w:tcW w:w="1500"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100%</w:t>
            </w:r>
          </w:p>
        </w:tc>
      </w:tr>
      <w:tr w:rsidR="00376768">
        <w:trPr>
          <w:jc w:val="center"/>
        </w:trPr>
        <w:tc>
          <w:tcPr>
            <w:tcW w:w="1000"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ind w:left="43"/>
              <w:rPr>
                <w:rFonts w:ascii="Arial" w:hAnsi="Arial" w:cs="Arial"/>
                <w:sz w:val="18"/>
                <w:lang w:eastAsia="en-IN"/>
              </w:rPr>
            </w:pPr>
            <w:r>
              <w:rPr>
                <w:rFonts w:ascii="Arial" w:hAnsi="Arial" w:cs="Arial"/>
                <w:sz w:val="18"/>
                <w:lang w:eastAsia="en-IN"/>
              </w:rPr>
              <w:t>Outstanding</w:t>
            </w:r>
          </w:p>
        </w:tc>
        <w:tc>
          <w:tcPr>
            <w:tcW w:w="1500"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ind w:left="43"/>
              <w:rPr>
                <w:rFonts w:ascii="Arial" w:hAnsi="Arial" w:cs="Arial"/>
                <w:sz w:val="18"/>
                <w:lang w:eastAsia="en-IN"/>
              </w:rPr>
            </w:pPr>
            <w:r>
              <w:rPr>
                <w:rFonts w:ascii="Arial" w:hAnsi="Arial" w:cs="Arial"/>
                <w:sz w:val="18"/>
                <w:lang w:eastAsia="en-IN"/>
              </w:rPr>
              <w:t>Equal to or Greater than 12.0%</w:t>
            </w:r>
          </w:p>
        </w:tc>
        <w:tc>
          <w:tcPr>
            <w:tcW w:w="1500"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200%</w:t>
            </w:r>
          </w:p>
        </w:tc>
      </w:tr>
    </w:tbl>
    <w:p w:rsidR="00376768" w:rsidRDefault="00EC2B72">
      <w:pPr>
        <w:spacing w:before="160"/>
        <w:jc w:val="center"/>
        <w:rPr>
          <w:rFonts w:ascii="Arial" w:hAnsi="Arial" w:cs="Arial"/>
          <w:lang w:eastAsia="en-IN"/>
        </w:rPr>
      </w:pPr>
      <w:r>
        <w:rPr>
          <w:rFonts w:ascii="Arial" w:hAnsi="Arial" w:cs="Arial"/>
          <w:b/>
          <w:bCs/>
          <w:lang w:eastAsia="en-IN"/>
        </w:rPr>
        <w:t>EBITDA CAGR</w:t>
      </w:r>
    </w:p>
    <w:tbl>
      <w:tblPr>
        <w:tblW w:w="2842" w:type="pct"/>
        <w:jc w:val="center"/>
        <w:tblLayout w:type="fixed"/>
        <w:tblCellMar>
          <w:left w:w="0" w:type="dxa"/>
          <w:right w:w="0" w:type="dxa"/>
        </w:tblCellMar>
        <w:tblLook w:val="0000" w:firstRow="0" w:lastRow="0" w:firstColumn="0" w:lastColumn="0" w:noHBand="0" w:noVBand="0"/>
      </w:tblPr>
      <w:tblGrid>
        <w:gridCol w:w="1453"/>
        <w:gridCol w:w="1557"/>
        <w:gridCol w:w="214"/>
        <w:gridCol w:w="1246"/>
        <w:gridCol w:w="1669"/>
      </w:tblGrid>
      <w:tr w:rsidR="00376768">
        <w:trPr>
          <w:jc w:val="center"/>
        </w:trPr>
        <w:tc>
          <w:tcPr>
            <w:tcW w:w="1184" w:type="pct"/>
            <w:tcBorders>
              <w:bottom w:val="single" w:sz="4" w:space="0" w:color="auto"/>
            </w:tcBorders>
          </w:tcPr>
          <w:p w:rsidR="00376768" w:rsidRDefault="00376768">
            <w:pPr>
              <w:jc w:val="center"/>
              <w:rPr>
                <w:rFonts w:ascii="Arial" w:hAnsi="Arial" w:cs="Arial"/>
                <w:sz w:val="18"/>
                <w:lang w:eastAsia="en-IN"/>
              </w:rPr>
            </w:pPr>
          </w:p>
        </w:tc>
        <w:tc>
          <w:tcPr>
            <w:tcW w:w="1268" w:type="pct"/>
            <w:tcBorders>
              <w:bottom w:val="single" w:sz="4" w:space="0" w:color="auto"/>
            </w:tcBorders>
          </w:tcPr>
          <w:p w:rsidR="00376768" w:rsidRDefault="00376768">
            <w:pPr>
              <w:jc w:val="center"/>
              <w:rPr>
                <w:rFonts w:ascii="Arial" w:hAnsi="Arial" w:cs="Arial"/>
                <w:sz w:val="18"/>
                <w:lang w:eastAsia="en-IN"/>
              </w:rPr>
            </w:pPr>
          </w:p>
        </w:tc>
        <w:tc>
          <w:tcPr>
            <w:tcW w:w="174" w:type="pct"/>
          </w:tcPr>
          <w:p w:rsidR="00376768" w:rsidRDefault="00376768">
            <w:pPr>
              <w:jc w:val="center"/>
              <w:rPr>
                <w:rFonts w:ascii="Arial" w:hAnsi="Arial" w:cs="Arial"/>
                <w:sz w:val="18"/>
                <w:lang w:eastAsia="en-IN"/>
              </w:rPr>
            </w:pPr>
          </w:p>
        </w:tc>
        <w:tc>
          <w:tcPr>
            <w:tcW w:w="1015" w:type="pct"/>
            <w:tcBorders>
              <w:bottom w:val="single" w:sz="4" w:space="0" w:color="auto"/>
            </w:tcBorders>
          </w:tcPr>
          <w:p w:rsidR="00376768" w:rsidRDefault="00376768">
            <w:pPr>
              <w:jc w:val="center"/>
              <w:rPr>
                <w:rFonts w:ascii="Arial" w:hAnsi="Arial" w:cs="Arial"/>
                <w:sz w:val="18"/>
                <w:lang w:eastAsia="en-IN"/>
              </w:rPr>
            </w:pPr>
          </w:p>
        </w:tc>
        <w:tc>
          <w:tcPr>
            <w:tcW w:w="1359" w:type="pct"/>
            <w:tcBorders>
              <w:bottom w:val="single" w:sz="4" w:space="0" w:color="auto"/>
            </w:tcBorders>
          </w:tcPr>
          <w:p w:rsidR="00376768" w:rsidRDefault="00376768">
            <w:pPr>
              <w:jc w:val="center"/>
              <w:rPr>
                <w:rFonts w:ascii="Arial" w:hAnsi="Arial" w:cs="Arial"/>
                <w:sz w:val="18"/>
                <w:lang w:eastAsia="en-IN"/>
              </w:rPr>
            </w:pPr>
          </w:p>
        </w:tc>
      </w:tr>
      <w:tr w:rsidR="00376768">
        <w:trPr>
          <w:jc w:val="center"/>
        </w:trPr>
        <w:tc>
          <w:tcPr>
            <w:tcW w:w="1184" w:type="pct"/>
            <w:tcBorders>
              <w:top w:val="single" w:sz="4" w:space="0" w:color="auto"/>
              <w:left w:val="single" w:sz="4" w:space="0" w:color="auto"/>
              <w:bottom w:val="single" w:sz="4" w:space="0" w:color="auto"/>
              <w:right w:val="single" w:sz="4" w:space="0" w:color="auto"/>
            </w:tcBorders>
            <w:shd w:val="clear" w:color="auto" w:fill="B5DBE7"/>
            <w:vAlign w:val="bottom"/>
          </w:tcPr>
          <w:p w:rsidR="00376768" w:rsidRDefault="00EC2B72">
            <w:pPr>
              <w:jc w:val="center"/>
              <w:rPr>
                <w:rFonts w:ascii="Arial" w:hAnsi="Arial" w:cs="Arial"/>
                <w:sz w:val="18"/>
                <w:lang w:eastAsia="en-IN"/>
              </w:rPr>
            </w:pPr>
            <w:r>
              <w:rPr>
                <w:rFonts w:ascii="Arial" w:hAnsi="Arial" w:cs="Arial"/>
                <w:b/>
                <w:bCs/>
                <w:sz w:val="18"/>
                <w:lang w:eastAsia="en-IN"/>
              </w:rPr>
              <w:t xml:space="preserve">EBITDA </w:t>
            </w:r>
            <w:r>
              <w:rPr>
                <w:rFonts w:ascii="Arial" w:hAnsi="Arial" w:cs="Arial"/>
                <w:b/>
                <w:bCs/>
                <w:sz w:val="18"/>
                <w:lang w:eastAsia="en-IN"/>
              </w:rPr>
              <w:br/>
              <w:t>Growth Rate</w:t>
            </w:r>
          </w:p>
        </w:tc>
        <w:tc>
          <w:tcPr>
            <w:tcW w:w="1268" w:type="pct"/>
            <w:tcBorders>
              <w:top w:val="single" w:sz="4" w:space="0" w:color="auto"/>
              <w:left w:val="single" w:sz="4" w:space="0" w:color="auto"/>
              <w:bottom w:val="single" w:sz="4" w:space="0" w:color="auto"/>
              <w:right w:val="single" w:sz="4" w:space="0" w:color="auto"/>
            </w:tcBorders>
            <w:shd w:val="clear" w:color="auto" w:fill="B5DBE7"/>
            <w:vAlign w:val="bottom"/>
          </w:tcPr>
          <w:p w:rsidR="00376768" w:rsidRDefault="00EC2B72">
            <w:pPr>
              <w:jc w:val="center"/>
              <w:rPr>
                <w:rFonts w:ascii="Arial" w:hAnsi="Arial" w:cs="Arial"/>
                <w:sz w:val="18"/>
                <w:lang w:eastAsia="en-IN"/>
              </w:rPr>
            </w:pPr>
            <w:r>
              <w:rPr>
                <w:rFonts w:ascii="Arial" w:hAnsi="Arial" w:cs="Arial"/>
                <w:b/>
                <w:bCs/>
                <w:sz w:val="18"/>
                <w:lang w:eastAsia="en-IN"/>
              </w:rPr>
              <w:t xml:space="preserve">EBITDA </w:t>
            </w:r>
            <w:r>
              <w:rPr>
                <w:rFonts w:ascii="Arial" w:hAnsi="Arial" w:cs="Arial"/>
                <w:b/>
                <w:bCs/>
                <w:sz w:val="18"/>
                <w:lang w:eastAsia="en-IN"/>
              </w:rPr>
              <w:br/>
              <w:t>Award Multiplier</w:t>
            </w:r>
          </w:p>
        </w:tc>
        <w:tc>
          <w:tcPr>
            <w:tcW w:w="174" w:type="pct"/>
            <w:tcBorders>
              <w:left w:val="single" w:sz="4" w:space="0" w:color="auto"/>
              <w:right w:val="single" w:sz="4" w:space="0" w:color="auto"/>
            </w:tcBorders>
            <w:vAlign w:val="bottom"/>
          </w:tcPr>
          <w:p w:rsidR="00376768" w:rsidRDefault="00376768">
            <w:pPr>
              <w:jc w:val="center"/>
              <w:rPr>
                <w:rFonts w:ascii="Arial" w:hAnsi="Arial" w:cs="Arial"/>
                <w:sz w:val="18"/>
                <w:lang w:eastAsia="en-IN"/>
              </w:rPr>
            </w:pPr>
          </w:p>
        </w:tc>
        <w:tc>
          <w:tcPr>
            <w:tcW w:w="1015" w:type="pct"/>
            <w:tcBorders>
              <w:top w:val="single" w:sz="4" w:space="0" w:color="auto"/>
              <w:left w:val="single" w:sz="4" w:space="0" w:color="auto"/>
              <w:bottom w:val="single" w:sz="4" w:space="0" w:color="auto"/>
              <w:right w:val="single" w:sz="4" w:space="0" w:color="auto"/>
            </w:tcBorders>
            <w:shd w:val="clear" w:color="auto" w:fill="B5DBE7"/>
            <w:vAlign w:val="bottom"/>
          </w:tcPr>
          <w:p w:rsidR="00376768" w:rsidRDefault="00EC2B72">
            <w:pPr>
              <w:jc w:val="center"/>
              <w:rPr>
                <w:rFonts w:ascii="Arial" w:hAnsi="Arial" w:cs="Arial"/>
                <w:sz w:val="18"/>
                <w:lang w:eastAsia="en-IN"/>
              </w:rPr>
            </w:pPr>
            <w:r>
              <w:rPr>
                <w:rFonts w:ascii="Arial" w:hAnsi="Arial" w:cs="Arial"/>
                <w:b/>
                <w:bCs/>
                <w:sz w:val="18"/>
                <w:lang w:eastAsia="en-IN"/>
              </w:rPr>
              <w:t xml:space="preserve">EBITDA </w:t>
            </w:r>
            <w:r>
              <w:rPr>
                <w:rFonts w:ascii="Arial" w:hAnsi="Arial" w:cs="Arial"/>
                <w:b/>
                <w:bCs/>
                <w:sz w:val="18"/>
                <w:lang w:eastAsia="en-IN"/>
              </w:rPr>
              <w:br/>
              <w:t>Growth Rate</w:t>
            </w:r>
          </w:p>
        </w:tc>
        <w:tc>
          <w:tcPr>
            <w:tcW w:w="1359" w:type="pct"/>
            <w:tcBorders>
              <w:top w:val="single" w:sz="4" w:space="0" w:color="auto"/>
              <w:left w:val="single" w:sz="4" w:space="0" w:color="auto"/>
              <w:bottom w:val="single" w:sz="4" w:space="0" w:color="auto"/>
              <w:right w:val="single" w:sz="4" w:space="0" w:color="auto"/>
            </w:tcBorders>
            <w:shd w:val="clear" w:color="auto" w:fill="B5DBE7"/>
            <w:vAlign w:val="bottom"/>
          </w:tcPr>
          <w:p w:rsidR="00376768" w:rsidRDefault="00EC2B72">
            <w:pPr>
              <w:jc w:val="center"/>
              <w:rPr>
                <w:rFonts w:ascii="Arial" w:hAnsi="Arial" w:cs="Arial"/>
                <w:sz w:val="18"/>
                <w:lang w:eastAsia="en-IN"/>
              </w:rPr>
            </w:pPr>
            <w:r>
              <w:rPr>
                <w:rFonts w:ascii="Arial" w:hAnsi="Arial" w:cs="Arial"/>
                <w:b/>
                <w:bCs/>
                <w:sz w:val="18"/>
                <w:lang w:eastAsia="en-IN"/>
              </w:rPr>
              <w:t xml:space="preserve">EBITDA CAGR </w:t>
            </w:r>
            <w:r>
              <w:rPr>
                <w:rFonts w:ascii="Arial" w:hAnsi="Arial" w:cs="Arial"/>
                <w:b/>
                <w:bCs/>
                <w:sz w:val="18"/>
                <w:lang w:eastAsia="en-IN"/>
              </w:rPr>
              <w:br/>
              <w:t>Award Multiplier</w:t>
            </w:r>
          </w:p>
        </w:tc>
      </w:tr>
      <w:tr w:rsidR="00376768">
        <w:trPr>
          <w:jc w:val="center"/>
        </w:trPr>
        <w:tc>
          <w:tcPr>
            <w:tcW w:w="1184"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&gt;2%</w:t>
            </w:r>
          </w:p>
        </w:tc>
        <w:tc>
          <w:tcPr>
            <w:tcW w:w="1268"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0</w:t>
            </w:r>
          </w:p>
        </w:tc>
        <w:tc>
          <w:tcPr>
            <w:tcW w:w="174" w:type="pct"/>
            <w:tcBorders>
              <w:left w:val="single" w:sz="4" w:space="0" w:color="auto"/>
              <w:right w:val="single" w:sz="4" w:space="0" w:color="auto"/>
            </w:tcBorders>
          </w:tcPr>
          <w:p w:rsidR="00376768" w:rsidRDefault="00376768">
            <w:pPr>
              <w:jc w:val="center"/>
              <w:rPr>
                <w:rFonts w:ascii="Arial" w:hAnsi="Arial" w:cs="Arial"/>
                <w:sz w:val="18"/>
                <w:lang w:eastAsia="en-IN"/>
              </w:rPr>
            </w:pPr>
          </w:p>
        </w:tc>
        <w:tc>
          <w:tcPr>
            <w:tcW w:w="1015"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9%</w:t>
            </w:r>
          </w:p>
        </w:tc>
        <w:tc>
          <w:tcPr>
            <w:tcW w:w="1359"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1.80</w:t>
            </w:r>
          </w:p>
        </w:tc>
      </w:tr>
      <w:tr w:rsidR="00376768">
        <w:trPr>
          <w:jc w:val="center"/>
        </w:trPr>
        <w:tc>
          <w:tcPr>
            <w:tcW w:w="1184"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2%</w:t>
            </w:r>
          </w:p>
        </w:tc>
        <w:tc>
          <w:tcPr>
            <w:tcW w:w="1268"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.20</w:t>
            </w:r>
          </w:p>
        </w:tc>
        <w:tc>
          <w:tcPr>
            <w:tcW w:w="174" w:type="pct"/>
            <w:tcBorders>
              <w:left w:val="single" w:sz="4" w:space="0" w:color="auto"/>
              <w:right w:val="single" w:sz="4" w:space="0" w:color="auto"/>
            </w:tcBorders>
          </w:tcPr>
          <w:p w:rsidR="00376768" w:rsidRDefault="00376768">
            <w:pPr>
              <w:jc w:val="center"/>
              <w:rPr>
                <w:rFonts w:ascii="Arial" w:hAnsi="Arial" w:cs="Arial"/>
                <w:sz w:val="18"/>
                <w:lang w:eastAsia="en-IN"/>
              </w:rPr>
            </w:pPr>
          </w:p>
        </w:tc>
        <w:tc>
          <w:tcPr>
            <w:tcW w:w="1015"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10%</w:t>
            </w:r>
          </w:p>
        </w:tc>
        <w:tc>
          <w:tcPr>
            <w:tcW w:w="1359"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2.00</w:t>
            </w:r>
          </w:p>
        </w:tc>
      </w:tr>
      <w:tr w:rsidR="00376768">
        <w:trPr>
          <w:jc w:val="center"/>
        </w:trPr>
        <w:tc>
          <w:tcPr>
            <w:tcW w:w="1184"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3%</w:t>
            </w:r>
          </w:p>
        </w:tc>
        <w:tc>
          <w:tcPr>
            <w:tcW w:w="1268"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.60</w:t>
            </w:r>
          </w:p>
        </w:tc>
        <w:tc>
          <w:tcPr>
            <w:tcW w:w="174" w:type="pct"/>
            <w:tcBorders>
              <w:left w:val="single" w:sz="4" w:space="0" w:color="auto"/>
              <w:right w:val="single" w:sz="4" w:space="0" w:color="auto"/>
            </w:tcBorders>
          </w:tcPr>
          <w:p w:rsidR="00376768" w:rsidRDefault="00376768">
            <w:pPr>
              <w:jc w:val="center"/>
              <w:rPr>
                <w:rFonts w:ascii="Arial" w:hAnsi="Arial" w:cs="Arial"/>
                <w:sz w:val="18"/>
                <w:lang w:eastAsia="en-IN"/>
              </w:rPr>
            </w:pPr>
          </w:p>
        </w:tc>
        <w:tc>
          <w:tcPr>
            <w:tcW w:w="1015"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11%</w:t>
            </w:r>
          </w:p>
        </w:tc>
        <w:tc>
          <w:tcPr>
            <w:tcW w:w="1359"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2.20</w:t>
            </w:r>
          </w:p>
        </w:tc>
      </w:tr>
      <w:tr w:rsidR="00376768">
        <w:trPr>
          <w:jc w:val="center"/>
        </w:trPr>
        <w:tc>
          <w:tcPr>
            <w:tcW w:w="1184"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4%</w:t>
            </w:r>
          </w:p>
        </w:tc>
        <w:tc>
          <w:tcPr>
            <w:tcW w:w="1268"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.80</w:t>
            </w:r>
          </w:p>
        </w:tc>
        <w:tc>
          <w:tcPr>
            <w:tcW w:w="174" w:type="pct"/>
            <w:tcBorders>
              <w:left w:val="single" w:sz="4" w:space="0" w:color="auto"/>
              <w:right w:val="single" w:sz="4" w:space="0" w:color="auto"/>
            </w:tcBorders>
          </w:tcPr>
          <w:p w:rsidR="00376768" w:rsidRDefault="00376768">
            <w:pPr>
              <w:jc w:val="center"/>
              <w:rPr>
                <w:rFonts w:ascii="Arial" w:hAnsi="Arial" w:cs="Arial"/>
                <w:sz w:val="18"/>
                <w:lang w:eastAsia="en-IN"/>
              </w:rPr>
            </w:pPr>
          </w:p>
        </w:tc>
        <w:tc>
          <w:tcPr>
            <w:tcW w:w="1015"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12%</w:t>
            </w:r>
          </w:p>
        </w:tc>
        <w:tc>
          <w:tcPr>
            <w:tcW w:w="1359"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2.40</w:t>
            </w:r>
          </w:p>
        </w:tc>
      </w:tr>
      <w:tr w:rsidR="00376768">
        <w:trPr>
          <w:jc w:val="center"/>
        </w:trPr>
        <w:tc>
          <w:tcPr>
            <w:tcW w:w="1184"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5%</w:t>
            </w:r>
          </w:p>
        </w:tc>
        <w:tc>
          <w:tcPr>
            <w:tcW w:w="1268"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1.00</w:t>
            </w:r>
          </w:p>
        </w:tc>
        <w:tc>
          <w:tcPr>
            <w:tcW w:w="174" w:type="pct"/>
            <w:tcBorders>
              <w:left w:val="single" w:sz="4" w:space="0" w:color="auto"/>
              <w:right w:val="single" w:sz="4" w:space="0" w:color="auto"/>
            </w:tcBorders>
          </w:tcPr>
          <w:p w:rsidR="00376768" w:rsidRDefault="00376768">
            <w:pPr>
              <w:jc w:val="center"/>
              <w:rPr>
                <w:rFonts w:ascii="Arial" w:hAnsi="Arial" w:cs="Arial"/>
                <w:sz w:val="18"/>
                <w:lang w:eastAsia="en-IN"/>
              </w:rPr>
            </w:pPr>
          </w:p>
        </w:tc>
        <w:tc>
          <w:tcPr>
            <w:tcW w:w="1015"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13%</w:t>
            </w:r>
          </w:p>
        </w:tc>
        <w:tc>
          <w:tcPr>
            <w:tcW w:w="1359"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2.60</w:t>
            </w:r>
          </w:p>
        </w:tc>
      </w:tr>
      <w:tr w:rsidR="00376768">
        <w:trPr>
          <w:jc w:val="center"/>
        </w:trPr>
        <w:tc>
          <w:tcPr>
            <w:tcW w:w="1184"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6%</w:t>
            </w:r>
          </w:p>
        </w:tc>
        <w:tc>
          <w:tcPr>
            <w:tcW w:w="1268"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1.20</w:t>
            </w:r>
          </w:p>
        </w:tc>
        <w:tc>
          <w:tcPr>
            <w:tcW w:w="174" w:type="pct"/>
            <w:tcBorders>
              <w:left w:val="single" w:sz="4" w:space="0" w:color="auto"/>
              <w:right w:val="single" w:sz="4" w:space="0" w:color="auto"/>
            </w:tcBorders>
          </w:tcPr>
          <w:p w:rsidR="00376768" w:rsidRDefault="00376768">
            <w:pPr>
              <w:jc w:val="center"/>
              <w:rPr>
                <w:rFonts w:ascii="Arial" w:hAnsi="Arial" w:cs="Arial"/>
                <w:sz w:val="18"/>
                <w:lang w:eastAsia="en-IN"/>
              </w:rPr>
            </w:pPr>
          </w:p>
        </w:tc>
        <w:tc>
          <w:tcPr>
            <w:tcW w:w="1015"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14%</w:t>
            </w:r>
          </w:p>
        </w:tc>
        <w:tc>
          <w:tcPr>
            <w:tcW w:w="1359"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2.80</w:t>
            </w:r>
          </w:p>
        </w:tc>
      </w:tr>
      <w:tr w:rsidR="00376768">
        <w:trPr>
          <w:jc w:val="center"/>
        </w:trPr>
        <w:tc>
          <w:tcPr>
            <w:tcW w:w="1184"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7%</w:t>
            </w:r>
          </w:p>
        </w:tc>
        <w:tc>
          <w:tcPr>
            <w:tcW w:w="1268"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1.40</w:t>
            </w:r>
          </w:p>
        </w:tc>
        <w:tc>
          <w:tcPr>
            <w:tcW w:w="174" w:type="pct"/>
            <w:tcBorders>
              <w:left w:val="single" w:sz="4" w:space="0" w:color="auto"/>
              <w:right w:val="single" w:sz="4" w:space="0" w:color="auto"/>
            </w:tcBorders>
          </w:tcPr>
          <w:p w:rsidR="00376768" w:rsidRDefault="00376768">
            <w:pPr>
              <w:jc w:val="center"/>
              <w:rPr>
                <w:rFonts w:ascii="Arial" w:hAnsi="Arial" w:cs="Arial"/>
                <w:sz w:val="18"/>
                <w:lang w:eastAsia="en-IN"/>
              </w:rPr>
            </w:pPr>
          </w:p>
        </w:tc>
        <w:tc>
          <w:tcPr>
            <w:tcW w:w="1015"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15%</w:t>
            </w:r>
          </w:p>
        </w:tc>
        <w:tc>
          <w:tcPr>
            <w:tcW w:w="1359" w:type="pct"/>
            <w:tcBorders>
              <w:top w:val="single" w:sz="4" w:space="0" w:color="auto"/>
              <w:left w:val="single" w:sz="4" w:space="0" w:color="auto"/>
              <w:bottom w:val="single" w:sz="4" w:space="0" w:color="auto"/>
              <w:right w:val="single" w:sz="4" w:space="0" w:color="auto"/>
            </w:tcBorders>
          </w:tcPr>
          <w:p w:rsidR="00376768" w:rsidRDefault="00EC2B72">
            <w:pPr>
              <w:jc w:val="center"/>
              <w:rPr>
                <w:rFonts w:ascii="Arial" w:hAnsi="Arial" w:cs="Arial"/>
                <w:sz w:val="18"/>
                <w:lang w:eastAsia="en-IN"/>
              </w:rPr>
            </w:pPr>
            <w:r>
              <w:rPr>
                <w:rFonts w:ascii="Arial" w:hAnsi="Arial" w:cs="Arial"/>
                <w:sz w:val="18"/>
                <w:lang w:eastAsia="en-IN"/>
              </w:rPr>
              <w:t>3.00</w:t>
            </w:r>
          </w:p>
        </w:tc>
      </w:tr>
      <w:tr w:rsidR="00376768">
        <w:trPr>
          <w:jc w:val="center"/>
        </w:trPr>
        <w:tc>
          <w:tcPr>
            <w:tcW w:w="1184"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8%</w:t>
            </w:r>
          </w:p>
        </w:tc>
        <w:tc>
          <w:tcPr>
            <w:tcW w:w="1268"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1.60</w:t>
            </w:r>
          </w:p>
        </w:tc>
        <w:tc>
          <w:tcPr>
            <w:tcW w:w="174" w:type="pct"/>
            <w:tcBorders>
              <w:left w:val="single" w:sz="4" w:space="0" w:color="auto"/>
              <w:right w:val="single" w:sz="4" w:space="0" w:color="auto"/>
            </w:tcBorders>
          </w:tcPr>
          <w:p w:rsidR="00376768" w:rsidRDefault="00376768">
            <w:pPr>
              <w:jc w:val="center"/>
              <w:rPr>
                <w:rFonts w:ascii="Arial" w:hAnsi="Arial" w:cs="Arial"/>
                <w:sz w:val="18"/>
                <w:lang w:eastAsia="en-IN"/>
              </w:rPr>
            </w:pPr>
          </w:p>
        </w:tc>
        <w:tc>
          <w:tcPr>
            <w:tcW w:w="1015"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15%+</w:t>
            </w:r>
          </w:p>
        </w:tc>
        <w:tc>
          <w:tcPr>
            <w:tcW w:w="1359" w:type="pct"/>
            <w:tcBorders>
              <w:top w:val="single" w:sz="4" w:space="0" w:color="auto"/>
              <w:left w:val="single" w:sz="4" w:space="0" w:color="auto"/>
              <w:bottom w:val="single" w:sz="4" w:space="0" w:color="auto"/>
              <w:right w:val="single" w:sz="4" w:space="0" w:color="auto"/>
            </w:tcBorders>
            <w:shd w:val="clear" w:color="auto" w:fill="DEEFF7"/>
          </w:tcPr>
          <w:p w:rsidR="00376768" w:rsidRDefault="00EC2B72">
            <w:pPr>
              <w:jc w:val="center"/>
              <w:rPr>
                <w:rFonts w:ascii="Arial" w:hAnsi="Arial" w:cs="Arial"/>
                <w:sz w:val="18"/>
                <w:lang w:eastAsia="en-IN"/>
              </w:rPr>
            </w:pPr>
            <w:r>
              <w:rPr>
                <w:rFonts w:ascii="Arial" w:hAnsi="Arial" w:cs="Arial"/>
                <w:sz w:val="18"/>
                <w:lang w:eastAsia="en-IN"/>
              </w:rPr>
              <w:t>3.00</w:t>
            </w:r>
          </w:p>
        </w:tc>
      </w:tr>
    </w:tbl>
    <w:p w:rsidR="00376768" w:rsidRDefault="00EC2B72">
      <w:pPr>
        <w:spacing w:before="160"/>
        <w:ind w:firstLine="360"/>
        <w:jc w:val="both"/>
        <w:rPr>
          <w:rFonts w:ascii="Arial" w:hAnsi="Arial" w:cs="Arial"/>
        </w:rPr>
      </w:pPr>
      <w:r>
        <w:rPr>
          <w:rFonts w:ascii="Arial" w:hAnsi="Arial" w:cs="Arial"/>
          <w:lang w:eastAsia="en-IN"/>
        </w:rPr>
        <w:t>For more information regarding the 2017 PSU and restricted stock awards granted to our NEOs, please see the Summary Compensation Table and Grants of Plan Based Awards in 2017.</w:t>
      </w:r>
    </w:p>
    <w:p w:rsidR="00376768" w:rsidRDefault="00EC2B72">
      <w:pPr>
        <w:spacing w:before="160"/>
        <w:ind w:firstLine="360"/>
        <w:rPr>
          <w:rFonts w:ascii="Arial" w:hAnsi="Arial" w:cs="Arial"/>
        </w:rPr>
      </w:pPr>
      <w:r>
        <w:rPr>
          <w:rFonts w:ascii="Arial" w:hAnsi="Arial" w:cs="Arial"/>
          <w:i/>
          <w:iCs/>
          <w:lang w:eastAsia="en-IN"/>
        </w:rPr>
        <w:t>Retention Awards of Restricted Stock</w:t>
      </w:r>
    </w:p>
    <w:p w:rsidR="00376768" w:rsidRDefault="00EC2B72">
      <w:pPr>
        <w:spacing w:before="160"/>
        <w:ind w:firstLine="360"/>
        <w:jc w:val="both"/>
        <w:rPr>
          <w:rFonts w:ascii="Arial" w:hAnsi="Arial" w:cs="Arial"/>
          <w:szCs w:val="20"/>
        </w:rPr>
      </w:pPr>
      <w:r>
        <w:rPr>
          <w:rFonts w:ascii="Arial" w:hAnsi="Arial" w:cs="Arial"/>
          <w:lang w:eastAsia="en-IN"/>
        </w:rPr>
        <w:t xml:space="preserve">At the commencement of Fiscal 2017, the Company was facing historically difficult market conditions including a sales decrease of 23.4% from the fourth quarter of 2015. The Compensation Committee recognized that, unless retention incentives were implemented to retain the Company’s executive leadership team, the Company was at significant risk of losing members of the team that were necessary to the execution of the Company’s business strategy for Fiscal 2017 and </w:t>
      </w:r>
      <w:r>
        <w:rPr>
          <w:rFonts w:ascii="Arial" w:hAnsi="Arial" w:cs="Arial"/>
          <w:lang w:eastAsia="en-IN"/>
        </w:rPr>
        <w:lastRenderedPageBreak/>
        <w:t xml:space="preserve">beyond (which, in fact, occurred but only in the case of Mr. Russo). Mr. Bauer requested that a retention award not be made to him, but agreed with the awards to other officers were necessary. With this goal in mind, the Committee approved the grant of retention restricted stock awards to its executive officers to retain key talent critical to the Company’s performance improvement and overall shareholder value. The retention restricted stock awards include a four-year vesting schedule, with 50% vesting on the second anniversary of grant, and 25% on each of the third and fourth anniversaries of grant. These awards were intended primarily as a retention tool but were also intended to align our executive’s focus with shareholders’ interests to execute on business strategies designed, in part, to improve the Company’s stock price (the Company’s closing stock </w:t>
      </w:r>
      <w:r>
        <w:rPr>
          <w:rFonts w:ascii="Arial" w:hAnsi="Arial" w:cs="Arial"/>
          <w:szCs w:val="20"/>
        </w:rPr>
        <w:t>price per share on the first trading day of 2017 was $14.30 and its closing stock price per share on the final trading day of 2017 was $27.15; an almost 90% increase). The Compensation Committee believes that these retention incentive awards mitigated a significant risk to the Company in 2017 of losing more members of its executive team, and assisted in focusing our executive leadership team on pursuing business strategies that, in fact, increased shareholder value.</w:t>
      </w:r>
    </w:p>
    <w:p w:rsidR="00376768" w:rsidRDefault="00EC2B72">
      <w:pPr>
        <w:spacing w:before="160"/>
        <w:jc w:val="both"/>
        <w:rPr>
          <w:rFonts w:ascii="Arial" w:hAnsi="Arial" w:cs="Arial"/>
          <w:szCs w:val="20"/>
        </w:rPr>
      </w:pPr>
      <w:r>
        <w:rPr>
          <w:rFonts w:ascii="Arial" w:hAnsi="Arial" w:cs="Arial"/>
          <w:szCs w:val="20"/>
        </w:rPr>
        <w:t xml:space="preserve">The awards are set forth in the Grants of Plan-Based Awards Table and include: Mr. Russo, 5,293 shares; Mr. Scanlon, 1,588 shares; Mr. </w:t>
      </w:r>
      <w:proofErr w:type="spellStart"/>
      <w:r>
        <w:rPr>
          <w:rFonts w:ascii="Arial" w:hAnsi="Arial" w:cs="Arial"/>
          <w:szCs w:val="20"/>
        </w:rPr>
        <w:t>Kasel</w:t>
      </w:r>
      <w:proofErr w:type="spellEnd"/>
      <w:r>
        <w:rPr>
          <w:rFonts w:ascii="Arial" w:hAnsi="Arial" w:cs="Arial"/>
          <w:szCs w:val="20"/>
        </w:rPr>
        <w:t xml:space="preserve">, 4,058 shares; Mr. </w:t>
      </w:r>
      <w:proofErr w:type="spellStart"/>
      <w:r>
        <w:rPr>
          <w:rFonts w:ascii="Arial" w:hAnsi="Arial" w:cs="Arial"/>
          <w:szCs w:val="20"/>
        </w:rPr>
        <w:t>Guinee</w:t>
      </w:r>
      <w:proofErr w:type="spellEnd"/>
      <w:r>
        <w:rPr>
          <w:rFonts w:ascii="Arial" w:hAnsi="Arial" w:cs="Arial"/>
          <w:szCs w:val="20"/>
        </w:rPr>
        <w:t>, 2,823 shares; and Mr. Kelly, 2,646 shares. Messrs. Russo and Scanlon forfeited the full amounts of their awards upon their resignations on April 21, 2017 and March 30, 2018, respectively.</w:t>
      </w:r>
    </w:p>
    <w:p w:rsidR="00376768" w:rsidRDefault="00EC2B72">
      <w:pPr>
        <w:spacing w:before="160"/>
        <w:ind w:firstLine="360"/>
        <w:jc w:val="both"/>
        <w:rPr>
          <w:rFonts w:ascii="Arial" w:hAnsi="Arial" w:cs="Arial"/>
          <w:szCs w:val="20"/>
        </w:rPr>
      </w:pPr>
      <w:r>
        <w:rPr>
          <w:rFonts w:ascii="Arial" w:hAnsi="Arial" w:cs="Arial"/>
          <w:i/>
          <w:iCs/>
          <w:szCs w:val="20"/>
        </w:rPr>
        <w:t>2015-2017 Performance Share Unit Awards</w:t>
      </w:r>
    </w:p>
    <w:p w:rsidR="00376768" w:rsidRDefault="00EC2B72">
      <w:pPr>
        <w:spacing w:before="160"/>
        <w:ind w:firstLine="360"/>
        <w:jc w:val="both"/>
        <w:rPr>
          <w:rFonts w:ascii="Arial" w:hAnsi="Arial" w:cs="Arial"/>
          <w:szCs w:val="20"/>
        </w:rPr>
      </w:pPr>
      <w:r>
        <w:rPr>
          <w:rFonts w:ascii="Arial" w:hAnsi="Arial" w:cs="Arial"/>
          <w:szCs w:val="20"/>
        </w:rPr>
        <w:t>The performance goals applicable to the PSU awards granted to our NEOs in 2015 were equally weighted as Corporate ROIC and Earnings CAGR, and were measured over a performance period of January 1, 2015 through December 31, 2017. The formulas applicable to each of the Corporate ROIC and Earnings CAGR metrics are described on pages 40-41 of our proxy statement filed on April 13, 2016.</w:t>
      </w:r>
    </w:p>
    <w:p w:rsidR="00376768" w:rsidRDefault="00EC2B72">
      <w:pPr>
        <w:spacing w:before="160"/>
        <w:ind w:firstLine="360"/>
        <w:jc w:val="both"/>
        <w:rPr>
          <w:rFonts w:ascii="Arial" w:hAnsi="Arial" w:cs="Arial"/>
          <w:szCs w:val="20"/>
        </w:rPr>
      </w:pPr>
      <w:r>
        <w:rPr>
          <w:rFonts w:ascii="Arial" w:hAnsi="Arial" w:cs="Arial"/>
          <w:szCs w:val="20"/>
        </w:rPr>
        <w:t xml:space="preserve">Actual Corporate ROIC achievement for the 2015-2017 performance period was derived by averaging the actual ROIC in fiscal years 2015, 2016 and 2017 (6.80%, .90%, and 6.20%, respectively). The average ROIC over the 2015-2017 performance </w:t>
      </w:r>
      <w:proofErr w:type="gramStart"/>
      <w:r>
        <w:rPr>
          <w:rFonts w:ascii="Arial" w:hAnsi="Arial" w:cs="Arial"/>
          <w:szCs w:val="20"/>
        </w:rPr>
        <w:t>period</w:t>
      </w:r>
      <w:proofErr w:type="gramEnd"/>
      <w:r>
        <w:rPr>
          <w:rFonts w:ascii="Arial" w:hAnsi="Arial" w:cs="Arial"/>
          <w:szCs w:val="20"/>
        </w:rPr>
        <w:t xml:space="preserve"> was below threshold at 4.63%, which resulted in no PSUs earned as to this metric. As the Earnings CAGR achievement for the 2015-2017 performance </w:t>
      </w:r>
      <w:proofErr w:type="gramStart"/>
      <w:r>
        <w:rPr>
          <w:rFonts w:ascii="Arial" w:hAnsi="Arial" w:cs="Arial"/>
          <w:szCs w:val="20"/>
        </w:rPr>
        <w:t>period</w:t>
      </w:r>
      <w:proofErr w:type="gramEnd"/>
      <w:r>
        <w:rPr>
          <w:rFonts w:ascii="Arial" w:hAnsi="Arial" w:cs="Arial"/>
          <w:szCs w:val="20"/>
        </w:rPr>
        <w:t xml:space="preserve"> was negative</w:t>
      </w:r>
      <w:r>
        <w:rPr>
          <w:rFonts w:ascii="Arial" w:hAnsi="Arial" w:cs="Arial"/>
          <w:b/>
          <w:bCs/>
          <w:szCs w:val="20"/>
        </w:rPr>
        <w:t xml:space="preserve">, </w:t>
      </w:r>
      <w:r>
        <w:rPr>
          <w:rFonts w:ascii="Arial" w:hAnsi="Arial" w:cs="Arial"/>
          <w:szCs w:val="20"/>
        </w:rPr>
        <w:t>no PSUs were earned pursuant to this metric. As a result, there was no payout under the 2015 PSU awards and the awards were cancelled in their entirety, which was the third consecutive year with no PSU pay-out.</w:t>
      </w:r>
    </w:p>
    <w:p w:rsidR="00376768" w:rsidRDefault="00EC2B72">
      <w:pPr>
        <w:spacing w:before="160"/>
        <w:jc w:val="center"/>
        <w:rPr>
          <w:rFonts w:ascii="Arial" w:hAnsi="Arial" w:cs="Arial"/>
          <w:szCs w:val="20"/>
        </w:rPr>
      </w:pPr>
      <w:r>
        <w:rPr>
          <w:rFonts w:ascii="Arial" w:hAnsi="Arial" w:cs="Arial"/>
          <w:b/>
          <w:bCs/>
          <w:i/>
          <w:iCs/>
          <w:szCs w:val="20"/>
          <w:u w:val="single"/>
        </w:rPr>
        <w:t>Other Co</w:t>
      </w:r>
      <w:bookmarkStart w:id="29" w:name="a029_v1"/>
      <w:bookmarkEnd w:id="29"/>
      <w:r>
        <w:rPr>
          <w:rFonts w:ascii="Arial" w:hAnsi="Arial" w:cs="Arial"/>
          <w:b/>
          <w:bCs/>
          <w:i/>
          <w:iCs/>
          <w:szCs w:val="20"/>
          <w:u w:val="single"/>
        </w:rPr>
        <w:t>mpensation Practices</w:t>
      </w:r>
    </w:p>
    <w:p w:rsidR="00376768" w:rsidRDefault="00EC2B72">
      <w:pPr>
        <w:spacing w:before="160"/>
        <w:ind w:firstLine="360"/>
        <w:jc w:val="both"/>
        <w:rPr>
          <w:rFonts w:ascii="Arial" w:hAnsi="Arial" w:cs="Arial"/>
          <w:szCs w:val="20"/>
        </w:rPr>
      </w:pPr>
      <w:r>
        <w:rPr>
          <w:rFonts w:ascii="Arial" w:hAnsi="Arial" w:cs="Arial"/>
          <w:i/>
          <w:iCs/>
          <w:szCs w:val="20"/>
        </w:rPr>
        <w:t>Retirement Plans</w:t>
      </w:r>
    </w:p>
    <w:p w:rsidR="00376768" w:rsidRDefault="00EC2B72">
      <w:pPr>
        <w:spacing w:before="160"/>
        <w:ind w:firstLine="360"/>
        <w:jc w:val="both"/>
        <w:rPr>
          <w:rFonts w:ascii="Arial" w:hAnsi="Arial" w:cs="Arial"/>
          <w:szCs w:val="20"/>
        </w:rPr>
      </w:pPr>
      <w:r>
        <w:rPr>
          <w:rFonts w:ascii="Arial" w:hAnsi="Arial" w:cs="Arial"/>
          <w:szCs w:val="20"/>
        </w:rPr>
        <w:t>The NEOs participate in the Company’s 401(k) and Profit Sharing Plan (“401(k) Plan”), a defined contribution retirement plan, qualifying under Section 401(k) of the Code, which is available to a broad segment of the Company’s employees. The Company’s contributions for 2017 to the 401(k) Plan with respect to our NEOs are included in the Summary Compensation Table (see page 54); the Company made a discretionary profit-sharing contribution to the 401(k) Plan for 2017 equal to 1.8% of base salary for all NEOs.</w:t>
      </w:r>
    </w:p>
    <w:p w:rsidR="00376768" w:rsidRDefault="00EC2B72">
      <w:pPr>
        <w:spacing w:before="160"/>
        <w:ind w:firstLine="360"/>
        <w:jc w:val="both"/>
        <w:rPr>
          <w:rFonts w:ascii="Arial" w:hAnsi="Arial" w:cs="Arial"/>
          <w:szCs w:val="20"/>
        </w:rPr>
      </w:pPr>
      <w:r>
        <w:rPr>
          <w:rFonts w:ascii="Arial" w:hAnsi="Arial" w:cs="Arial"/>
          <w:szCs w:val="20"/>
        </w:rPr>
        <w:t>The Company also maintains a Supplemental Executive Retirement Plan (the “SERP”) under which executive officers may accrue benefits unavailable under the 401(k) Plan because of Code limitations. These benefits are also included in the Summary Compensation Table and 2017 Non-Qualified Deferred Compensation table (see pages 54 and 59, respectively).</w:t>
      </w:r>
    </w:p>
    <w:p w:rsidR="00376768" w:rsidRDefault="00EC2B72">
      <w:pPr>
        <w:spacing w:before="160"/>
        <w:ind w:firstLine="360"/>
        <w:jc w:val="both"/>
        <w:rPr>
          <w:rFonts w:ascii="Arial" w:hAnsi="Arial" w:cs="Arial"/>
          <w:szCs w:val="20"/>
        </w:rPr>
      </w:pPr>
      <w:r>
        <w:rPr>
          <w:rFonts w:ascii="Arial" w:hAnsi="Arial" w:cs="Arial"/>
          <w:szCs w:val="20"/>
        </w:rPr>
        <w:t>The Company maintains these retirement plans for retention purposes and to provide a competitive opportunity for the Company’s employees to obtain a secure retirement.</w:t>
      </w:r>
    </w:p>
    <w:p w:rsidR="00376768" w:rsidRDefault="00EC2B72">
      <w:pPr>
        <w:spacing w:before="160"/>
        <w:ind w:firstLine="360"/>
        <w:jc w:val="both"/>
        <w:rPr>
          <w:rFonts w:ascii="Arial" w:hAnsi="Arial" w:cs="Arial"/>
          <w:szCs w:val="20"/>
        </w:rPr>
      </w:pPr>
      <w:r>
        <w:rPr>
          <w:rFonts w:ascii="Arial" w:hAnsi="Arial" w:cs="Arial"/>
          <w:i/>
          <w:iCs/>
          <w:szCs w:val="20"/>
        </w:rPr>
        <w:t>No Employment Agreements</w:t>
      </w:r>
    </w:p>
    <w:p w:rsidR="00376768" w:rsidRDefault="00EC2B72">
      <w:pPr>
        <w:spacing w:before="160" w:after="100"/>
        <w:ind w:firstLine="360"/>
        <w:jc w:val="both"/>
        <w:rPr>
          <w:rFonts w:ascii="Arial" w:hAnsi="Arial" w:cs="Arial"/>
          <w:szCs w:val="20"/>
        </w:rPr>
      </w:pPr>
      <w:r>
        <w:rPr>
          <w:rFonts w:ascii="Arial" w:hAnsi="Arial" w:cs="Arial"/>
          <w:szCs w:val="20"/>
        </w:rPr>
        <w:t>The Company does not currently provide its NEOs with formal employment agreements.</w:t>
      </w:r>
    </w:p>
    <w:p w:rsidR="00376768" w:rsidRDefault="00EC2B72">
      <w:pPr>
        <w:spacing w:before="160"/>
        <w:ind w:firstLine="360"/>
        <w:jc w:val="both"/>
        <w:rPr>
          <w:rFonts w:ascii="Arial" w:hAnsi="Arial" w:cs="Arial"/>
          <w:szCs w:val="20"/>
        </w:rPr>
      </w:pPr>
      <w:r>
        <w:rPr>
          <w:rFonts w:ascii="Arial" w:hAnsi="Arial" w:cs="Arial"/>
          <w:i/>
          <w:iCs/>
          <w:szCs w:val="20"/>
        </w:rPr>
        <w:t>Separation Plan and Change-In-Control Arrangements</w:t>
      </w:r>
    </w:p>
    <w:p w:rsidR="00376768" w:rsidRDefault="00EC2B72">
      <w:pPr>
        <w:spacing w:before="160"/>
        <w:ind w:firstLine="360"/>
        <w:jc w:val="both"/>
        <w:rPr>
          <w:rFonts w:ascii="Arial" w:hAnsi="Arial" w:cs="Arial"/>
          <w:szCs w:val="20"/>
        </w:rPr>
      </w:pPr>
      <w:r>
        <w:rPr>
          <w:rFonts w:ascii="Arial" w:hAnsi="Arial" w:cs="Arial"/>
          <w:szCs w:val="20"/>
        </w:rPr>
        <w:t xml:space="preserve">The Separation Plan provides severance in the event of both a change-in-control of the Company and a qualifying termination of a NEO’s employment, and includes Mr. Bauer as a participant.  The Committee believes that providing severance in these situations is beneficial to shareholders so that executives may remain unbiased when evaluating a transaction that may be beneficial to shareholders, yet could negatively impact their continued employment with the Company. In the event a participant experiences a qualifying employment termination in connection with a change-in-control of the Company, such participant is entitled to receive the participant’s base salary plus the average of the participant’s annual cash bonuses paid or due and payable over the prior three calendar years multiplied by a “Benefit </w:t>
      </w:r>
      <w:r>
        <w:rPr>
          <w:rFonts w:ascii="Arial" w:hAnsi="Arial" w:cs="Arial"/>
          <w:szCs w:val="20"/>
        </w:rPr>
        <w:lastRenderedPageBreak/>
        <w:t>Factor” (subject to execution (and non-revocation) of a release of claims and compliance with confidentiality and one-year non-compete and customer and employee non-solicit obligations).</w:t>
      </w:r>
    </w:p>
    <w:p w:rsidR="00376768" w:rsidRDefault="00EC2B72" w:rsidP="00EA378C">
      <w:pPr>
        <w:spacing w:before="160" w:after="160"/>
        <w:ind w:firstLine="360"/>
        <w:jc w:val="both"/>
        <w:rPr>
          <w:rFonts w:ascii="Arial" w:hAnsi="Arial" w:cs="Arial"/>
          <w:szCs w:val="20"/>
        </w:rPr>
      </w:pPr>
      <w:r>
        <w:rPr>
          <w:rFonts w:ascii="Arial" w:hAnsi="Arial" w:cs="Arial"/>
          <w:szCs w:val="20"/>
        </w:rPr>
        <w:t>The participants’ Benefit Factors are as follows:</w:t>
      </w:r>
    </w:p>
    <w:tbl>
      <w:tblPr>
        <w:tblW w:w="3000" w:type="pct"/>
        <w:jc w:val="center"/>
        <w:tblLayout w:type="fixed"/>
        <w:tblCellMar>
          <w:left w:w="0" w:type="dxa"/>
          <w:right w:w="0" w:type="dxa"/>
        </w:tblCellMar>
        <w:tblLook w:val="0000" w:firstRow="0" w:lastRow="0" w:firstColumn="0" w:lastColumn="0" w:noHBand="0" w:noVBand="0"/>
      </w:tblPr>
      <w:tblGrid>
        <w:gridCol w:w="4928"/>
        <w:gridCol w:w="1556"/>
      </w:tblGrid>
      <w:tr w:rsidR="00376768">
        <w:trPr>
          <w:jc w:val="center"/>
        </w:trPr>
        <w:tc>
          <w:tcPr>
            <w:tcW w:w="1900" w:type="pct"/>
            <w:tcBorders>
              <w:top w:val="single" w:sz="2" w:space="0" w:color="000000"/>
              <w:left w:val="single" w:sz="2" w:space="0" w:color="000000"/>
              <w:bottom w:val="single" w:sz="2" w:space="0" w:color="000000"/>
            </w:tcBorders>
            <w:shd w:val="clear" w:color="auto" w:fill="B5DBE7"/>
          </w:tcPr>
          <w:p w:rsidR="00376768" w:rsidRDefault="00376768">
            <w:pPr>
              <w:rPr>
                <w:rFonts w:ascii="Arial" w:hAnsi="Arial" w:cs="Arial"/>
                <w:sz w:val="18"/>
                <w:szCs w:val="16"/>
                <w:lang w:val="es-ES"/>
              </w:rPr>
            </w:pPr>
          </w:p>
        </w:tc>
        <w:tc>
          <w:tcPr>
            <w:tcW w:w="600" w:type="pct"/>
            <w:tcBorders>
              <w:top w:val="single" w:sz="2" w:space="0" w:color="000000"/>
              <w:bottom w:val="single" w:sz="2" w:space="0" w:color="000000"/>
              <w:right w:val="single" w:sz="2" w:space="0" w:color="000000"/>
            </w:tcBorders>
            <w:shd w:val="clear" w:color="auto" w:fill="B5DBE7"/>
          </w:tcPr>
          <w:p w:rsidR="00376768" w:rsidRDefault="00EC2B72">
            <w:pPr>
              <w:jc w:val="center"/>
              <w:rPr>
                <w:rFonts w:ascii="Arial" w:hAnsi="Arial" w:cs="Arial"/>
                <w:sz w:val="18"/>
                <w:szCs w:val="16"/>
              </w:rPr>
            </w:pPr>
            <w:r>
              <w:rPr>
                <w:rFonts w:ascii="Arial" w:hAnsi="Arial" w:cs="Arial"/>
                <w:b/>
                <w:bCs/>
                <w:sz w:val="18"/>
                <w:szCs w:val="16"/>
              </w:rPr>
              <w:t>Benefit Factor</w:t>
            </w:r>
          </w:p>
        </w:tc>
      </w:tr>
      <w:tr w:rsidR="00376768">
        <w:trPr>
          <w:jc w:val="center"/>
        </w:trPr>
        <w:tc>
          <w:tcPr>
            <w:tcW w:w="1900" w:type="pct"/>
            <w:tcBorders>
              <w:top w:val="single" w:sz="2" w:space="0" w:color="000000"/>
              <w:left w:val="single" w:sz="2" w:space="0" w:color="000000"/>
              <w:bottom w:val="single" w:sz="2" w:space="0" w:color="000000"/>
            </w:tcBorders>
          </w:tcPr>
          <w:p w:rsidR="00376768" w:rsidRDefault="00EC2B72">
            <w:pPr>
              <w:spacing w:before="40"/>
              <w:ind w:left="346" w:hanging="173"/>
              <w:rPr>
                <w:rFonts w:ascii="Arial" w:hAnsi="Arial" w:cs="Arial"/>
                <w:sz w:val="18"/>
                <w:szCs w:val="20"/>
              </w:rPr>
            </w:pPr>
            <w:r>
              <w:rPr>
                <w:rFonts w:ascii="Arial" w:hAnsi="Arial" w:cs="Arial"/>
                <w:sz w:val="18"/>
                <w:szCs w:val="20"/>
              </w:rPr>
              <w:t>CEO and Senior Vice Presidents</w:t>
            </w:r>
          </w:p>
        </w:tc>
        <w:tc>
          <w:tcPr>
            <w:tcW w:w="600" w:type="pct"/>
            <w:tcBorders>
              <w:top w:val="single" w:sz="2" w:space="0" w:color="000000"/>
              <w:bottom w:val="single" w:sz="2" w:space="0" w:color="000000"/>
              <w:right w:val="single" w:sz="2" w:space="0" w:color="000000"/>
            </w:tcBorders>
          </w:tcPr>
          <w:p w:rsidR="00376768" w:rsidRDefault="00EC2B72">
            <w:pPr>
              <w:jc w:val="center"/>
              <w:rPr>
                <w:rFonts w:ascii="Arial" w:hAnsi="Arial" w:cs="Arial"/>
                <w:sz w:val="18"/>
                <w:szCs w:val="20"/>
              </w:rPr>
            </w:pPr>
            <w:r>
              <w:rPr>
                <w:rFonts w:ascii="Arial" w:hAnsi="Arial" w:cs="Arial"/>
                <w:sz w:val="18"/>
                <w:szCs w:val="20"/>
              </w:rPr>
              <w:t>2</w:t>
            </w:r>
          </w:p>
        </w:tc>
      </w:tr>
      <w:tr w:rsidR="00376768">
        <w:trPr>
          <w:jc w:val="center"/>
        </w:trPr>
        <w:tc>
          <w:tcPr>
            <w:tcW w:w="1900" w:type="pct"/>
            <w:tcBorders>
              <w:top w:val="single" w:sz="2" w:space="0" w:color="000000"/>
              <w:left w:val="single" w:sz="2" w:space="0" w:color="000000"/>
              <w:bottom w:val="single" w:sz="2" w:space="0" w:color="000000"/>
            </w:tcBorders>
            <w:shd w:val="clear" w:color="auto" w:fill="DEEFF7"/>
          </w:tcPr>
          <w:p w:rsidR="00376768" w:rsidRDefault="00EC2B72">
            <w:pPr>
              <w:spacing w:before="40"/>
              <w:ind w:left="346" w:hanging="173"/>
              <w:rPr>
                <w:rFonts w:ascii="Arial" w:hAnsi="Arial" w:cs="Arial"/>
                <w:sz w:val="18"/>
                <w:szCs w:val="20"/>
              </w:rPr>
            </w:pPr>
            <w:r>
              <w:rPr>
                <w:rFonts w:ascii="Arial" w:hAnsi="Arial" w:cs="Arial"/>
                <w:sz w:val="18"/>
                <w:szCs w:val="20"/>
              </w:rPr>
              <w:t>Vice Presidents and Controller and CAO</w:t>
            </w:r>
          </w:p>
        </w:tc>
        <w:tc>
          <w:tcPr>
            <w:tcW w:w="600" w:type="pct"/>
            <w:tcBorders>
              <w:top w:val="single" w:sz="2" w:space="0" w:color="000000"/>
              <w:bottom w:val="single" w:sz="2" w:space="0" w:color="000000"/>
              <w:right w:val="single" w:sz="2" w:space="0" w:color="000000"/>
            </w:tcBorders>
            <w:shd w:val="clear" w:color="auto" w:fill="DEEFF7"/>
          </w:tcPr>
          <w:p w:rsidR="00376768" w:rsidRDefault="00EC2B72">
            <w:pPr>
              <w:jc w:val="center"/>
              <w:rPr>
                <w:rFonts w:ascii="Arial" w:hAnsi="Arial" w:cs="Arial"/>
                <w:sz w:val="18"/>
                <w:szCs w:val="20"/>
              </w:rPr>
            </w:pPr>
            <w:r>
              <w:rPr>
                <w:rFonts w:ascii="Arial" w:hAnsi="Arial" w:cs="Arial"/>
                <w:sz w:val="18"/>
                <w:szCs w:val="20"/>
              </w:rPr>
              <w:t>1</w:t>
            </w:r>
          </w:p>
        </w:tc>
      </w:tr>
    </w:tbl>
    <w:p w:rsidR="00376768" w:rsidRDefault="00EC2B72">
      <w:pPr>
        <w:spacing w:before="160"/>
        <w:ind w:firstLine="360"/>
        <w:jc w:val="both"/>
        <w:rPr>
          <w:rFonts w:ascii="Arial" w:hAnsi="Arial" w:cs="Arial"/>
          <w:szCs w:val="20"/>
        </w:rPr>
      </w:pPr>
      <w:r>
        <w:rPr>
          <w:rFonts w:ascii="Arial" w:hAnsi="Arial" w:cs="Arial"/>
          <w:szCs w:val="20"/>
        </w:rPr>
        <w:t>Subject to compliance with the obligations in the release, a participant also will be paid $15,000 for outplacement services, and provided medical, dental and vision insurance for up to 18 months post-employment. A participant will not be entitled to these payments and benefits under the Separation Plan, unless both: (i) a change-in-control has occurred; and (ii) the participant’s employment has been terminated (involuntarily without “cause” or for “good reason”).</w:t>
      </w:r>
    </w:p>
    <w:p w:rsidR="00376768" w:rsidRDefault="00EC2B72">
      <w:pPr>
        <w:spacing w:before="160"/>
        <w:ind w:firstLine="360"/>
        <w:jc w:val="both"/>
        <w:rPr>
          <w:rFonts w:ascii="Arial" w:hAnsi="Arial" w:cs="Arial"/>
          <w:szCs w:val="20"/>
        </w:rPr>
      </w:pPr>
      <w:r>
        <w:rPr>
          <w:rFonts w:ascii="Arial" w:hAnsi="Arial" w:cs="Arial"/>
          <w:szCs w:val="20"/>
        </w:rPr>
        <w:t>Our PSUs and restricted stock award agreements also include change-in-control provisions. In the event of a change-in-control, the Committee may, in its discretion, determine that PSU awards are deemed earned at a target award level on a pro-rated basis (generally based on the number of months elapsed during the applicable performance period prior to the change-in-control). For restricted stock awards granted in 2014 and thereafter, such awards will only vest if an executive experiences a qualifying termination of employment in connection with a change-in-control (double trigger).</w:t>
      </w:r>
    </w:p>
    <w:p w:rsidR="00376768" w:rsidRDefault="00EC2B72">
      <w:pPr>
        <w:spacing w:before="160"/>
        <w:ind w:firstLine="360"/>
        <w:jc w:val="both"/>
        <w:rPr>
          <w:rFonts w:ascii="Arial" w:hAnsi="Arial" w:cs="Arial"/>
          <w:szCs w:val="20"/>
        </w:rPr>
      </w:pPr>
      <w:r>
        <w:rPr>
          <w:rFonts w:ascii="Arial" w:hAnsi="Arial" w:cs="Arial"/>
          <w:szCs w:val="20"/>
        </w:rPr>
        <w:t>Any payment to a participant that would constitute an “excess parachute payment” within the meaning of Section 280G of the Code will cause the payment to be reduced to an amount, which maximizes the aggregate present value of the payment, without causing any payment to be subject to the limitation of deduction under Section 280G.  See pages 64-66 for estimates on the benefits the NEOs would have received if a participant was terminated on December 31, 2017, in connection with a change-in-control.</w:t>
      </w:r>
    </w:p>
    <w:p w:rsidR="00376768" w:rsidRDefault="00EC2B72">
      <w:pPr>
        <w:spacing w:before="160"/>
        <w:ind w:firstLine="360"/>
        <w:jc w:val="both"/>
        <w:rPr>
          <w:rFonts w:ascii="Arial" w:hAnsi="Arial" w:cs="Arial"/>
          <w:szCs w:val="20"/>
        </w:rPr>
      </w:pPr>
      <w:r>
        <w:rPr>
          <w:rFonts w:ascii="Arial" w:hAnsi="Arial" w:cs="Arial"/>
          <w:i/>
          <w:iCs/>
          <w:szCs w:val="20"/>
        </w:rPr>
        <w:t>Stock Ownership Policy</w:t>
      </w:r>
    </w:p>
    <w:p w:rsidR="00376768" w:rsidRDefault="00EC2B72">
      <w:pPr>
        <w:spacing w:before="160"/>
        <w:ind w:firstLine="360"/>
        <w:jc w:val="both"/>
        <w:rPr>
          <w:rFonts w:ascii="Arial" w:hAnsi="Arial" w:cs="Arial"/>
          <w:szCs w:val="20"/>
        </w:rPr>
      </w:pPr>
      <w:r>
        <w:rPr>
          <w:rFonts w:ascii="Arial" w:hAnsi="Arial" w:cs="Arial"/>
          <w:szCs w:val="20"/>
        </w:rPr>
        <w:t>The Company’s Stock Ownership Policy requires our CEO to own stock valued at least 5 times his salary.  Senior Vice Presidents are required to own stock valued at least 2.5 times their respective salaries, and Vice Presidents and the Controller and Chief Accounting Officer are required to own stock valued at least 1.5 times their respective salaries.  The Stock Ownership Policy requires executives to retain 100% of the shares that are earned or that vest (net of tax) at any time while the value of current holdings is below the target requirement.  Shares that count toward the requirement include unvested restricted shares, shares acquired through employee benefit plans and shares held outright by the executive.  In cases of hardship, the CEO may recommend to the Committee, and the Committee may grant the executive, permission to sell shares even if the Policy requirement has not been met. The Committee believes that such ownership requirements will discourage executives from taking any excessive long-term risks.</w:t>
      </w:r>
    </w:p>
    <w:p w:rsidR="00376768" w:rsidRDefault="00EC2B72">
      <w:pPr>
        <w:spacing w:before="160"/>
        <w:ind w:firstLine="360"/>
        <w:jc w:val="both"/>
        <w:rPr>
          <w:rFonts w:ascii="Arial" w:hAnsi="Arial" w:cs="Arial"/>
          <w:szCs w:val="20"/>
        </w:rPr>
      </w:pPr>
      <w:r>
        <w:rPr>
          <w:rFonts w:ascii="Arial" w:hAnsi="Arial" w:cs="Arial"/>
          <w:i/>
          <w:iCs/>
          <w:szCs w:val="20"/>
        </w:rPr>
        <w:t>Tax Considerations</w:t>
      </w:r>
    </w:p>
    <w:p w:rsidR="00376768" w:rsidRDefault="00EC2B72">
      <w:pPr>
        <w:spacing w:before="160"/>
        <w:ind w:firstLine="360"/>
        <w:jc w:val="both"/>
        <w:rPr>
          <w:rFonts w:ascii="Arial" w:hAnsi="Arial" w:cs="Arial"/>
          <w:szCs w:val="20"/>
        </w:rPr>
      </w:pPr>
      <w:r>
        <w:rPr>
          <w:rFonts w:ascii="Arial" w:hAnsi="Arial" w:cs="Arial"/>
          <w:szCs w:val="20"/>
        </w:rPr>
        <w:t>The Committee has considered the impact of the applicable tax laws with respect to compensation paid under the Company’s plans, arrangements and agreements.  In certain instances, applicable tax laws impose potential penalties on such compensation and/or result in a loss of deduction to the Company for such compensation.</w:t>
      </w:r>
    </w:p>
    <w:p w:rsidR="00376768" w:rsidRDefault="00EC2B72">
      <w:pPr>
        <w:spacing w:before="160"/>
        <w:ind w:firstLine="360"/>
        <w:jc w:val="both"/>
        <w:rPr>
          <w:rFonts w:ascii="Arial" w:hAnsi="Arial" w:cs="Arial"/>
          <w:szCs w:val="20"/>
        </w:rPr>
      </w:pPr>
      <w:proofErr w:type="gramStart"/>
      <w:r>
        <w:rPr>
          <w:rFonts w:ascii="Arial" w:hAnsi="Arial" w:cs="Arial"/>
          <w:szCs w:val="20"/>
          <w:u w:val="single"/>
        </w:rPr>
        <w:t>Section 409A</w:t>
      </w:r>
      <w:r>
        <w:rPr>
          <w:rFonts w:ascii="Arial" w:hAnsi="Arial" w:cs="Arial"/>
          <w:szCs w:val="20"/>
        </w:rPr>
        <w:t>.</w:t>
      </w:r>
      <w:proofErr w:type="gramEnd"/>
      <w:r>
        <w:rPr>
          <w:rFonts w:ascii="Arial" w:hAnsi="Arial" w:cs="Arial"/>
          <w:szCs w:val="20"/>
        </w:rPr>
        <w:t xml:space="preserve">  Participation in, and compensation paid under, the Company’s plans, arrangements and agreements </w:t>
      </w:r>
      <w:proofErr w:type="gramStart"/>
      <w:r>
        <w:rPr>
          <w:rFonts w:ascii="Arial" w:hAnsi="Arial" w:cs="Arial"/>
          <w:szCs w:val="20"/>
        </w:rPr>
        <w:t>may</w:t>
      </w:r>
      <w:proofErr w:type="gramEnd"/>
      <w:r>
        <w:rPr>
          <w:rFonts w:ascii="Arial" w:hAnsi="Arial" w:cs="Arial"/>
          <w:szCs w:val="20"/>
        </w:rPr>
        <w:t>, in certain instances, result in the deferral of compensation that is subject to the requirements of Section 409A of the Code.  Generally, to the extent that the Company’s plans, arrangements and agreements fail to meet certain requirements under Section 409A of the Code, compensation earned thereunder may be subject to immediate taxation and tax penalties.  It is the intent of the Company that its plans, arrangements and agreements will be structured and administered in a manner that complies with the requirements of Section 409A of the Code (or an exception thereto).</w:t>
      </w:r>
    </w:p>
    <w:p w:rsidR="00376768" w:rsidRDefault="00EC2B72">
      <w:pPr>
        <w:spacing w:before="160"/>
        <w:ind w:firstLine="360"/>
        <w:jc w:val="both"/>
        <w:rPr>
          <w:rFonts w:ascii="Arial" w:hAnsi="Arial" w:cs="Arial"/>
          <w:szCs w:val="20"/>
        </w:rPr>
      </w:pPr>
      <w:proofErr w:type="gramStart"/>
      <w:r>
        <w:rPr>
          <w:rFonts w:ascii="Arial" w:hAnsi="Arial" w:cs="Arial"/>
          <w:szCs w:val="20"/>
          <w:u w:val="single"/>
        </w:rPr>
        <w:t>Section 162(m)</w:t>
      </w:r>
      <w:r>
        <w:rPr>
          <w:rFonts w:ascii="Arial" w:hAnsi="Arial" w:cs="Arial"/>
          <w:szCs w:val="20"/>
        </w:rPr>
        <w:t>.</w:t>
      </w:r>
      <w:proofErr w:type="gramEnd"/>
      <w:r>
        <w:rPr>
          <w:rFonts w:ascii="Arial" w:hAnsi="Arial" w:cs="Arial"/>
          <w:szCs w:val="20"/>
        </w:rPr>
        <w:t xml:space="preserve">  The Tax Cuts and Jobs Act, enacted in December 2017, resulted in significant change to section 162(m) of the Internal Revenue Code. For arrangements that are not otherwise grandfathered, performance-based compensation is no longer exempt from the $1,000,000 annual deduction limit that previously applied to performance-based compensation. While the changes allow the Committee more discretion, the Committee considers the tax impact of any compensation arrangement and evaluates such impact in light of our overall compensation objectives.</w:t>
      </w:r>
    </w:p>
    <w:p w:rsidR="00376768" w:rsidRDefault="00EC2B72">
      <w:pPr>
        <w:spacing w:before="160"/>
        <w:ind w:firstLine="360"/>
        <w:jc w:val="both"/>
        <w:rPr>
          <w:rFonts w:ascii="Arial" w:hAnsi="Arial" w:cs="Arial"/>
          <w:szCs w:val="20"/>
        </w:rPr>
      </w:pPr>
      <w:r>
        <w:rPr>
          <w:rFonts w:ascii="Arial" w:hAnsi="Arial" w:cs="Arial"/>
          <w:i/>
          <w:iCs/>
          <w:szCs w:val="20"/>
        </w:rPr>
        <w:t>Right of Recovery (</w:t>
      </w:r>
      <w:proofErr w:type="spellStart"/>
      <w:r>
        <w:rPr>
          <w:rFonts w:ascii="Arial" w:hAnsi="Arial" w:cs="Arial"/>
          <w:i/>
          <w:iCs/>
          <w:szCs w:val="20"/>
        </w:rPr>
        <w:t>Clawback</w:t>
      </w:r>
      <w:proofErr w:type="spellEnd"/>
      <w:r>
        <w:rPr>
          <w:rFonts w:ascii="Arial" w:hAnsi="Arial" w:cs="Arial"/>
          <w:i/>
          <w:iCs/>
          <w:szCs w:val="20"/>
        </w:rPr>
        <w:t>)</w:t>
      </w:r>
    </w:p>
    <w:p w:rsidR="00376768" w:rsidRDefault="00EC2B72">
      <w:pPr>
        <w:spacing w:before="160"/>
        <w:ind w:firstLine="360"/>
        <w:jc w:val="both"/>
        <w:rPr>
          <w:rFonts w:ascii="Arial" w:hAnsi="Arial" w:cs="Arial"/>
          <w:szCs w:val="20"/>
        </w:rPr>
      </w:pPr>
      <w:r>
        <w:rPr>
          <w:rFonts w:ascii="Arial" w:hAnsi="Arial" w:cs="Arial"/>
          <w:szCs w:val="20"/>
        </w:rPr>
        <w:t>The Company has adopted policies regarding the Committee’s authority to adjust or recover annual incentive or PSU payments or awards if the Committee finds certain recipients of such awards culpable in connection with an accounting restatement due to material non-compliance with financial reporting requirements.</w:t>
      </w:r>
    </w:p>
    <w:p w:rsidR="00EA378C" w:rsidRDefault="00EA378C">
      <w:pPr>
        <w:rPr>
          <w:rFonts w:ascii="Arial" w:hAnsi="Arial" w:cs="Arial"/>
          <w:i/>
          <w:iCs/>
          <w:szCs w:val="20"/>
        </w:rPr>
      </w:pPr>
      <w:r>
        <w:rPr>
          <w:rFonts w:ascii="Arial" w:hAnsi="Arial" w:cs="Arial"/>
          <w:i/>
          <w:iCs/>
          <w:szCs w:val="20"/>
        </w:rPr>
        <w:br w:type="page"/>
      </w:r>
    </w:p>
    <w:p w:rsidR="00376768" w:rsidRDefault="00EC2B72">
      <w:pPr>
        <w:spacing w:before="160"/>
        <w:ind w:firstLine="360"/>
        <w:jc w:val="both"/>
        <w:rPr>
          <w:rFonts w:ascii="Arial" w:hAnsi="Arial" w:cs="Arial"/>
          <w:szCs w:val="20"/>
        </w:rPr>
      </w:pPr>
      <w:r>
        <w:rPr>
          <w:rFonts w:ascii="Arial" w:hAnsi="Arial" w:cs="Arial"/>
          <w:i/>
          <w:iCs/>
          <w:szCs w:val="20"/>
        </w:rPr>
        <w:lastRenderedPageBreak/>
        <w:t>Other Corporate Plans</w:t>
      </w:r>
    </w:p>
    <w:p w:rsidR="00376768" w:rsidRDefault="00EC2B72">
      <w:pPr>
        <w:spacing w:before="160"/>
        <w:ind w:firstLine="360"/>
        <w:jc w:val="both"/>
        <w:rPr>
          <w:rFonts w:ascii="Arial" w:hAnsi="Arial" w:cs="Arial"/>
          <w:szCs w:val="20"/>
        </w:rPr>
      </w:pPr>
      <w:r>
        <w:rPr>
          <w:rFonts w:ascii="Arial" w:hAnsi="Arial" w:cs="Arial"/>
          <w:szCs w:val="20"/>
        </w:rPr>
        <w:t>At various times in the past, the Company has adopted certain employee benefit plans in which NEOs have been permitted to participate.  The Company also provides certain executive officers with life, and long-term disability programs.  The incremental cost to the Company of our NEOs’ benefits provided under these programs is included in the Summary Compensation Table (see page 54).  Benefits under these plans are not directly or indirectly tied to Company performance.</w:t>
      </w:r>
    </w:p>
    <w:p w:rsidR="00376768" w:rsidRDefault="00EC2B72">
      <w:pPr>
        <w:spacing w:before="160"/>
        <w:ind w:firstLine="360"/>
        <w:jc w:val="both"/>
        <w:rPr>
          <w:rFonts w:ascii="Arial" w:hAnsi="Arial" w:cs="Arial"/>
          <w:szCs w:val="20"/>
        </w:rPr>
      </w:pPr>
      <w:r>
        <w:rPr>
          <w:rFonts w:ascii="Arial" w:hAnsi="Arial" w:cs="Arial"/>
          <w:szCs w:val="20"/>
        </w:rPr>
        <w:t>The Company also provides limited perquisites to the NEOs, which may include car allowances or use of a leased car, financial planning services, and membership in athletic or social clubs.  The Company’s incremental costs for these perquisites are included in the Summary Compensation Table.</w:t>
      </w:r>
    </w:p>
    <w:p w:rsidR="00376768" w:rsidRDefault="00EC2B72">
      <w:pPr>
        <w:jc w:val="center"/>
        <w:rPr>
          <w:rFonts w:ascii="Arial" w:hAnsi="Arial" w:cs="Arial"/>
          <w:szCs w:val="20"/>
        </w:rPr>
      </w:pPr>
      <w:r>
        <w:rPr>
          <w:rFonts w:ascii="Arial" w:hAnsi="Arial" w:cs="Arial"/>
          <w:b/>
          <w:bCs/>
          <w:i/>
          <w:iCs/>
          <w:szCs w:val="20"/>
          <w:u w:val="single"/>
        </w:rPr>
        <w:br w:type="page"/>
      </w:r>
      <w:r>
        <w:rPr>
          <w:rFonts w:ascii="Arial" w:hAnsi="Arial" w:cs="Arial"/>
          <w:b/>
          <w:bCs/>
          <w:i/>
          <w:iCs/>
          <w:szCs w:val="20"/>
          <w:u w:val="single"/>
        </w:rPr>
        <w:lastRenderedPageBreak/>
        <w:t>Foot</w:t>
      </w:r>
      <w:bookmarkStart w:id="30" w:name="a030_v1"/>
      <w:bookmarkEnd w:id="30"/>
      <w:r>
        <w:rPr>
          <w:rFonts w:ascii="Arial" w:hAnsi="Arial" w:cs="Arial"/>
          <w:b/>
          <w:bCs/>
          <w:i/>
          <w:iCs/>
          <w:szCs w:val="20"/>
          <w:u w:val="single"/>
        </w:rPr>
        <w:t>note Definitions for Section: Executive Compensation</w:t>
      </w:r>
    </w:p>
    <w:p w:rsidR="00376768" w:rsidRDefault="00EC2B72">
      <w:pPr>
        <w:spacing w:before="160"/>
        <w:ind w:left="360" w:hanging="360"/>
        <w:jc w:val="both"/>
        <w:rPr>
          <w:rFonts w:ascii="Arial" w:hAnsi="Arial" w:cs="Arial"/>
          <w:szCs w:val="20"/>
        </w:rPr>
      </w:pPr>
      <w:r>
        <w:rPr>
          <w:rFonts w:ascii="Arial" w:hAnsi="Arial" w:cs="Arial"/>
          <w:szCs w:val="20"/>
          <w:vertAlign w:val="superscript"/>
        </w:rPr>
        <w:t>1</w:t>
      </w:r>
      <w:r>
        <w:rPr>
          <w:rFonts w:ascii="Arial" w:hAnsi="Arial" w:cs="Arial"/>
          <w:szCs w:val="20"/>
          <w:vertAlign w:val="superscript"/>
        </w:rPr>
        <w:tab/>
      </w:r>
      <w:r>
        <w:rPr>
          <w:rFonts w:ascii="Arial" w:hAnsi="Arial" w:cs="Arial"/>
          <w:szCs w:val="20"/>
          <w:u w:val="single"/>
        </w:rPr>
        <w:t>”2017 Corporate ROIC”</w:t>
      </w:r>
      <w:r>
        <w:rPr>
          <w:rFonts w:ascii="Arial" w:hAnsi="Arial" w:cs="Arial"/>
          <w:szCs w:val="20"/>
        </w:rPr>
        <w:t xml:space="preserve"> means, with respect to the Company for the 2017 fiscal year: (a) after tax earnings from continuing operations before interest income and interest expense and amortization charges (all tax affected using the effective corporate tax rate or adjusted effective tax rate if adjustments are made to actual results), divided by (b) an average of month end total assets less the sum of cash, marketable securities and non-interest bearing current liabilities, determined in accordance with generally accepted accounting principles. ROIC will be expressed as a percentage and shall be determined without regard to: (i) the effect of changes in accounting principles, (ii) any on-going and/or one-time costs and/or expenses attributable to an acquisition, including but not limited to, those related to the negotiation, completion and/or integration of an acquisition, incurred during the 2017 fiscal year, (iii) any costs related to purchase accounting step up in the basis of tangible or intangible assets not classified as amortization, (iv) the impact of all assets and liabilities purchased or incurred as a result of an acquisition, (v) any on-going and/or one-time costs and/or expenses (exclusive of employee travel) related to the unsuccessfully attempted acquisition of a business during the 2017 fiscal year, (vi) any on-going and/or one-time costs and/or expenses associated with the successful or unsuccessful sale of a business (exclusive of employee travel), (vii) any significant or non-recurring items which are disclosed in management’s discussion and analysis of financial condition and results of operations in the Company’s Annual Report on Form 10-K for such period and which would have an adverse effect on the pay-out amount of a participant’s award, (viii) the reported results (as well as the results of operations and financial position) of an acquisition completed in the 2017 fiscal year, (ix) a reclassification of an operating unit to “Discontinued Operations” or “Held for Sale”, if not sold during the annual performance period and (x) the gain or loss on sale of a business or the sale of assets outside of the ordinary course of business. Notwithstanding the foregoing, in the event that a business is sold during the 2017 fiscal year, such business’ target and adjusted actual results shall be eliminated from all calculations. The ROIC calculation will be rounded to the nearest tenth of a percent.</w:t>
      </w:r>
    </w:p>
    <w:p w:rsidR="00376768" w:rsidRDefault="00EC2B72">
      <w:pPr>
        <w:spacing w:before="160"/>
        <w:ind w:left="360" w:hanging="360"/>
        <w:jc w:val="both"/>
        <w:rPr>
          <w:rFonts w:ascii="Arial" w:hAnsi="Arial" w:cs="Arial"/>
          <w:szCs w:val="20"/>
        </w:rPr>
      </w:pPr>
      <w:r>
        <w:rPr>
          <w:rFonts w:ascii="Arial" w:hAnsi="Arial" w:cs="Arial"/>
          <w:szCs w:val="20"/>
          <w:vertAlign w:val="superscript"/>
        </w:rPr>
        <w:t>2</w:t>
      </w:r>
      <w:r>
        <w:rPr>
          <w:rFonts w:ascii="Arial" w:hAnsi="Arial" w:cs="Arial"/>
          <w:szCs w:val="20"/>
          <w:vertAlign w:val="superscript"/>
        </w:rPr>
        <w:tab/>
      </w:r>
      <w:r>
        <w:rPr>
          <w:rFonts w:ascii="Arial" w:hAnsi="Arial" w:cs="Arial"/>
          <w:szCs w:val="20"/>
          <w:u w:val="single"/>
        </w:rPr>
        <w:t>”2017 Corporate and Operating Unit Adjusted EBITDA”</w:t>
      </w:r>
      <w:r>
        <w:rPr>
          <w:rFonts w:ascii="Arial" w:hAnsi="Arial" w:cs="Arial"/>
          <w:szCs w:val="20"/>
        </w:rPr>
        <w:t xml:space="preserve"> (Earnings before interest, taxes, depreciation, and amortization) means with respect to the Company or an Operating Unit, for the 2017 fiscal year, determined in accordance with generally accepted accounting principles, including the applicable LIFO charge or credit (a) income from continuing operations; (b) plus income tax expense; (c) plus interest expense; (d) minus interest income; (e) plus depreciation expense; and (f) plus amortization expense. Adjusted EBITDA will be calculated without regard to: (i) the effect of changes in accounting principles, (ii) any on-going and/or one-time costs and/or expenses attributable to an acquisition, including but not limited to, those related to the negotiation, completion and/or integration of an acquisition, incurred during the 2017 fiscal year, (iii) any costs related to the purchase accounting step up in the basis of tangible or intangible assets not classified as depreciation or amortization, (iv) any on-going and/or one-time costs and/or expenses related to the unsuccessfully attempted acquisition of a business during the 2017 fiscal year (exclusive of employee travel), (v) any on-going and/or one-time costs and/or expenses (exclusive of employee travel) associated with the sale or attempted sale of a business in the 2017 fiscal year, (vi) any significant or non-recurring items which are disclosed in management’s discussion and analysis of financial condition and results of operations in the Company’s Annual Report on Form 10-K for such period and which would have an adverse effect on the pay-out amount of a participant’s award, (vii) the costs of the 2017 Annual Plan for domestic Operating Units, (viii) the impact on any Operating Unit attributable to any administrative intercompany charges related to transfer pricing compliance where the consolidated impact is zero, (ix) the reported results of an acquisition (as well as results of operations and financial position) completed in the Fiscal Year, (x) a reclassification of an operating unit to “Discontinued Operations” or “Held for Sale”, if not sold during the annual performance period, and (xi) the gain or loss on sale of a business or assets outside of the normal course of business. Notwithstanding the foregoing, in the event that a business is sold during the annual performance period, such business’ target and adjusted actual results will be eliminated from all calculations.</w:t>
      </w:r>
    </w:p>
    <w:p w:rsidR="00376768" w:rsidRDefault="00EC2B72">
      <w:pPr>
        <w:spacing w:before="160"/>
        <w:ind w:left="360" w:hanging="360"/>
        <w:jc w:val="both"/>
        <w:rPr>
          <w:rFonts w:ascii="Arial" w:hAnsi="Arial" w:cs="Arial"/>
          <w:szCs w:val="20"/>
        </w:rPr>
      </w:pPr>
      <w:r>
        <w:rPr>
          <w:rFonts w:ascii="Arial" w:hAnsi="Arial" w:cs="Arial"/>
          <w:szCs w:val="20"/>
          <w:vertAlign w:val="superscript"/>
        </w:rPr>
        <w:t>3</w:t>
      </w:r>
      <w:r>
        <w:rPr>
          <w:rFonts w:ascii="Arial" w:hAnsi="Arial" w:cs="Arial"/>
          <w:szCs w:val="20"/>
          <w:vertAlign w:val="superscript"/>
        </w:rPr>
        <w:tab/>
      </w:r>
      <w:r>
        <w:rPr>
          <w:rFonts w:ascii="Arial" w:hAnsi="Arial" w:cs="Arial"/>
          <w:szCs w:val="20"/>
          <w:u w:val="single"/>
        </w:rPr>
        <w:t>”2017 Corporate and Operating Unit Working Capital as a Percentage of Sales”</w:t>
      </w:r>
      <w:r>
        <w:rPr>
          <w:rFonts w:ascii="Arial" w:hAnsi="Arial" w:cs="Arial"/>
          <w:szCs w:val="20"/>
        </w:rPr>
        <w:t xml:space="preserve"> means with respect to the Company, or as applicable, for an Operating Unit, for the 2017 fiscal year, the average monthly balances of Inventory and Accounts Receivable less the average monthly balances of Accounts Payable and Deferred Revenue divided by annual net sales, provided however that all the above items, will be determined without regard to: (i) any on-going and/or one-time costs and/or expenses relating to acquisitions transacted during the 2017 fiscal year, (ii) a reclassification of an operating unit to “Discontinued Operations” or “Held for Sale”, if not sold during the annual performance period, (iii) the impact on any Operating Unit attributable to any administrative intercompany charges related to transfer pricing compliance where the consolidated impact is zero, and (iv) the reported results (as well as results of operations and financial position) of an acquisition completed in the 2017 fiscal year. Notwithstanding the foregoing, in the event that a business is sold during the 2017 fiscal year, such business’ target and adjusted actual results will be eliminated from all calculations.</w:t>
      </w:r>
    </w:p>
    <w:p w:rsidR="00376768" w:rsidRDefault="00EC2B72">
      <w:pPr>
        <w:spacing w:before="160"/>
        <w:ind w:left="360" w:hanging="360"/>
        <w:jc w:val="both"/>
        <w:rPr>
          <w:rFonts w:ascii="Arial" w:hAnsi="Arial" w:cs="Arial"/>
          <w:szCs w:val="20"/>
        </w:rPr>
      </w:pPr>
      <w:r>
        <w:rPr>
          <w:rFonts w:ascii="Arial" w:hAnsi="Arial" w:cs="Arial"/>
          <w:szCs w:val="20"/>
          <w:vertAlign w:val="superscript"/>
        </w:rPr>
        <w:t>4</w:t>
      </w:r>
      <w:r>
        <w:rPr>
          <w:rFonts w:ascii="Arial" w:hAnsi="Arial" w:cs="Arial"/>
          <w:szCs w:val="20"/>
          <w:vertAlign w:val="superscript"/>
        </w:rPr>
        <w:tab/>
      </w:r>
      <w:r>
        <w:rPr>
          <w:rFonts w:ascii="Arial" w:hAnsi="Arial" w:cs="Arial"/>
          <w:szCs w:val="20"/>
        </w:rPr>
        <w:t>”</w:t>
      </w:r>
      <w:r>
        <w:rPr>
          <w:rFonts w:ascii="Arial" w:hAnsi="Arial" w:cs="Arial"/>
          <w:szCs w:val="20"/>
          <w:u w:val="single"/>
        </w:rPr>
        <w:t>2017-2019 ROIC”</w:t>
      </w:r>
      <w:r>
        <w:rPr>
          <w:rFonts w:ascii="Arial" w:hAnsi="Arial" w:cs="Arial"/>
          <w:szCs w:val="20"/>
        </w:rPr>
        <w:t xml:space="preserve"> means, with respect to any calendar year: (A) after tax earnings from continuing operations before interest income and interest expense and amortization charges (all tax affected using the effective corporate tax rate </w:t>
      </w:r>
      <w:r>
        <w:rPr>
          <w:rFonts w:ascii="Arial" w:hAnsi="Arial" w:cs="Arial"/>
          <w:szCs w:val="20"/>
        </w:rPr>
        <w:lastRenderedPageBreak/>
        <w:t xml:space="preserve">or adjusted effective tax rate if adjustments are made to actual results), divided by (B) an average of month end total assets less the sum of cash, marketable securities and non-interest bearing current liabilities, determined in accordance with generally accepted accounting principles. </w:t>
      </w:r>
    </w:p>
    <w:p w:rsidR="00376768" w:rsidRDefault="00EC2B72">
      <w:pPr>
        <w:spacing w:before="160"/>
        <w:ind w:left="360"/>
        <w:jc w:val="both"/>
        <w:rPr>
          <w:rFonts w:ascii="Arial" w:hAnsi="Arial" w:cs="Arial"/>
          <w:szCs w:val="20"/>
        </w:rPr>
      </w:pPr>
      <w:r>
        <w:rPr>
          <w:rFonts w:ascii="Arial" w:hAnsi="Arial" w:cs="Arial"/>
          <w:szCs w:val="20"/>
        </w:rPr>
        <w:t xml:space="preserve">ROIC will be expressed as a percentage (%) and calculated annually for the Company for each calendar year in the three-year performance period; </w:t>
      </w:r>
      <w:r>
        <w:rPr>
          <w:rFonts w:ascii="Arial" w:hAnsi="Arial" w:cs="Arial"/>
          <w:i/>
          <w:iCs/>
          <w:szCs w:val="20"/>
        </w:rPr>
        <w:t>provided, however</w:t>
      </w:r>
      <w:r>
        <w:rPr>
          <w:rFonts w:ascii="Arial" w:hAnsi="Arial" w:cs="Arial"/>
          <w:szCs w:val="20"/>
        </w:rPr>
        <w:t>, that ROIC shall be determined without regard to: (i) the effect of changes in accounting principles; (ii) any on-going and/or one-time costs and/or expenses attributable to an acquisition, including but not limited to, those related to the negotiation, completion and/or integration of an acquisition, incurred during the year of acquisition in the performance period; (iii) any costs related to purchase accounting step up in the basis of tangible or intangible assets not classified as depreciation and amortization; (iv) the impact of all assets and liabilities purchased or incurred as a result of an acquisition; (v) any on-going and/or one-time costs and/or expenses related to the unsuccessfully attempted acquisition of a business during the performance period (exclusive of employee travel); (vi) any on-going and/or one-time costs and/or expenses associated with the successful or unsuccessful sale of a business (exclusive of employee travel); (vii) any significant or non-recurring items which are disclosed in management’s discussion and analysis of financial condition and results of operations in the Company’s Annual Report on Form 10-K for such period and which would have an adverse effect on the number of PSUs earned; (viii) any charges, losses or expenses and the resulting impact to assets and liabilities relating to warranty claims (the “Warranty Matters”); (ix) a reclassification of an operating unit to “Discontinued Operations” or “Held for Sale”, if not sold during the performance period and (x) the reported results (as well as results of operations and financial position) of an acquisition in the calendar year of such acquisition in the performance period.  Notwithstanding the foregoing, (i) in the event that a business is sold during a calendar year in the performance period, the impact of such business’ results will be excluded from the ROIC calculation for such year and (ii) the Committee expressly reserved the right not to exclude the effect of any of the above adjustments if such adjustments would result in an increase in award pay-out.  The “Average ROIC” for the performance period will be calculated by aggregating the ROIC annual percentages and dividing by three (3).  The ROIC result will be rounded to the nearest tenth of a percent.</w:t>
      </w:r>
    </w:p>
    <w:p w:rsidR="00376768" w:rsidRDefault="00EC2B72">
      <w:pPr>
        <w:spacing w:before="160"/>
        <w:ind w:left="360" w:hanging="360"/>
        <w:jc w:val="both"/>
        <w:rPr>
          <w:rFonts w:ascii="Arial" w:hAnsi="Arial" w:cs="Arial"/>
          <w:szCs w:val="20"/>
        </w:rPr>
      </w:pPr>
      <w:r>
        <w:rPr>
          <w:rFonts w:ascii="Arial" w:hAnsi="Arial" w:cs="Arial"/>
          <w:szCs w:val="20"/>
          <w:vertAlign w:val="superscript"/>
        </w:rPr>
        <w:t>5</w:t>
      </w:r>
      <w:r>
        <w:rPr>
          <w:rFonts w:ascii="Arial" w:hAnsi="Arial" w:cs="Arial"/>
          <w:szCs w:val="20"/>
          <w:vertAlign w:val="superscript"/>
        </w:rPr>
        <w:tab/>
      </w:r>
      <w:r>
        <w:rPr>
          <w:rFonts w:ascii="Arial" w:hAnsi="Arial" w:cs="Arial"/>
          <w:szCs w:val="20"/>
          <w:u w:val="single"/>
        </w:rPr>
        <w:t>2017-2019 Compound Annual Growth Rate of Earnings Before Interest, Taxes, Depreciation and Amortization (EBITDA CAGR</w:t>
      </w:r>
      <w:r>
        <w:rPr>
          <w:rFonts w:ascii="Arial" w:hAnsi="Arial" w:cs="Arial"/>
          <w:szCs w:val="20"/>
        </w:rPr>
        <w:t>) means, the growth rate of EBITDA as measured on a cumulative annual rate of growth over the specified three-year period.  The growth rate is calculated as follows:</w:t>
      </w:r>
      <w:r>
        <w:rPr>
          <w:rFonts w:ascii="Arial" w:hAnsi="Arial" w:cs="Arial"/>
          <w:noProof/>
          <w:szCs w:val="20"/>
        </w:rPr>
        <w:t xml:space="preserve"> </w:t>
      </w:r>
      <w:r w:rsidR="00F16CF0">
        <w:rPr>
          <w:noProof/>
          <w:lang w:bidi="ar-SA"/>
        </w:rPr>
        <w:drawing>
          <wp:inline distT="0" distB="0" distL="0" distR="0">
            <wp:extent cx="985520" cy="201930"/>
            <wp:effectExtent l="0" t="0" r="508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5520" cy="201930"/>
                    </a:xfrm>
                    <a:prstGeom prst="rect">
                      <a:avLst/>
                    </a:prstGeom>
                    <a:noFill/>
                    <a:ln>
                      <a:noFill/>
                    </a:ln>
                  </pic:spPr>
                </pic:pic>
              </a:graphicData>
            </a:graphic>
          </wp:inline>
        </w:drawing>
      </w:r>
      <w:r>
        <w:rPr>
          <w:rFonts w:ascii="Arial" w:hAnsi="Arial" w:cs="Arial"/>
          <w:szCs w:val="20"/>
          <w:vertAlign w:val="superscript"/>
        </w:rPr>
        <w:t xml:space="preserve"> (1/3)</w:t>
      </w:r>
      <w:r>
        <w:rPr>
          <w:rFonts w:ascii="Arial" w:hAnsi="Arial" w:cs="Arial"/>
          <w:szCs w:val="20"/>
        </w:rPr>
        <w:t xml:space="preserve"> -1, where “Year 3 EBITDA” is the EBITDA in the final year of the program and “Base Year Income” represents the EBITDA for the year immediately preceding the commencement of the three-year Performance Period; </w:t>
      </w:r>
      <w:r>
        <w:rPr>
          <w:rFonts w:ascii="Arial" w:hAnsi="Arial" w:cs="Arial"/>
          <w:i/>
          <w:iCs/>
          <w:szCs w:val="20"/>
        </w:rPr>
        <w:t>provided, however</w:t>
      </w:r>
      <w:r>
        <w:rPr>
          <w:rFonts w:ascii="Arial" w:hAnsi="Arial" w:cs="Arial"/>
          <w:szCs w:val="20"/>
        </w:rPr>
        <w:t>, that the EBITDA CAGR will be determined in accordance with generally accepted accounting principles, including the applicable LIFO charge or credit (a) income from continuing operations; (b) plus income tax expense; (c) plus interest expense; (d) minus interest income; (e) plus depreciation expense; and (f) plus amortization expense.  Adjusted EBITDA will be calculated without regard to: (i) the effect of changes in accounting principles, (ii) any on-going and/or one-time costs and/or expenses attributable to an acquisition, including but not limited to, those related to the negotiation, completion and/or integration of an acquisition, incurred during the fiscal year, (iii) any costs related to the purchase accounting step up in the basis of tangible or intangible assets not classified as depreciation or amortization, (iv) any on-going and/or one-time costs and/or expenses related to the unsuccessfully attempted acquisition of a business during the Fiscal Year (exclusive of employee travel), (v) any on-going and/or one-time costs and/or expenses (exclusive of employee travel) associated with the sale or attempted sale of a business in the fiscal year, (vi) any significant or non-recurring items which are disclosed in management’s discussion and analysis of financial condition and results of operations in the Company’s Annual Report on Form 10-K for such period and which would have an adverse effect on the pay-out amount of a Participant’s Financial Performance award, (vii) the costs of the plan for domestic Operating Units, (viii) the impact on any Operating Unit attributable to any administrative intercompany charges related to transfer pricing compliance where the consolidated impact is zero, (ix) the reported results of an acquisition (as well as results of operations and financial position) completed in the fiscal year, (x) a reclassification of an operating unit to “Discontinued Operations” or “Held for Sale”, if not sold during the performance period and (xi) the gain or loss on sale of a business or assets outside of the normal course of business, notwithstanding the foregoing, in the event that a business is sold during the performance period, such business’ target and adjusted actual results will be eliminated from all calculations. In the program, the Base Year EBITDA (January 1, 2016 through December 31, 2016) was $18,530,000.  Should any business listed in the program be sold during the performance period, then the amount of EBITDA attributed to that business will be used to reduce the Base Year EBITDA and any EBITDA earned in the Performance Period will be eliminated as well. Notwithstanding the foregoing, the Committee expressly reserves the right not to exclude the effect of any of the above adjustments if such adjustments would result in an increase in award pay-out.</w:t>
      </w:r>
    </w:p>
    <w:p w:rsidR="00376768" w:rsidRDefault="00EC2B72">
      <w:pPr>
        <w:spacing w:before="160"/>
        <w:ind w:left="360" w:hanging="360"/>
        <w:jc w:val="both"/>
        <w:rPr>
          <w:rFonts w:ascii="Arial" w:hAnsi="Arial" w:cs="Arial"/>
          <w:szCs w:val="20"/>
        </w:rPr>
      </w:pPr>
      <w:r>
        <w:rPr>
          <w:rFonts w:ascii="Arial" w:hAnsi="Arial" w:cs="Arial"/>
          <w:szCs w:val="20"/>
          <w:vertAlign w:val="superscript"/>
        </w:rPr>
        <w:t>6</w:t>
      </w:r>
      <w:r>
        <w:rPr>
          <w:rFonts w:ascii="Arial" w:hAnsi="Arial" w:cs="Arial"/>
          <w:szCs w:val="20"/>
          <w:vertAlign w:val="superscript"/>
        </w:rPr>
        <w:tab/>
      </w:r>
      <w:r>
        <w:rPr>
          <w:rFonts w:ascii="Arial" w:hAnsi="Arial" w:cs="Arial"/>
          <w:szCs w:val="20"/>
        </w:rPr>
        <w:t>”</w:t>
      </w:r>
      <w:r>
        <w:rPr>
          <w:rFonts w:ascii="Arial" w:hAnsi="Arial" w:cs="Arial"/>
          <w:szCs w:val="20"/>
          <w:u w:val="single"/>
        </w:rPr>
        <w:t>2017 Adjusted EBITDA</w:t>
      </w:r>
      <w:r>
        <w:rPr>
          <w:rFonts w:ascii="Arial" w:hAnsi="Arial" w:cs="Arial"/>
          <w:szCs w:val="20"/>
        </w:rPr>
        <w:t xml:space="preserve">” (Earnings before interest, taxes, depreciation, and amortization) means with respect to the Company, for the 2017 performance period, determined in accordance with generally accepted accounting principles, </w:t>
      </w:r>
      <w:r>
        <w:rPr>
          <w:rFonts w:ascii="Arial" w:hAnsi="Arial" w:cs="Arial"/>
          <w:szCs w:val="20"/>
        </w:rPr>
        <w:lastRenderedPageBreak/>
        <w:t>including the applicable LIFO charge or credit (a) income from continuing operations; (b) plus income tax expense; (c) plus interest expense; (d) minus interest income; (e) plus depreciation expense; and (f) plus amortization expense.  Adjusted EBITDA will be calculated without regard to: (i) the effect of changes in accounting principles, (ii) any on-going and/or one-time costs and/or expenses attributable to an acquisition, including but not limited to, those related to the negotiation, completion and/or integration of an acquisition, incurred during the 2017 performance period, (iii) any costs related to the purchase accounting step up in the basis of tangible or intangible assets not classified as depreciation or amortization, (iv) any on-going and/or one-time costs and/or expenses related to the unsuccessfully attempted acquisition of a business during the 2017 performance period (exclusive of employee travel), (v) any on-going and/or one-time costs and/or expenses (exclusive of employee travel) associated with the sale or attempted sale of a business in the 2017 performance period, (vi) any significant or non-recurring items which are disclosed in management’s discussion and analysis of financial condition and results of operations in the Company’s Annual Report on Form 10-K for such period and which would have an adverse effect on the pay-out amount of a participant’s performance award, (vii) the costs of the 2017 Annual Plan for domestic operating units, (viii) the impact on any operating unit attributable to any administrative intercompany charges related to transfer pricing compliance where the consolidated impact is zero, (ix) the reported results of an acquisition (as well as results of operations and financial position) completed in the 2017 performance period, (x) a reclassification of an operating unit to “Discontinued Operations” or “Held for Sale”, if not sold during the performance period and (xi) the gain or loss on the sale of a business or assets not sold in the ordinary course of business.  Notwithstanding the foregoing, in the event that a business is sold during the 2017 performance period, such business’ target and adjusted actual results will be eliminated from all calculations.</w:t>
      </w:r>
    </w:p>
    <w:p w:rsidR="00376768" w:rsidRDefault="00EC2B72">
      <w:pPr>
        <w:spacing w:before="160"/>
        <w:ind w:left="360" w:hanging="360"/>
        <w:jc w:val="both"/>
        <w:rPr>
          <w:rFonts w:ascii="Arial" w:hAnsi="Arial" w:cs="Arial"/>
          <w:szCs w:val="20"/>
        </w:rPr>
      </w:pPr>
      <w:r>
        <w:rPr>
          <w:rFonts w:ascii="Arial" w:hAnsi="Arial" w:cs="Arial"/>
          <w:b/>
          <w:bCs/>
          <w:szCs w:val="20"/>
          <w:vertAlign w:val="superscript"/>
        </w:rPr>
        <w:t>7</w:t>
      </w:r>
      <w:r>
        <w:rPr>
          <w:rFonts w:ascii="Arial" w:hAnsi="Arial" w:cs="Arial"/>
          <w:b/>
          <w:bCs/>
          <w:szCs w:val="20"/>
          <w:vertAlign w:val="superscript"/>
        </w:rPr>
        <w:tab/>
      </w:r>
      <w:proofErr w:type="spellStart"/>
      <w:r>
        <w:rPr>
          <w:rFonts w:ascii="Arial" w:hAnsi="Arial" w:cs="Arial"/>
          <w:szCs w:val="20"/>
        </w:rPr>
        <w:t>Percents</w:t>
      </w:r>
      <w:proofErr w:type="spellEnd"/>
      <w:r>
        <w:rPr>
          <w:rFonts w:ascii="Arial" w:hAnsi="Arial" w:cs="Arial"/>
          <w:szCs w:val="20"/>
        </w:rPr>
        <w:t xml:space="preserve"> shown represent the 2017 Payouts as a Percent of Target before a negative discretion factor or 10%.</w:t>
      </w:r>
    </w:p>
    <w:p w:rsidR="00376768" w:rsidRDefault="00EC2B72">
      <w:pPr>
        <w:spacing w:before="160"/>
        <w:jc w:val="both"/>
        <w:rPr>
          <w:rFonts w:ascii="Arial" w:hAnsi="Arial" w:cs="Arial"/>
          <w:szCs w:val="20"/>
        </w:rPr>
      </w:pPr>
      <w:r>
        <w:rPr>
          <w:rFonts w:ascii="Arial" w:hAnsi="Arial" w:cs="Arial"/>
          <w:i/>
          <w:iCs/>
          <w:szCs w:val="20"/>
        </w:rPr>
        <w:t>Included in this Compensation Discussion and Analysis are certain non-GAAP financial measures that management and the Board of Directors use to measure the Company’s performance for incentive compensation purposes. Management and the Board of Directors believe that these measures, considered along with the corresponding GAAP measures, provide management and investors with useful information in understanding our operating results and related incentive compensation programs, as well as in measuring our operating results against the operating results of other companies.</w:t>
      </w:r>
    </w:p>
    <w:p w:rsidR="00376768" w:rsidRDefault="00EC2B72">
      <w:pPr>
        <w:jc w:val="center"/>
        <w:rPr>
          <w:rFonts w:ascii="Arial" w:hAnsi="Arial" w:cs="Arial"/>
          <w:szCs w:val="20"/>
        </w:rPr>
      </w:pPr>
      <w:r>
        <w:rPr>
          <w:rFonts w:ascii="Arial" w:hAnsi="Arial" w:cs="Arial"/>
          <w:b/>
          <w:bCs/>
          <w:szCs w:val="20"/>
        </w:rPr>
        <w:br w:type="page"/>
      </w:r>
      <w:r>
        <w:rPr>
          <w:rFonts w:ascii="Arial" w:hAnsi="Arial" w:cs="Arial"/>
          <w:b/>
          <w:bCs/>
          <w:szCs w:val="20"/>
        </w:rPr>
        <w:lastRenderedPageBreak/>
        <w:t>CO</w:t>
      </w:r>
      <w:bookmarkStart w:id="31" w:name="a031_v1"/>
      <w:bookmarkEnd w:id="31"/>
      <w:r>
        <w:rPr>
          <w:rFonts w:ascii="Arial" w:hAnsi="Arial" w:cs="Arial"/>
          <w:b/>
          <w:bCs/>
          <w:szCs w:val="20"/>
        </w:rPr>
        <w:t>MPENSATION COMMITTEE REPORT</w:t>
      </w:r>
    </w:p>
    <w:p w:rsidR="00376768" w:rsidRDefault="00EC2B72">
      <w:pPr>
        <w:spacing w:before="160"/>
        <w:ind w:firstLine="360"/>
        <w:jc w:val="both"/>
        <w:rPr>
          <w:rFonts w:ascii="Arial" w:hAnsi="Arial" w:cs="Arial"/>
          <w:szCs w:val="20"/>
        </w:rPr>
      </w:pPr>
      <w:r>
        <w:rPr>
          <w:rFonts w:ascii="Arial" w:hAnsi="Arial" w:cs="Arial"/>
          <w:szCs w:val="20"/>
        </w:rPr>
        <w:t>Notwithstanding anything to the contrary set forth in any of the Company’s filings under the Securities Act of 1933, as amended, or the Securities Exchange Act of 1934, as amended, that incorporate other Company filings, including this Proxy Statement, the following Report of the Compensation Committee does not constitute soliciting material and shall not be incorporated by reference into any such filings.</w:t>
      </w:r>
    </w:p>
    <w:p w:rsidR="00376768" w:rsidRDefault="00EC2B72">
      <w:pPr>
        <w:spacing w:before="160"/>
        <w:ind w:firstLine="360"/>
        <w:jc w:val="both"/>
        <w:rPr>
          <w:rFonts w:ascii="Arial" w:hAnsi="Arial" w:cs="Arial"/>
          <w:szCs w:val="20"/>
        </w:rPr>
      </w:pPr>
      <w:r>
        <w:rPr>
          <w:rFonts w:ascii="Arial" w:hAnsi="Arial" w:cs="Arial"/>
          <w:szCs w:val="20"/>
        </w:rPr>
        <w:t xml:space="preserve">The Compensation Committee has reviewed and discussed the Compensation Discussion and Analysis with management and, based on this review and </w:t>
      </w:r>
      <w:proofErr w:type="gramStart"/>
      <w:r>
        <w:rPr>
          <w:rFonts w:ascii="Arial" w:hAnsi="Arial" w:cs="Arial"/>
          <w:szCs w:val="20"/>
        </w:rPr>
        <w:t>discussion,</w:t>
      </w:r>
      <w:proofErr w:type="gramEnd"/>
      <w:r>
        <w:rPr>
          <w:rFonts w:ascii="Arial" w:hAnsi="Arial" w:cs="Arial"/>
          <w:szCs w:val="20"/>
        </w:rPr>
        <w:t xml:space="preserve"> it has recommended to the Board of Directors that the Compensation Discussion and Analysis be included in this Proxy Statement.</w:t>
      </w:r>
    </w:p>
    <w:tbl>
      <w:tblPr>
        <w:tblW w:w="5000" w:type="pct"/>
        <w:tblLayout w:type="fixed"/>
        <w:tblCellMar>
          <w:left w:w="0" w:type="dxa"/>
          <w:right w:w="0" w:type="dxa"/>
        </w:tblCellMar>
        <w:tblLook w:val="0000" w:firstRow="0" w:lastRow="0" w:firstColumn="0" w:lastColumn="0" w:noHBand="0" w:noVBand="0"/>
      </w:tblPr>
      <w:tblGrid>
        <w:gridCol w:w="6480"/>
        <w:gridCol w:w="4320"/>
      </w:tblGrid>
      <w:tr w:rsidR="00376768">
        <w:tc>
          <w:tcPr>
            <w:tcW w:w="3000" w:type="pct"/>
          </w:tcPr>
          <w:p w:rsidR="00376768" w:rsidRDefault="00376768">
            <w:pPr>
              <w:rPr>
                <w:rFonts w:ascii="Arial" w:hAnsi="Arial" w:cs="Arial"/>
                <w:b/>
                <w:bCs/>
                <w:szCs w:val="20"/>
              </w:rPr>
            </w:pPr>
          </w:p>
        </w:tc>
        <w:tc>
          <w:tcPr>
            <w:tcW w:w="2000" w:type="pct"/>
          </w:tcPr>
          <w:p w:rsidR="00376768" w:rsidRDefault="00376768">
            <w:pPr>
              <w:rPr>
                <w:rFonts w:ascii="Arial" w:hAnsi="Arial" w:cs="Arial"/>
                <w:b/>
                <w:bCs/>
                <w:szCs w:val="20"/>
              </w:rPr>
            </w:pPr>
          </w:p>
        </w:tc>
      </w:tr>
      <w:tr w:rsidR="00376768">
        <w:tc>
          <w:tcPr>
            <w:tcW w:w="3000" w:type="pct"/>
          </w:tcPr>
          <w:p w:rsidR="00376768" w:rsidRDefault="00376768">
            <w:pPr>
              <w:rPr>
                <w:rFonts w:ascii="Arial" w:hAnsi="Arial" w:cs="Arial"/>
                <w:b/>
                <w:bCs/>
                <w:szCs w:val="20"/>
              </w:rPr>
            </w:pPr>
          </w:p>
        </w:tc>
        <w:tc>
          <w:tcPr>
            <w:tcW w:w="2000" w:type="pct"/>
          </w:tcPr>
          <w:p w:rsidR="00376768" w:rsidRDefault="00EC2B72">
            <w:pPr>
              <w:rPr>
                <w:rFonts w:ascii="Arial" w:hAnsi="Arial" w:cs="Arial"/>
                <w:szCs w:val="20"/>
              </w:rPr>
            </w:pPr>
            <w:r>
              <w:rPr>
                <w:rFonts w:ascii="Arial" w:hAnsi="Arial" w:cs="Arial"/>
                <w:b/>
                <w:bCs/>
                <w:szCs w:val="20"/>
              </w:rPr>
              <w:t>COMPENSATION COMMITTEE</w:t>
            </w:r>
          </w:p>
        </w:tc>
      </w:tr>
      <w:tr w:rsidR="00376768">
        <w:tc>
          <w:tcPr>
            <w:tcW w:w="3000" w:type="pct"/>
          </w:tcPr>
          <w:p w:rsidR="00376768" w:rsidRDefault="00376768">
            <w:pPr>
              <w:rPr>
                <w:rFonts w:ascii="Arial" w:hAnsi="Arial" w:cs="Arial"/>
                <w:b/>
                <w:bCs/>
                <w:szCs w:val="20"/>
              </w:rPr>
            </w:pPr>
          </w:p>
        </w:tc>
        <w:tc>
          <w:tcPr>
            <w:tcW w:w="2000" w:type="pct"/>
          </w:tcPr>
          <w:p w:rsidR="00376768" w:rsidRDefault="00376768">
            <w:pPr>
              <w:rPr>
                <w:rFonts w:ascii="Arial" w:hAnsi="Arial" w:cs="Arial"/>
                <w:b/>
                <w:bCs/>
                <w:szCs w:val="20"/>
              </w:rPr>
            </w:pPr>
          </w:p>
        </w:tc>
      </w:tr>
      <w:tr w:rsidR="00376768">
        <w:tc>
          <w:tcPr>
            <w:tcW w:w="3000" w:type="pct"/>
          </w:tcPr>
          <w:p w:rsidR="00376768" w:rsidRDefault="00376768">
            <w:pPr>
              <w:rPr>
                <w:rFonts w:ascii="Arial" w:hAnsi="Arial" w:cs="Arial"/>
                <w:szCs w:val="20"/>
              </w:rPr>
            </w:pPr>
          </w:p>
        </w:tc>
        <w:tc>
          <w:tcPr>
            <w:tcW w:w="2000" w:type="pct"/>
          </w:tcPr>
          <w:p w:rsidR="00376768" w:rsidRDefault="00EC2B72">
            <w:pPr>
              <w:rPr>
                <w:rFonts w:ascii="Arial" w:hAnsi="Arial" w:cs="Arial"/>
                <w:szCs w:val="20"/>
              </w:rPr>
            </w:pPr>
            <w:r>
              <w:rPr>
                <w:rFonts w:ascii="Arial" w:hAnsi="Arial" w:cs="Arial"/>
                <w:szCs w:val="20"/>
              </w:rPr>
              <w:t xml:space="preserve">William H. </w:t>
            </w:r>
            <w:proofErr w:type="spellStart"/>
            <w:r>
              <w:rPr>
                <w:rFonts w:ascii="Arial" w:hAnsi="Arial" w:cs="Arial"/>
                <w:szCs w:val="20"/>
              </w:rPr>
              <w:t>Rackoff</w:t>
            </w:r>
            <w:proofErr w:type="spellEnd"/>
            <w:r>
              <w:rPr>
                <w:rFonts w:ascii="Arial" w:hAnsi="Arial" w:cs="Arial"/>
                <w:szCs w:val="20"/>
              </w:rPr>
              <w:t>, Chairman</w:t>
            </w:r>
          </w:p>
        </w:tc>
      </w:tr>
      <w:tr w:rsidR="00376768">
        <w:tc>
          <w:tcPr>
            <w:tcW w:w="3000" w:type="pct"/>
          </w:tcPr>
          <w:p w:rsidR="00376768" w:rsidRDefault="00376768">
            <w:pPr>
              <w:rPr>
                <w:rFonts w:ascii="Arial" w:hAnsi="Arial" w:cs="Arial"/>
                <w:szCs w:val="20"/>
              </w:rPr>
            </w:pPr>
          </w:p>
        </w:tc>
        <w:tc>
          <w:tcPr>
            <w:tcW w:w="2000" w:type="pct"/>
          </w:tcPr>
          <w:p w:rsidR="00376768" w:rsidRDefault="00EC2B72">
            <w:pPr>
              <w:rPr>
                <w:rFonts w:ascii="Arial" w:hAnsi="Arial" w:cs="Arial"/>
                <w:szCs w:val="20"/>
              </w:rPr>
            </w:pPr>
            <w:r>
              <w:rPr>
                <w:rFonts w:ascii="Arial" w:hAnsi="Arial" w:cs="Arial"/>
                <w:szCs w:val="20"/>
              </w:rPr>
              <w:t>Diane B. Owen</w:t>
            </w:r>
          </w:p>
        </w:tc>
      </w:tr>
      <w:tr w:rsidR="00376768">
        <w:tc>
          <w:tcPr>
            <w:tcW w:w="3000" w:type="pct"/>
          </w:tcPr>
          <w:p w:rsidR="00376768" w:rsidRDefault="00376768">
            <w:pPr>
              <w:rPr>
                <w:rFonts w:ascii="Arial" w:hAnsi="Arial" w:cs="Arial"/>
                <w:szCs w:val="20"/>
              </w:rPr>
            </w:pPr>
          </w:p>
        </w:tc>
        <w:tc>
          <w:tcPr>
            <w:tcW w:w="2000" w:type="pct"/>
          </w:tcPr>
          <w:p w:rsidR="00376768" w:rsidRDefault="00EC2B72">
            <w:pPr>
              <w:rPr>
                <w:rFonts w:ascii="Arial" w:hAnsi="Arial" w:cs="Arial"/>
                <w:szCs w:val="20"/>
              </w:rPr>
            </w:pPr>
            <w:r>
              <w:rPr>
                <w:rFonts w:ascii="Arial" w:hAnsi="Arial" w:cs="Arial"/>
                <w:szCs w:val="20"/>
              </w:rPr>
              <w:t xml:space="preserve">Dirk </w:t>
            </w:r>
            <w:proofErr w:type="spellStart"/>
            <w:r>
              <w:rPr>
                <w:rFonts w:ascii="Arial" w:hAnsi="Arial" w:cs="Arial"/>
                <w:szCs w:val="20"/>
              </w:rPr>
              <w:t>Jungé</w:t>
            </w:r>
            <w:proofErr w:type="spellEnd"/>
          </w:p>
        </w:tc>
      </w:tr>
      <w:tr w:rsidR="00376768">
        <w:tc>
          <w:tcPr>
            <w:tcW w:w="3000" w:type="pct"/>
          </w:tcPr>
          <w:p w:rsidR="00376768" w:rsidRDefault="00376768">
            <w:pPr>
              <w:rPr>
                <w:rFonts w:ascii="Arial" w:hAnsi="Arial" w:cs="Arial"/>
                <w:szCs w:val="20"/>
              </w:rPr>
            </w:pPr>
          </w:p>
        </w:tc>
        <w:tc>
          <w:tcPr>
            <w:tcW w:w="2000" w:type="pct"/>
          </w:tcPr>
          <w:p w:rsidR="00376768" w:rsidRDefault="00EC2B72">
            <w:pPr>
              <w:rPr>
                <w:rFonts w:ascii="Arial" w:hAnsi="Arial" w:cs="Arial"/>
                <w:szCs w:val="20"/>
              </w:rPr>
            </w:pPr>
            <w:r>
              <w:rPr>
                <w:rFonts w:ascii="Arial" w:hAnsi="Arial" w:cs="Arial"/>
                <w:szCs w:val="20"/>
              </w:rPr>
              <w:t xml:space="preserve">Bradley S. </w:t>
            </w:r>
            <w:proofErr w:type="spellStart"/>
            <w:r>
              <w:rPr>
                <w:rFonts w:ascii="Arial" w:hAnsi="Arial" w:cs="Arial"/>
                <w:szCs w:val="20"/>
              </w:rPr>
              <w:t>Vizi</w:t>
            </w:r>
            <w:proofErr w:type="spellEnd"/>
          </w:p>
        </w:tc>
      </w:tr>
    </w:tbl>
    <w:p w:rsidR="00376768" w:rsidRDefault="00376768">
      <w:pPr>
        <w:spacing w:before="160"/>
        <w:jc w:val="center"/>
        <w:rPr>
          <w:rFonts w:ascii="Arial" w:hAnsi="Arial" w:cs="Arial"/>
          <w:b/>
          <w:bCs/>
          <w:szCs w:val="20"/>
        </w:rPr>
      </w:pPr>
    </w:p>
    <w:p w:rsidR="00376768" w:rsidRDefault="00EC2B72">
      <w:pPr>
        <w:jc w:val="center"/>
        <w:rPr>
          <w:rFonts w:ascii="Arial" w:hAnsi="Arial" w:cs="Arial"/>
          <w:szCs w:val="20"/>
        </w:rPr>
      </w:pPr>
      <w:r>
        <w:rPr>
          <w:rFonts w:ascii="Arial" w:hAnsi="Arial" w:cs="Arial"/>
          <w:b/>
          <w:bCs/>
          <w:szCs w:val="20"/>
        </w:rPr>
        <w:br w:type="page"/>
      </w:r>
      <w:r>
        <w:rPr>
          <w:rFonts w:ascii="Arial" w:hAnsi="Arial" w:cs="Arial"/>
          <w:b/>
          <w:bCs/>
          <w:szCs w:val="20"/>
        </w:rPr>
        <w:lastRenderedPageBreak/>
        <w:t>SUMMA</w:t>
      </w:r>
      <w:bookmarkStart w:id="32" w:name="a032_v1"/>
      <w:bookmarkEnd w:id="32"/>
      <w:r>
        <w:rPr>
          <w:rFonts w:ascii="Arial" w:hAnsi="Arial" w:cs="Arial"/>
          <w:b/>
          <w:bCs/>
          <w:szCs w:val="20"/>
        </w:rPr>
        <w:t>RY COMPENSATION TABLE - 2015, 2016, AND 2017</w:t>
      </w:r>
    </w:p>
    <w:p w:rsidR="00376768" w:rsidRDefault="00EC2B72">
      <w:pPr>
        <w:spacing w:before="160" w:after="160"/>
        <w:ind w:firstLine="360"/>
        <w:jc w:val="both"/>
        <w:rPr>
          <w:rFonts w:ascii="Arial" w:hAnsi="Arial" w:cs="Arial"/>
          <w:szCs w:val="20"/>
        </w:rPr>
      </w:pPr>
      <w:r>
        <w:rPr>
          <w:rFonts w:ascii="Arial" w:hAnsi="Arial" w:cs="Arial"/>
          <w:szCs w:val="20"/>
        </w:rPr>
        <w:t>The following table sets forth information regarding compensation of the Company’s NEOs for the years 2015, 2016, and 2017:</w:t>
      </w:r>
    </w:p>
    <w:tbl>
      <w:tblPr>
        <w:tblW w:w="5000" w:type="pct"/>
        <w:tblInd w:w="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174"/>
        <w:gridCol w:w="727"/>
        <w:gridCol w:w="1055"/>
        <w:gridCol w:w="823"/>
        <w:gridCol w:w="1310"/>
        <w:gridCol w:w="2099"/>
        <w:gridCol w:w="1555"/>
        <w:gridCol w:w="1177"/>
      </w:tblGrid>
      <w:tr w:rsidR="00376768">
        <w:tc>
          <w:tcPr>
            <w:tcW w:w="995" w:type="pct"/>
            <w:tcMar>
              <w:top w:w="30" w:type="dxa"/>
              <w:left w:w="60" w:type="dxa"/>
              <w:bottom w:w="30" w:type="dxa"/>
              <w:right w:w="60" w:type="dxa"/>
            </w:tcMar>
            <w:vAlign w:val="bottom"/>
            <w:hideMark/>
          </w:tcPr>
          <w:p w:rsidR="00376768" w:rsidRDefault="00EC2B72">
            <w:pPr>
              <w:tabs>
                <w:tab w:val="left" w:leader="dot" w:pos="4320"/>
              </w:tabs>
              <w:jc w:val="center"/>
              <w:rPr>
                <w:rFonts w:ascii="Arial" w:hAnsi="Arial" w:cs="Arial"/>
                <w:sz w:val="18"/>
                <w:szCs w:val="16"/>
              </w:rPr>
            </w:pPr>
            <w:r>
              <w:rPr>
                <w:rFonts w:ascii="Arial" w:hAnsi="Arial" w:cs="Arial"/>
                <w:b/>
                <w:bCs/>
                <w:sz w:val="18"/>
                <w:szCs w:val="16"/>
              </w:rPr>
              <w:t>Name and Principal Position</w:t>
            </w:r>
          </w:p>
        </w:tc>
        <w:tc>
          <w:tcPr>
            <w:tcW w:w="333" w:type="pct"/>
            <w:tcMar>
              <w:top w:w="30" w:type="dxa"/>
              <w:left w:w="60" w:type="dxa"/>
              <w:bottom w:w="30" w:type="dxa"/>
              <w:right w:w="60" w:type="dxa"/>
            </w:tcMar>
            <w:vAlign w:val="bottom"/>
            <w:hideMark/>
          </w:tcPr>
          <w:p w:rsidR="00376768" w:rsidRDefault="00EC2B72">
            <w:pPr>
              <w:jc w:val="center"/>
              <w:rPr>
                <w:rFonts w:ascii="Arial" w:hAnsi="Arial" w:cs="Arial"/>
                <w:sz w:val="18"/>
                <w:szCs w:val="16"/>
                <w:lang w:val="es-ES"/>
              </w:rPr>
            </w:pPr>
            <w:r>
              <w:rPr>
                <w:rFonts w:ascii="Arial" w:hAnsi="Arial" w:cs="Arial"/>
                <w:b/>
                <w:bCs/>
                <w:sz w:val="18"/>
                <w:szCs w:val="16"/>
              </w:rPr>
              <w:t>Year</w:t>
            </w:r>
          </w:p>
        </w:tc>
        <w:tc>
          <w:tcPr>
            <w:tcW w:w="483" w:type="pct"/>
            <w:tcMar>
              <w:top w:w="30" w:type="dxa"/>
              <w:left w:w="60" w:type="dxa"/>
              <w:bottom w:w="30" w:type="dxa"/>
              <w:right w:w="60" w:type="dxa"/>
            </w:tcMar>
            <w:vAlign w:val="bottom"/>
            <w:hideMark/>
          </w:tcPr>
          <w:p w:rsidR="00376768" w:rsidRDefault="00EC2B72">
            <w:pPr>
              <w:jc w:val="center"/>
              <w:rPr>
                <w:rFonts w:ascii="Arial" w:hAnsi="Arial" w:cs="Arial"/>
                <w:sz w:val="18"/>
                <w:szCs w:val="16"/>
              </w:rPr>
            </w:pPr>
            <w:r>
              <w:rPr>
                <w:rFonts w:ascii="Arial" w:hAnsi="Arial" w:cs="Arial"/>
                <w:b/>
                <w:bCs/>
                <w:sz w:val="18"/>
                <w:szCs w:val="16"/>
              </w:rPr>
              <w:t>Salary ($)</w:t>
            </w:r>
          </w:p>
        </w:tc>
        <w:tc>
          <w:tcPr>
            <w:tcW w:w="377" w:type="pct"/>
            <w:tcMar>
              <w:top w:w="30" w:type="dxa"/>
              <w:left w:w="60" w:type="dxa"/>
              <w:bottom w:w="30" w:type="dxa"/>
              <w:right w:w="60" w:type="dxa"/>
            </w:tcMar>
            <w:vAlign w:val="bottom"/>
            <w:hideMark/>
          </w:tcPr>
          <w:p w:rsidR="00376768" w:rsidRDefault="00EC2B72">
            <w:pPr>
              <w:jc w:val="center"/>
              <w:rPr>
                <w:rFonts w:ascii="Arial" w:hAnsi="Arial" w:cs="Arial"/>
                <w:sz w:val="18"/>
                <w:szCs w:val="16"/>
              </w:rPr>
            </w:pPr>
            <w:r>
              <w:rPr>
                <w:rFonts w:ascii="Arial" w:hAnsi="Arial" w:cs="Arial"/>
                <w:b/>
                <w:bCs/>
                <w:sz w:val="18"/>
                <w:szCs w:val="16"/>
              </w:rPr>
              <w:t>Bonus</w:t>
            </w:r>
            <w:r>
              <w:rPr>
                <w:rFonts w:ascii="Arial" w:hAnsi="Arial" w:cs="Arial"/>
                <w:b/>
                <w:bCs/>
                <w:sz w:val="18"/>
                <w:szCs w:val="16"/>
              </w:rPr>
              <w:br/>
              <w:t>($)</w:t>
            </w:r>
          </w:p>
        </w:tc>
        <w:tc>
          <w:tcPr>
            <w:tcW w:w="600" w:type="pct"/>
            <w:tcMar>
              <w:top w:w="30" w:type="dxa"/>
              <w:left w:w="60" w:type="dxa"/>
              <w:bottom w:w="30" w:type="dxa"/>
              <w:right w:w="60" w:type="dxa"/>
            </w:tcMar>
            <w:vAlign w:val="bottom"/>
            <w:hideMark/>
          </w:tcPr>
          <w:p w:rsidR="00376768" w:rsidRDefault="00EC2B72">
            <w:pPr>
              <w:jc w:val="center"/>
              <w:rPr>
                <w:rFonts w:ascii="Arial" w:hAnsi="Arial" w:cs="Arial"/>
                <w:sz w:val="18"/>
                <w:szCs w:val="16"/>
              </w:rPr>
            </w:pPr>
            <w:r>
              <w:rPr>
                <w:rFonts w:ascii="Arial" w:hAnsi="Arial" w:cs="Arial"/>
                <w:b/>
                <w:bCs/>
                <w:sz w:val="18"/>
                <w:szCs w:val="16"/>
              </w:rPr>
              <w:t>Stock</w:t>
            </w:r>
            <w:r>
              <w:rPr>
                <w:rFonts w:ascii="Arial" w:hAnsi="Arial" w:cs="Arial"/>
                <w:b/>
                <w:bCs/>
                <w:sz w:val="18"/>
                <w:szCs w:val="16"/>
              </w:rPr>
              <w:br/>
              <w:t>Awards ($)</w:t>
            </w:r>
            <w:r>
              <w:rPr>
                <w:rFonts w:ascii="Arial" w:hAnsi="Arial" w:cs="Arial"/>
                <w:b/>
                <w:bCs/>
                <w:sz w:val="18"/>
                <w:szCs w:val="16"/>
                <w:vertAlign w:val="superscript"/>
              </w:rPr>
              <w:t>(1)</w:t>
            </w:r>
          </w:p>
        </w:tc>
        <w:tc>
          <w:tcPr>
            <w:tcW w:w="961" w:type="pct"/>
            <w:tcMar>
              <w:top w:w="30" w:type="dxa"/>
              <w:left w:w="60" w:type="dxa"/>
              <w:bottom w:w="30" w:type="dxa"/>
              <w:right w:w="60" w:type="dxa"/>
            </w:tcMar>
            <w:vAlign w:val="bottom"/>
            <w:hideMark/>
          </w:tcPr>
          <w:p w:rsidR="00376768" w:rsidRDefault="00EC2B72">
            <w:pPr>
              <w:jc w:val="center"/>
              <w:rPr>
                <w:rFonts w:ascii="Arial" w:hAnsi="Arial" w:cs="Arial"/>
                <w:sz w:val="18"/>
                <w:szCs w:val="16"/>
              </w:rPr>
            </w:pPr>
            <w:r>
              <w:rPr>
                <w:rFonts w:ascii="Arial" w:hAnsi="Arial" w:cs="Arial"/>
                <w:b/>
                <w:bCs/>
                <w:sz w:val="18"/>
                <w:szCs w:val="16"/>
              </w:rPr>
              <w:t>Non-Equity</w:t>
            </w:r>
            <w:r>
              <w:rPr>
                <w:rFonts w:ascii="Arial" w:hAnsi="Arial" w:cs="Arial"/>
                <w:b/>
                <w:bCs/>
                <w:sz w:val="18"/>
                <w:szCs w:val="16"/>
              </w:rPr>
              <w:br/>
              <w:t>Incentive Plan</w:t>
            </w:r>
            <w:r>
              <w:rPr>
                <w:rFonts w:ascii="Arial" w:hAnsi="Arial" w:cs="Arial"/>
                <w:b/>
                <w:bCs/>
                <w:sz w:val="18"/>
                <w:szCs w:val="16"/>
              </w:rPr>
              <w:br/>
              <w:t>Compensation ($)</w:t>
            </w:r>
            <w:r>
              <w:rPr>
                <w:rFonts w:ascii="Arial" w:hAnsi="Arial" w:cs="Arial"/>
                <w:b/>
                <w:bCs/>
                <w:sz w:val="18"/>
                <w:szCs w:val="16"/>
                <w:vertAlign w:val="superscript"/>
              </w:rPr>
              <w:t>(2)</w:t>
            </w:r>
          </w:p>
        </w:tc>
        <w:tc>
          <w:tcPr>
            <w:tcW w:w="712" w:type="pct"/>
            <w:tcMar>
              <w:top w:w="30" w:type="dxa"/>
              <w:left w:w="60" w:type="dxa"/>
              <w:bottom w:w="30" w:type="dxa"/>
              <w:right w:w="60" w:type="dxa"/>
            </w:tcMar>
            <w:vAlign w:val="bottom"/>
            <w:hideMark/>
          </w:tcPr>
          <w:p w:rsidR="00376768" w:rsidRDefault="00EC2B72">
            <w:pPr>
              <w:jc w:val="center"/>
              <w:rPr>
                <w:rFonts w:ascii="Arial" w:hAnsi="Arial" w:cs="Arial"/>
                <w:sz w:val="18"/>
                <w:szCs w:val="16"/>
              </w:rPr>
            </w:pPr>
            <w:r>
              <w:rPr>
                <w:rFonts w:ascii="Arial" w:hAnsi="Arial" w:cs="Arial"/>
                <w:b/>
                <w:bCs/>
                <w:sz w:val="18"/>
                <w:szCs w:val="16"/>
              </w:rPr>
              <w:t>All Other</w:t>
            </w:r>
            <w:r>
              <w:rPr>
                <w:rFonts w:ascii="Arial" w:hAnsi="Arial" w:cs="Arial"/>
                <w:b/>
                <w:bCs/>
                <w:sz w:val="18"/>
                <w:szCs w:val="16"/>
              </w:rPr>
              <w:br/>
              <w:t>Compensation</w:t>
            </w:r>
            <w:r>
              <w:rPr>
                <w:rFonts w:ascii="Arial" w:hAnsi="Arial" w:cs="Arial"/>
                <w:b/>
                <w:bCs/>
                <w:sz w:val="18"/>
                <w:szCs w:val="16"/>
              </w:rPr>
              <w:br/>
              <w:t>($)</w:t>
            </w:r>
          </w:p>
        </w:tc>
        <w:tc>
          <w:tcPr>
            <w:tcW w:w="540" w:type="pct"/>
            <w:tcMar>
              <w:top w:w="30" w:type="dxa"/>
              <w:left w:w="60" w:type="dxa"/>
              <w:bottom w:w="30" w:type="dxa"/>
              <w:right w:w="60" w:type="dxa"/>
            </w:tcMar>
            <w:vAlign w:val="bottom"/>
            <w:hideMark/>
          </w:tcPr>
          <w:p w:rsidR="00376768" w:rsidRDefault="00EC2B72">
            <w:pPr>
              <w:jc w:val="center"/>
              <w:rPr>
                <w:rFonts w:ascii="Arial" w:hAnsi="Arial" w:cs="Arial"/>
                <w:sz w:val="18"/>
                <w:szCs w:val="16"/>
              </w:rPr>
            </w:pPr>
            <w:r>
              <w:rPr>
                <w:rFonts w:ascii="Arial" w:hAnsi="Arial" w:cs="Arial"/>
                <w:b/>
                <w:bCs/>
                <w:sz w:val="18"/>
                <w:szCs w:val="16"/>
              </w:rPr>
              <w:t>Total ($)</w:t>
            </w:r>
          </w:p>
        </w:tc>
      </w:tr>
      <w:tr w:rsidR="00376768">
        <w:trPr>
          <w:cantSplit/>
        </w:trPr>
        <w:tc>
          <w:tcPr>
            <w:tcW w:w="995" w:type="pct"/>
            <w:vMerge w:val="restart"/>
            <w:tcMar>
              <w:top w:w="30" w:type="dxa"/>
              <w:left w:w="60" w:type="dxa"/>
              <w:bottom w:w="30" w:type="dxa"/>
              <w:right w:w="60" w:type="dxa"/>
            </w:tcMar>
            <w:hideMark/>
          </w:tcPr>
          <w:p w:rsidR="00376768" w:rsidRDefault="00EC2B72">
            <w:pPr>
              <w:rPr>
                <w:rFonts w:ascii="Arial" w:hAnsi="Arial" w:cs="Arial"/>
                <w:sz w:val="18"/>
                <w:szCs w:val="20"/>
              </w:rPr>
            </w:pPr>
            <w:r>
              <w:rPr>
                <w:rFonts w:ascii="Arial" w:hAnsi="Arial" w:cs="Arial"/>
                <w:sz w:val="18"/>
                <w:szCs w:val="20"/>
              </w:rPr>
              <w:t>Robert P. Bauer President and CEO</w:t>
            </w:r>
          </w:p>
        </w:tc>
        <w:tc>
          <w:tcPr>
            <w:tcW w:w="333"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2017</w:t>
            </w:r>
          </w:p>
        </w:tc>
        <w:tc>
          <w:tcPr>
            <w:tcW w:w="483"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$613,000</w:t>
            </w:r>
          </w:p>
        </w:tc>
        <w:tc>
          <w:tcPr>
            <w:tcW w:w="377"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w:t>
            </w:r>
          </w:p>
        </w:tc>
        <w:tc>
          <w:tcPr>
            <w:tcW w:w="600"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$666,900</w:t>
            </w:r>
          </w:p>
        </w:tc>
        <w:tc>
          <w:tcPr>
            <w:tcW w:w="961"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$532,722</w:t>
            </w:r>
          </w:p>
        </w:tc>
        <w:tc>
          <w:tcPr>
            <w:tcW w:w="712"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$86,554</w:t>
            </w:r>
            <w:r>
              <w:rPr>
                <w:rFonts w:ascii="Arial" w:hAnsi="Arial" w:cs="Arial"/>
                <w:b/>
                <w:bCs/>
                <w:sz w:val="18"/>
                <w:szCs w:val="20"/>
                <w:vertAlign w:val="superscript"/>
              </w:rPr>
              <w:t>(3)</w:t>
            </w:r>
          </w:p>
        </w:tc>
        <w:tc>
          <w:tcPr>
            <w:tcW w:w="540"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$1,899,176</w:t>
            </w:r>
          </w:p>
        </w:tc>
      </w:tr>
      <w:tr w:rsidR="00376768">
        <w:trPr>
          <w:cantSplit/>
        </w:trPr>
        <w:tc>
          <w:tcPr>
            <w:tcW w:w="995" w:type="pct"/>
            <w:vMerge/>
            <w:vAlign w:val="center"/>
            <w:hideMark/>
          </w:tcPr>
          <w:p w:rsidR="00376768" w:rsidRDefault="00376768">
            <w:pPr>
              <w:rPr>
                <w:rFonts w:ascii="Arial" w:hAnsi="Arial" w:cs="Arial"/>
                <w:sz w:val="18"/>
                <w:szCs w:val="20"/>
              </w:rPr>
            </w:pPr>
          </w:p>
        </w:tc>
        <w:tc>
          <w:tcPr>
            <w:tcW w:w="333"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2016</w:t>
            </w:r>
          </w:p>
        </w:tc>
        <w:tc>
          <w:tcPr>
            <w:tcW w:w="483"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$613,000</w:t>
            </w:r>
          </w:p>
        </w:tc>
        <w:tc>
          <w:tcPr>
            <w:tcW w:w="377"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w:t>
            </w:r>
          </w:p>
        </w:tc>
        <w:tc>
          <w:tcPr>
            <w:tcW w:w="600"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$610,148</w:t>
            </w:r>
          </w:p>
        </w:tc>
        <w:tc>
          <w:tcPr>
            <w:tcW w:w="961"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$16,183</w:t>
            </w:r>
          </w:p>
        </w:tc>
        <w:tc>
          <w:tcPr>
            <w:tcW w:w="712"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$84,657</w:t>
            </w:r>
          </w:p>
        </w:tc>
        <w:tc>
          <w:tcPr>
            <w:tcW w:w="540"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$1,323,988</w:t>
            </w:r>
          </w:p>
        </w:tc>
      </w:tr>
      <w:tr w:rsidR="00376768">
        <w:trPr>
          <w:cantSplit/>
        </w:trPr>
        <w:tc>
          <w:tcPr>
            <w:tcW w:w="995" w:type="pct"/>
            <w:vMerge/>
            <w:vAlign w:val="center"/>
            <w:hideMark/>
          </w:tcPr>
          <w:p w:rsidR="00376768" w:rsidRDefault="00376768">
            <w:pPr>
              <w:rPr>
                <w:rFonts w:ascii="Arial" w:hAnsi="Arial" w:cs="Arial"/>
                <w:sz w:val="18"/>
                <w:szCs w:val="20"/>
              </w:rPr>
            </w:pPr>
          </w:p>
        </w:tc>
        <w:tc>
          <w:tcPr>
            <w:tcW w:w="333"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2015</w:t>
            </w:r>
          </w:p>
        </w:tc>
        <w:tc>
          <w:tcPr>
            <w:tcW w:w="483"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$613,000</w:t>
            </w:r>
          </w:p>
        </w:tc>
        <w:tc>
          <w:tcPr>
            <w:tcW w:w="377"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w:t>
            </w:r>
          </w:p>
        </w:tc>
        <w:tc>
          <w:tcPr>
            <w:tcW w:w="600"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$941,912</w:t>
            </w:r>
          </w:p>
        </w:tc>
        <w:tc>
          <w:tcPr>
            <w:tcW w:w="961"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$334,453</w:t>
            </w:r>
          </w:p>
        </w:tc>
        <w:tc>
          <w:tcPr>
            <w:tcW w:w="712"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$107,028</w:t>
            </w:r>
          </w:p>
        </w:tc>
        <w:tc>
          <w:tcPr>
            <w:tcW w:w="540"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$1,996,393</w:t>
            </w:r>
          </w:p>
        </w:tc>
      </w:tr>
      <w:tr w:rsidR="00376768">
        <w:tc>
          <w:tcPr>
            <w:tcW w:w="995" w:type="pct"/>
            <w:tcMar>
              <w:top w:w="30" w:type="dxa"/>
              <w:left w:w="60" w:type="dxa"/>
              <w:bottom w:w="30" w:type="dxa"/>
              <w:right w:w="60" w:type="dxa"/>
            </w:tcMar>
            <w:hideMark/>
          </w:tcPr>
          <w:p w:rsidR="00376768" w:rsidRDefault="00EC2B72">
            <w:pPr>
              <w:rPr>
                <w:rFonts w:ascii="Arial" w:hAnsi="Arial" w:cs="Arial"/>
                <w:sz w:val="18"/>
                <w:szCs w:val="20"/>
              </w:rPr>
            </w:pPr>
            <w:r>
              <w:rPr>
                <w:rFonts w:ascii="Arial" w:hAnsi="Arial" w:cs="Arial"/>
                <w:sz w:val="18"/>
                <w:szCs w:val="20"/>
              </w:rPr>
              <w:t>James P. Maloney</w:t>
            </w:r>
            <w:r>
              <w:rPr>
                <w:rFonts w:ascii="Arial" w:hAnsi="Arial" w:cs="Arial"/>
                <w:sz w:val="18"/>
                <w:szCs w:val="20"/>
                <w:vertAlign w:val="superscript"/>
              </w:rPr>
              <w:t xml:space="preserve"> (4)</w:t>
            </w:r>
            <w:r>
              <w:rPr>
                <w:rFonts w:ascii="Arial" w:hAnsi="Arial" w:cs="Arial"/>
                <w:sz w:val="18"/>
                <w:szCs w:val="20"/>
              </w:rPr>
              <w:t xml:space="preserve"> </w:t>
            </w:r>
            <w:proofErr w:type="spellStart"/>
            <w:r>
              <w:rPr>
                <w:rFonts w:ascii="Arial" w:hAnsi="Arial" w:cs="Arial"/>
                <w:sz w:val="18"/>
                <w:szCs w:val="20"/>
              </w:rPr>
              <w:t>Sr</w:t>
            </w:r>
            <w:proofErr w:type="spellEnd"/>
            <w:r>
              <w:rPr>
                <w:rFonts w:ascii="Arial" w:hAnsi="Arial" w:cs="Arial"/>
                <w:sz w:val="18"/>
                <w:szCs w:val="20"/>
              </w:rPr>
              <w:t xml:space="preserve"> VP, CFO and Treasurer</w:t>
            </w:r>
          </w:p>
        </w:tc>
        <w:tc>
          <w:tcPr>
            <w:tcW w:w="333"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2017</w:t>
            </w:r>
          </w:p>
        </w:tc>
        <w:tc>
          <w:tcPr>
            <w:tcW w:w="483"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$91,875</w:t>
            </w:r>
          </w:p>
        </w:tc>
        <w:tc>
          <w:tcPr>
            <w:tcW w:w="377"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w:t>
            </w:r>
          </w:p>
        </w:tc>
        <w:tc>
          <w:tcPr>
            <w:tcW w:w="600"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$225,000</w:t>
            </w:r>
          </w:p>
        </w:tc>
        <w:tc>
          <w:tcPr>
            <w:tcW w:w="961"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$49,902</w:t>
            </w:r>
          </w:p>
        </w:tc>
        <w:tc>
          <w:tcPr>
            <w:tcW w:w="712"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$7,762</w:t>
            </w:r>
            <w:r>
              <w:rPr>
                <w:rFonts w:ascii="Arial" w:hAnsi="Arial" w:cs="Arial"/>
                <w:sz w:val="18"/>
                <w:szCs w:val="20"/>
                <w:vertAlign w:val="superscript"/>
              </w:rPr>
              <w:t>(6)</w:t>
            </w:r>
          </w:p>
        </w:tc>
        <w:tc>
          <w:tcPr>
            <w:tcW w:w="540"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$374,539</w:t>
            </w:r>
          </w:p>
        </w:tc>
      </w:tr>
      <w:tr w:rsidR="00376768">
        <w:trPr>
          <w:cantSplit/>
        </w:trPr>
        <w:tc>
          <w:tcPr>
            <w:tcW w:w="995" w:type="pct"/>
            <w:vMerge w:val="restart"/>
            <w:tcMar>
              <w:top w:w="30" w:type="dxa"/>
              <w:left w:w="60" w:type="dxa"/>
              <w:bottom w:w="30" w:type="dxa"/>
              <w:right w:w="60" w:type="dxa"/>
            </w:tcMar>
            <w:hideMark/>
          </w:tcPr>
          <w:p w:rsidR="00376768" w:rsidRDefault="00EC2B72">
            <w:pPr>
              <w:rPr>
                <w:rFonts w:ascii="Arial" w:hAnsi="Arial" w:cs="Arial"/>
                <w:sz w:val="18"/>
                <w:szCs w:val="20"/>
              </w:rPr>
            </w:pPr>
            <w:r>
              <w:rPr>
                <w:rFonts w:ascii="Arial" w:hAnsi="Arial" w:cs="Arial"/>
                <w:sz w:val="18"/>
                <w:szCs w:val="20"/>
              </w:rPr>
              <w:t>David J. Russo</w:t>
            </w:r>
            <w:r>
              <w:rPr>
                <w:rFonts w:ascii="Arial" w:hAnsi="Arial" w:cs="Arial"/>
                <w:sz w:val="18"/>
                <w:szCs w:val="20"/>
                <w:vertAlign w:val="superscript"/>
              </w:rPr>
              <w:t xml:space="preserve"> (5)</w:t>
            </w:r>
            <w:r>
              <w:rPr>
                <w:rFonts w:ascii="Arial" w:hAnsi="Arial" w:cs="Arial"/>
                <w:sz w:val="18"/>
                <w:szCs w:val="20"/>
              </w:rPr>
              <w:t xml:space="preserve"> </w:t>
            </w:r>
            <w:proofErr w:type="spellStart"/>
            <w:r>
              <w:rPr>
                <w:rFonts w:ascii="Arial" w:hAnsi="Arial" w:cs="Arial"/>
                <w:sz w:val="18"/>
                <w:szCs w:val="20"/>
              </w:rPr>
              <w:t>Sr</w:t>
            </w:r>
            <w:proofErr w:type="spellEnd"/>
            <w:r>
              <w:rPr>
                <w:rFonts w:ascii="Arial" w:hAnsi="Arial" w:cs="Arial"/>
                <w:sz w:val="18"/>
                <w:szCs w:val="20"/>
              </w:rPr>
              <w:t xml:space="preserve"> VP, CFO and Treasurer</w:t>
            </w:r>
          </w:p>
        </w:tc>
        <w:tc>
          <w:tcPr>
            <w:tcW w:w="333"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2017</w:t>
            </w:r>
          </w:p>
        </w:tc>
        <w:tc>
          <w:tcPr>
            <w:tcW w:w="483"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$105,083</w:t>
            </w:r>
          </w:p>
        </w:tc>
        <w:tc>
          <w:tcPr>
            <w:tcW w:w="377"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w:t>
            </w:r>
          </w:p>
        </w:tc>
        <w:tc>
          <w:tcPr>
            <w:tcW w:w="600"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$567,809</w:t>
            </w:r>
          </w:p>
        </w:tc>
        <w:tc>
          <w:tcPr>
            <w:tcW w:w="961"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0</w:t>
            </w:r>
          </w:p>
        </w:tc>
        <w:tc>
          <w:tcPr>
            <w:tcW w:w="712"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$12,880</w:t>
            </w:r>
            <w:r>
              <w:rPr>
                <w:rFonts w:ascii="Arial" w:hAnsi="Arial" w:cs="Arial"/>
                <w:sz w:val="18"/>
                <w:szCs w:val="20"/>
                <w:vertAlign w:val="superscript"/>
              </w:rPr>
              <w:t>(7)</w:t>
            </w:r>
          </w:p>
        </w:tc>
        <w:tc>
          <w:tcPr>
            <w:tcW w:w="540"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$685,772</w:t>
            </w:r>
          </w:p>
        </w:tc>
      </w:tr>
      <w:tr w:rsidR="00376768">
        <w:trPr>
          <w:cantSplit/>
        </w:trPr>
        <w:tc>
          <w:tcPr>
            <w:tcW w:w="995" w:type="pct"/>
            <w:vMerge/>
            <w:vAlign w:val="center"/>
            <w:hideMark/>
          </w:tcPr>
          <w:p w:rsidR="00376768" w:rsidRDefault="00376768">
            <w:pPr>
              <w:rPr>
                <w:rFonts w:ascii="Arial" w:hAnsi="Arial" w:cs="Arial"/>
                <w:sz w:val="18"/>
                <w:szCs w:val="20"/>
              </w:rPr>
            </w:pPr>
          </w:p>
        </w:tc>
        <w:tc>
          <w:tcPr>
            <w:tcW w:w="333"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2016</w:t>
            </w:r>
          </w:p>
        </w:tc>
        <w:tc>
          <w:tcPr>
            <w:tcW w:w="483"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$332,108</w:t>
            </w:r>
          </w:p>
        </w:tc>
        <w:tc>
          <w:tcPr>
            <w:tcW w:w="377"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w:t>
            </w:r>
          </w:p>
        </w:tc>
        <w:tc>
          <w:tcPr>
            <w:tcW w:w="600"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$634,933</w:t>
            </w:r>
          </w:p>
        </w:tc>
        <w:tc>
          <w:tcPr>
            <w:tcW w:w="961"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$6,658</w:t>
            </w:r>
          </w:p>
        </w:tc>
        <w:tc>
          <w:tcPr>
            <w:tcW w:w="712"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$47,374</w:t>
            </w:r>
          </w:p>
        </w:tc>
        <w:tc>
          <w:tcPr>
            <w:tcW w:w="540"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$1,021,072</w:t>
            </w:r>
          </w:p>
        </w:tc>
      </w:tr>
      <w:tr w:rsidR="00376768">
        <w:trPr>
          <w:cantSplit/>
        </w:trPr>
        <w:tc>
          <w:tcPr>
            <w:tcW w:w="995" w:type="pct"/>
            <w:vMerge/>
            <w:vAlign w:val="center"/>
            <w:hideMark/>
          </w:tcPr>
          <w:p w:rsidR="00376768" w:rsidRDefault="00376768">
            <w:pPr>
              <w:rPr>
                <w:rFonts w:ascii="Arial" w:hAnsi="Arial" w:cs="Arial"/>
                <w:sz w:val="18"/>
                <w:szCs w:val="20"/>
              </w:rPr>
            </w:pPr>
          </w:p>
        </w:tc>
        <w:tc>
          <w:tcPr>
            <w:tcW w:w="333"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2015</w:t>
            </w:r>
          </w:p>
        </w:tc>
        <w:tc>
          <w:tcPr>
            <w:tcW w:w="483"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$308,357</w:t>
            </w:r>
          </w:p>
        </w:tc>
        <w:tc>
          <w:tcPr>
            <w:tcW w:w="377"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w:t>
            </w:r>
          </w:p>
        </w:tc>
        <w:tc>
          <w:tcPr>
            <w:tcW w:w="600"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$308,800</w:t>
            </w:r>
          </w:p>
        </w:tc>
        <w:tc>
          <w:tcPr>
            <w:tcW w:w="961"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$126,180</w:t>
            </w:r>
          </w:p>
        </w:tc>
        <w:tc>
          <w:tcPr>
            <w:tcW w:w="712"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$52,556</w:t>
            </w:r>
          </w:p>
        </w:tc>
        <w:tc>
          <w:tcPr>
            <w:tcW w:w="540"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$795,893</w:t>
            </w:r>
          </w:p>
        </w:tc>
      </w:tr>
      <w:tr w:rsidR="00376768">
        <w:tc>
          <w:tcPr>
            <w:tcW w:w="995" w:type="pct"/>
            <w:tcMar>
              <w:top w:w="30" w:type="dxa"/>
              <w:left w:w="60" w:type="dxa"/>
              <w:bottom w:w="30" w:type="dxa"/>
              <w:right w:w="60" w:type="dxa"/>
            </w:tcMar>
            <w:hideMark/>
          </w:tcPr>
          <w:p w:rsidR="00376768" w:rsidRDefault="00EC2B72">
            <w:pPr>
              <w:rPr>
                <w:rFonts w:ascii="Arial" w:hAnsi="Arial" w:cs="Arial"/>
                <w:sz w:val="18"/>
                <w:szCs w:val="20"/>
              </w:rPr>
            </w:pPr>
            <w:r>
              <w:rPr>
                <w:rFonts w:ascii="Arial" w:hAnsi="Arial" w:cs="Arial"/>
                <w:sz w:val="18"/>
                <w:szCs w:val="20"/>
              </w:rPr>
              <w:t xml:space="preserve">Christopher T. Scanlon </w:t>
            </w:r>
            <w:r>
              <w:rPr>
                <w:rFonts w:ascii="Arial" w:hAnsi="Arial" w:cs="Arial"/>
                <w:sz w:val="18"/>
                <w:szCs w:val="20"/>
                <w:vertAlign w:val="superscript"/>
              </w:rPr>
              <w:t>(8)</w:t>
            </w:r>
            <w:r>
              <w:rPr>
                <w:rFonts w:ascii="Arial" w:hAnsi="Arial" w:cs="Arial"/>
                <w:sz w:val="18"/>
                <w:szCs w:val="20"/>
              </w:rPr>
              <w:t xml:space="preserve"> Corporate Controller and CAO</w:t>
            </w:r>
          </w:p>
        </w:tc>
        <w:tc>
          <w:tcPr>
            <w:tcW w:w="333"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2017</w:t>
            </w:r>
          </w:p>
        </w:tc>
        <w:tc>
          <w:tcPr>
            <w:tcW w:w="483"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$191,895</w:t>
            </w:r>
          </w:p>
        </w:tc>
        <w:tc>
          <w:tcPr>
            <w:tcW w:w="377"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w:t>
            </w:r>
          </w:p>
        </w:tc>
        <w:tc>
          <w:tcPr>
            <w:tcW w:w="600"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$198,552</w:t>
            </w:r>
          </w:p>
        </w:tc>
        <w:tc>
          <w:tcPr>
            <w:tcW w:w="961"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$72,959</w:t>
            </w:r>
          </w:p>
        </w:tc>
        <w:tc>
          <w:tcPr>
            <w:tcW w:w="712"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$22,493</w:t>
            </w:r>
            <w:r>
              <w:rPr>
                <w:rFonts w:ascii="Arial" w:hAnsi="Arial" w:cs="Arial"/>
                <w:sz w:val="18"/>
                <w:szCs w:val="20"/>
                <w:vertAlign w:val="superscript"/>
              </w:rPr>
              <w:t>(9)</w:t>
            </w:r>
          </w:p>
        </w:tc>
        <w:tc>
          <w:tcPr>
            <w:tcW w:w="540"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$485,899</w:t>
            </w:r>
          </w:p>
        </w:tc>
      </w:tr>
      <w:tr w:rsidR="00376768">
        <w:trPr>
          <w:cantSplit/>
        </w:trPr>
        <w:tc>
          <w:tcPr>
            <w:tcW w:w="995" w:type="pct"/>
            <w:vMerge w:val="restart"/>
            <w:tcMar>
              <w:top w:w="30" w:type="dxa"/>
              <w:left w:w="60" w:type="dxa"/>
              <w:bottom w:w="30" w:type="dxa"/>
              <w:right w:w="60" w:type="dxa"/>
            </w:tcMar>
            <w:hideMark/>
          </w:tcPr>
          <w:p w:rsidR="00376768" w:rsidRDefault="00EC2B72">
            <w:pPr>
              <w:rPr>
                <w:rFonts w:ascii="Arial" w:hAnsi="Arial" w:cs="Arial"/>
                <w:sz w:val="18"/>
                <w:szCs w:val="20"/>
              </w:rPr>
            </w:pPr>
            <w:r>
              <w:rPr>
                <w:rFonts w:ascii="Arial" w:hAnsi="Arial" w:cs="Arial"/>
                <w:sz w:val="18"/>
                <w:szCs w:val="20"/>
              </w:rPr>
              <w:t xml:space="preserve">John F. </w:t>
            </w:r>
            <w:proofErr w:type="spellStart"/>
            <w:r>
              <w:rPr>
                <w:rFonts w:ascii="Arial" w:hAnsi="Arial" w:cs="Arial"/>
                <w:sz w:val="18"/>
                <w:szCs w:val="20"/>
              </w:rPr>
              <w:t>Kasel</w:t>
            </w:r>
            <w:proofErr w:type="spellEnd"/>
            <w:r>
              <w:rPr>
                <w:rFonts w:ascii="Arial" w:hAnsi="Arial" w:cs="Arial"/>
                <w:sz w:val="18"/>
                <w:szCs w:val="20"/>
              </w:rPr>
              <w:t xml:space="preserve"> </w:t>
            </w:r>
            <w:proofErr w:type="spellStart"/>
            <w:r>
              <w:rPr>
                <w:rFonts w:ascii="Arial" w:hAnsi="Arial" w:cs="Arial"/>
                <w:sz w:val="18"/>
                <w:szCs w:val="20"/>
              </w:rPr>
              <w:t>Sr</w:t>
            </w:r>
            <w:proofErr w:type="spellEnd"/>
            <w:r>
              <w:rPr>
                <w:rFonts w:ascii="Arial" w:hAnsi="Arial" w:cs="Arial"/>
                <w:sz w:val="18"/>
                <w:szCs w:val="20"/>
              </w:rPr>
              <w:t xml:space="preserve"> VP, Rail Business</w:t>
            </w:r>
          </w:p>
        </w:tc>
        <w:tc>
          <w:tcPr>
            <w:tcW w:w="333"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2017</w:t>
            </w:r>
          </w:p>
        </w:tc>
        <w:tc>
          <w:tcPr>
            <w:tcW w:w="483"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$307,133</w:t>
            </w:r>
          </w:p>
        </w:tc>
        <w:tc>
          <w:tcPr>
            <w:tcW w:w="377"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w:t>
            </w:r>
          </w:p>
        </w:tc>
        <w:tc>
          <w:tcPr>
            <w:tcW w:w="600"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$430,632</w:t>
            </w:r>
          </w:p>
        </w:tc>
        <w:tc>
          <w:tcPr>
            <w:tcW w:w="961"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$145,274</w:t>
            </w:r>
          </w:p>
        </w:tc>
        <w:tc>
          <w:tcPr>
            <w:tcW w:w="712"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$51,974</w:t>
            </w:r>
            <w:r>
              <w:rPr>
                <w:rFonts w:ascii="Arial" w:hAnsi="Arial" w:cs="Arial"/>
                <w:sz w:val="18"/>
                <w:szCs w:val="20"/>
                <w:vertAlign w:val="superscript"/>
              </w:rPr>
              <w:t>(10)</w:t>
            </w:r>
          </w:p>
        </w:tc>
        <w:tc>
          <w:tcPr>
            <w:tcW w:w="540"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$935,013</w:t>
            </w:r>
          </w:p>
        </w:tc>
      </w:tr>
      <w:tr w:rsidR="00376768">
        <w:trPr>
          <w:cantSplit/>
        </w:trPr>
        <w:tc>
          <w:tcPr>
            <w:tcW w:w="995" w:type="pct"/>
            <w:vMerge/>
            <w:vAlign w:val="center"/>
            <w:hideMark/>
          </w:tcPr>
          <w:p w:rsidR="00376768" w:rsidRDefault="00376768">
            <w:pPr>
              <w:rPr>
                <w:rFonts w:ascii="Arial" w:hAnsi="Arial" w:cs="Arial"/>
                <w:sz w:val="18"/>
                <w:szCs w:val="20"/>
              </w:rPr>
            </w:pPr>
          </w:p>
        </w:tc>
        <w:tc>
          <w:tcPr>
            <w:tcW w:w="333"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2016</w:t>
            </w:r>
          </w:p>
        </w:tc>
        <w:tc>
          <w:tcPr>
            <w:tcW w:w="483"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$305,164</w:t>
            </w:r>
          </w:p>
        </w:tc>
        <w:tc>
          <w:tcPr>
            <w:tcW w:w="377"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w:t>
            </w:r>
          </w:p>
        </w:tc>
        <w:tc>
          <w:tcPr>
            <w:tcW w:w="600"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$486,799</w:t>
            </w:r>
          </w:p>
        </w:tc>
        <w:tc>
          <w:tcPr>
            <w:tcW w:w="961"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$34,553</w:t>
            </w:r>
          </w:p>
        </w:tc>
        <w:tc>
          <w:tcPr>
            <w:tcW w:w="712"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$48,645</w:t>
            </w:r>
          </w:p>
        </w:tc>
        <w:tc>
          <w:tcPr>
            <w:tcW w:w="540"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$875,161</w:t>
            </w:r>
          </w:p>
        </w:tc>
      </w:tr>
      <w:tr w:rsidR="00376768">
        <w:trPr>
          <w:cantSplit/>
        </w:trPr>
        <w:tc>
          <w:tcPr>
            <w:tcW w:w="995" w:type="pct"/>
            <w:vMerge/>
            <w:vAlign w:val="center"/>
            <w:hideMark/>
          </w:tcPr>
          <w:p w:rsidR="00376768" w:rsidRDefault="00376768">
            <w:pPr>
              <w:rPr>
                <w:rFonts w:ascii="Arial" w:hAnsi="Arial" w:cs="Arial"/>
                <w:sz w:val="18"/>
                <w:szCs w:val="20"/>
              </w:rPr>
            </w:pPr>
          </w:p>
        </w:tc>
        <w:tc>
          <w:tcPr>
            <w:tcW w:w="333"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2015</w:t>
            </w:r>
          </w:p>
        </w:tc>
        <w:tc>
          <w:tcPr>
            <w:tcW w:w="483"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$293,171</w:t>
            </w:r>
          </w:p>
        </w:tc>
        <w:tc>
          <w:tcPr>
            <w:tcW w:w="377"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w:t>
            </w:r>
          </w:p>
        </w:tc>
        <w:tc>
          <w:tcPr>
            <w:tcW w:w="600"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$267,607</w:t>
            </w:r>
          </w:p>
        </w:tc>
        <w:tc>
          <w:tcPr>
            <w:tcW w:w="961"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$112,870</w:t>
            </w:r>
          </w:p>
        </w:tc>
        <w:tc>
          <w:tcPr>
            <w:tcW w:w="712"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$54,605</w:t>
            </w:r>
          </w:p>
        </w:tc>
        <w:tc>
          <w:tcPr>
            <w:tcW w:w="540"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$728,253</w:t>
            </w:r>
          </w:p>
        </w:tc>
      </w:tr>
      <w:tr w:rsidR="00376768">
        <w:trPr>
          <w:cantSplit/>
        </w:trPr>
        <w:tc>
          <w:tcPr>
            <w:tcW w:w="995" w:type="pct"/>
            <w:vMerge w:val="restart"/>
            <w:tcMar>
              <w:top w:w="30" w:type="dxa"/>
              <w:left w:w="60" w:type="dxa"/>
              <w:bottom w:w="30" w:type="dxa"/>
              <w:right w:w="60" w:type="dxa"/>
            </w:tcMar>
            <w:hideMark/>
          </w:tcPr>
          <w:p w:rsidR="00376768" w:rsidRDefault="00EC2B72">
            <w:pPr>
              <w:rPr>
                <w:rFonts w:ascii="Arial" w:hAnsi="Arial" w:cs="Arial"/>
                <w:sz w:val="18"/>
                <w:szCs w:val="20"/>
              </w:rPr>
            </w:pPr>
            <w:r>
              <w:rPr>
                <w:rFonts w:ascii="Arial" w:hAnsi="Arial" w:cs="Arial"/>
                <w:sz w:val="18"/>
                <w:szCs w:val="20"/>
              </w:rPr>
              <w:t xml:space="preserve">Patrick J. </w:t>
            </w:r>
            <w:proofErr w:type="spellStart"/>
            <w:r>
              <w:rPr>
                <w:rFonts w:ascii="Arial" w:hAnsi="Arial" w:cs="Arial"/>
                <w:sz w:val="18"/>
                <w:szCs w:val="20"/>
              </w:rPr>
              <w:t>Guinee</w:t>
            </w:r>
            <w:proofErr w:type="spellEnd"/>
            <w:r>
              <w:rPr>
                <w:rFonts w:ascii="Arial" w:hAnsi="Arial" w:cs="Arial"/>
                <w:sz w:val="18"/>
                <w:szCs w:val="20"/>
              </w:rPr>
              <w:t xml:space="preserve"> </w:t>
            </w:r>
            <w:proofErr w:type="spellStart"/>
            <w:r>
              <w:rPr>
                <w:rFonts w:ascii="Arial" w:hAnsi="Arial" w:cs="Arial"/>
                <w:sz w:val="18"/>
                <w:szCs w:val="20"/>
              </w:rPr>
              <w:t>Sr</w:t>
            </w:r>
            <w:proofErr w:type="spellEnd"/>
            <w:r>
              <w:rPr>
                <w:rFonts w:ascii="Arial" w:hAnsi="Arial" w:cs="Arial"/>
                <w:sz w:val="18"/>
                <w:szCs w:val="20"/>
              </w:rPr>
              <w:t xml:space="preserve"> VP, General Counsel and Secretary</w:t>
            </w:r>
          </w:p>
        </w:tc>
        <w:tc>
          <w:tcPr>
            <w:tcW w:w="333"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2017</w:t>
            </w:r>
          </w:p>
        </w:tc>
        <w:tc>
          <w:tcPr>
            <w:tcW w:w="483"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$279,450</w:t>
            </w:r>
          </w:p>
        </w:tc>
        <w:tc>
          <w:tcPr>
            <w:tcW w:w="377"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w:t>
            </w:r>
          </w:p>
        </w:tc>
        <w:tc>
          <w:tcPr>
            <w:tcW w:w="600"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$363,929</w:t>
            </w:r>
          </w:p>
        </w:tc>
        <w:tc>
          <w:tcPr>
            <w:tcW w:w="961"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$136,606</w:t>
            </w:r>
          </w:p>
        </w:tc>
        <w:tc>
          <w:tcPr>
            <w:tcW w:w="712"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$43,166</w:t>
            </w:r>
            <w:r>
              <w:rPr>
                <w:rFonts w:ascii="Arial" w:hAnsi="Arial" w:cs="Arial"/>
                <w:sz w:val="18"/>
                <w:szCs w:val="20"/>
                <w:vertAlign w:val="superscript"/>
              </w:rPr>
              <w:t>(11)</w:t>
            </w:r>
          </w:p>
        </w:tc>
        <w:tc>
          <w:tcPr>
            <w:tcW w:w="540"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$823,151</w:t>
            </w:r>
          </w:p>
        </w:tc>
      </w:tr>
      <w:tr w:rsidR="00376768">
        <w:trPr>
          <w:cantSplit/>
        </w:trPr>
        <w:tc>
          <w:tcPr>
            <w:tcW w:w="995" w:type="pct"/>
            <w:vMerge/>
            <w:vAlign w:val="center"/>
            <w:hideMark/>
          </w:tcPr>
          <w:p w:rsidR="00376768" w:rsidRDefault="00376768">
            <w:pPr>
              <w:rPr>
                <w:rFonts w:ascii="Arial" w:hAnsi="Arial" w:cs="Arial"/>
                <w:sz w:val="18"/>
                <w:szCs w:val="20"/>
              </w:rPr>
            </w:pPr>
          </w:p>
        </w:tc>
        <w:tc>
          <w:tcPr>
            <w:tcW w:w="333"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2016</w:t>
            </w:r>
          </w:p>
        </w:tc>
        <w:tc>
          <w:tcPr>
            <w:tcW w:w="483"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$276,000</w:t>
            </w:r>
          </w:p>
        </w:tc>
        <w:tc>
          <w:tcPr>
            <w:tcW w:w="377"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w:t>
            </w:r>
          </w:p>
        </w:tc>
        <w:tc>
          <w:tcPr>
            <w:tcW w:w="600"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$338,621</w:t>
            </w:r>
          </w:p>
        </w:tc>
        <w:tc>
          <w:tcPr>
            <w:tcW w:w="961"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$4,150</w:t>
            </w:r>
          </w:p>
        </w:tc>
        <w:tc>
          <w:tcPr>
            <w:tcW w:w="712"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$45,136</w:t>
            </w:r>
          </w:p>
        </w:tc>
        <w:tc>
          <w:tcPr>
            <w:tcW w:w="540"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$663,907</w:t>
            </w:r>
          </w:p>
        </w:tc>
      </w:tr>
      <w:tr w:rsidR="00376768">
        <w:trPr>
          <w:cantSplit/>
        </w:trPr>
        <w:tc>
          <w:tcPr>
            <w:tcW w:w="995" w:type="pct"/>
            <w:vMerge/>
            <w:vAlign w:val="center"/>
            <w:hideMark/>
          </w:tcPr>
          <w:p w:rsidR="00376768" w:rsidRDefault="00376768">
            <w:pPr>
              <w:rPr>
                <w:rFonts w:ascii="Arial" w:hAnsi="Arial" w:cs="Arial"/>
                <w:sz w:val="18"/>
                <w:szCs w:val="20"/>
              </w:rPr>
            </w:pPr>
          </w:p>
        </w:tc>
        <w:tc>
          <w:tcPr>
            <w:tcW w:w="333"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2015</w:t>
            </w:r>
          </w:p>
        </w:tc>
        <w:tc>
          <w:tcPr>
            <w:tcW w:w="483"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$256,563</w:t>
            </w:r>
          </w:p>
        </w:tc>
        <w:tc>
          <w:tcPr>
            <w:tcW w:w="377"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w:t>
            </w:r>
          </w:p>
        </w:tc>
        <w:tc>
          <w:tcPr>
            <w:tcW w:w="600"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$154,431</w:t>
            </w:r>
          </w:p>
        </w:tc>
        <w:tc>
          <w:tcPr>
            <w:tcW w:w="961"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$78,739</w:t>
            </w:r>
          </w:p>
        </w:tc>
        <w:tc>
          <w:tcPr>
            <w:tcW w:w="712"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$44,229</w:t>
            </w:r>
          </w:p>
        </w:tc>
        <w:tc>
          <w:tcPr>
            <w:tcW w:w="540"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$533,962</w:t>
            </w:r>
          </w:p>
        </w:tc>
      </w:tr>
      <w:tr w:rsidR="00376768">
        <w:tc>
          <w:tcPr>
            <w:tcW w:w="995" w:type="pct"/>
            <w:tcMar>
              <w:top w:w="30" w:type="dxa"/>
              <w:left w:w="60" w:type="dxa"/>
              <w:bottom w:w="30" w:type="dxa"/>
              <w:right w:w="60" w:type="dxa"/>
            </w:tcMar>
            <w:hideMark/>
          </w:tcPr>
          <w:p w:rsidR="00376768" w:rsidRDefault="00EC2B72">
            <w:pPr>
              <w:rPr>
                <w:rFonts w:ascii="Arial" w:hAnsi="Arial" w:cs="Arial"/>
                <w:sz w:val="18"/>
                <w:szCs w:val="20"/>
              </w:rPr>
            </w:pPr>
            <w:r>
              <w:rPr>
                <w:rFonts w:ascii="Arial" w:hAnsi="Arial" w:cs="Arial"/>
                <w:sz w:val="18"/>
                <w:szCs w:val="20"/>
              </w:rPr>
              <w:t xml:space="preserve">Brian H. Kelly </w:t>
            </w:r>
            <w:proofErr w:type="spellStart"/>
            <w:r>
              <w:rPr>
                <w:rFonts w:ascii="Arial" w:hAnsi="Arial" w:cs="Arial"/>
                <w:sz w:val="18"/>
                <w:szCs w:val="20"/>
              </w:rPr>
              <w:t>Sr</w:t>
            </w:r>
            <w:proofErr w:type="spellEnd"/>
            <w:r>
              <w:rPr>
                <w:rFonts w:ascii="Arial" w:hAnsi="Arial" w:cs="Arial"/>
                <w:sz w:val="18"/>
                <w:szCs w:val="20"/>
              </w:rPr>
              <w:t xml:space="preserve"> VP, Human Resources and Administration</w:t>
            </w:r>
          </w:p>
        </w:tc>
        <w:tc>
          <w:tcPr>
            <w:tcW w:w="333"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2017</w:t>
            </w:r>
          </w:p>
        </w:tc>
        <w:tc>
          <w:tcPr>
            <w:tcW w:w="483"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$246,039</w:t>
            </w:r>
          </w:p>
        </w:tc>
        <w:tc>
          <w:tcPr>
            <w:tcW w:w="377"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w:t>
            </w:r>
          </w:p>
        </w:tc>
        <w:tc>
          <w:tcPr>
            <w:tcW w:w="600"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$354,411</w:t>
            </w:r>
          </w:p>
        </w:tc>
        <w:tc>
          <w:tcPr>
            <w:tcW w:w="961"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$106,909</w:t>
            </w:r>
          </w:p>
        </w:tc>
        <w:tc>
          <w:tcPr>
            <w:tcW w:w="712"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$45,148</w:t>
            </w:r>
            <w:r>
              <w:rPr>
                <w:rFonts w:ascii="Arial" w:hAnsi="Arial" w:cs="Arial"/>
                <w:sz w:val="18"/>
                <w:szCs w:val="20"/>
                <w:vertAlign w:val="superscript"/>
              </w:rPr>
              <w:t>(12)</w:t>
            </w:r>
          </w:p>
        </w:tc>
        <w:tc>
          <w:tcPr>
            <w:tcW w:w="540" w:type="pct"/>
            <w:tcMar>
              <w:top w:w="30" w:type="dxa"/>
              <w:left w:w="60" w:type="dxa"/>
              <w:bottom w:w="30" w:type="dxa"/>
              <w:right w:w="60" w:type="dxa"/>
            </w:tcMar>
            <w:vAlign w:val="center"/>
            <w:hideMark/>
          </w:tcPr>
          <w:p w:rsidR="00376768" w:rsidRDefault="00EC2B72">
            <w:pPr>
              <w:jc w:val="center"/>
              <w:rPr>
                <w:rFonts w:ascii="Arial" w:hAnsi="Arial" w:cs="Arial"/>
                <w:sz w:val="18"/>
                <w:szCs w:val="20"/>
              </w:rPr>
            </w:pPr>
            <w:r>
              <w:rPr>
                <w:rFonts w:ascii="Arial" w:hAnsi="Arial" w:cs="Arial"/>
                <w:sz w:val="18"/>
                <w:szCs w:val="20"/>
              </w:rPr>
              <w:t>$752,507</w:t>
            </w:r>
          </w:p>
        </w:tc>
      </w:tr>
    </w:tbl>
    <w:p w:rsidR="00376768" w:rsidRDefault="00376768">
      <w:pPr>
        <w:spacing w:before="160"/>
        <w:jc w:val="both"/>
        <w:rPr>
          <w:rFonts w:ascii="Arial" w:hAnsi="Arial" w:cs="Arial"/>
          <w:sz w:val="2"/>
          <w:szCs w:val="20"/>
        </w:rPr>
      </w:pPr>
    </w:p>
    <w:tbl>
      <w:tblPr>
        <w:tblW w:w="5000" w:type="pct"/>
        <w:tblLayout w:type="fixed"/>
        <w:tblCellMar>
          <w:left w:w="0" w:type="dxa"/>
          <w:right w:w="0" w:type="dxa"/>
        </w:tblCellMar>
        <w:tblLook w:val="0000" w:firstRow="0" w:lastRow="0" w:firstColumn="0" w:lastColumn="0" w:noHBand="0" w:noVBand="0"/>
      </w:tblPr>
      <w:tblGrid>
        <w:gridCol w:w="2160"/>
        <w:gridCol w:w="8640"/>
      </w:tblGrid>
      <w:tr w:rsidR="00376768">
        <w:tc>
          <w:tcPr>
            <w:tcW w:w="1000" w:type="pct"/>
            <w:tcBorders>
              <w:bottom w:val="single" w:sz="2" w:space="0" w:color="000000"/>
            </w:tcBorders>
          </w:tcPr>
          <w:p w:rsidR="00376768" w:rsidRDefault="00376768">
            <w:pPr>
              <w:rPr>
                <w:rFonts w:ascii="Arial" w:hAnsi="Arial" w:cs="Arial"/>
                <w:sz w:val="2"/>
                <w:szCs w:val="2"/>
              </w:rPr>
            </w:pPr>
          </w:p>
        </w:tc>
        <w:tc>
          <w:tcPr>
            <w:tcW w:w="4000" w:type="pct"/>
          </w:tcPr>
          <w:p w:rsidR="00376768" w:rsidRDefault="00376768">
            <w:pPr>
              <w:rPr>
                <w:rFonts w:ascii="Arial" w:hAnsi="Arial" w:cs="Arial"/>
                <w:sz w:val="2"/>
                <w:szCs w:val="2"/>
              </w:rPr>
            </w:pPr>
          </w:p>
        </w:tc>
      </w:tr>
    </w:tbl>
    <w:p w:rsidR="00376768" w:rsidRDefault="00EC2B72">
      <w:pPr>
        <w:spacing w:before="160"/>
        <w:ind w:left="360" w:hanging="360"/>
        <w:jc w:val="both"/>
        <w:rPr>
          <w:rFonts w:ascii="Arial" w:hAnsi="Arial" w:cs="Arial"/>
          <w:sz w:val="16"/>
          <w:szCs w:val="16"/>
        </w:rPr>
      </w:pPr>
      <w:r>
        <w:rPr>
          <w:rFonts w:ascii="Arial" w:hAnsi="Arial" w:cs="Arial"/>
          <w:sz w:val="16"/>
          <w:szCs w:val="16"/>
          <w:vertAlign w:val="superscript"/>
        </w:rPr>
        <w:t>(1)</w:t>
      </w:r>
      <w:r>
        <w:rPr>
          <w:rFonts w:ascii="Arial" w:hAnsi="Arial" w:cs="Arial"/>
          <w:sz w:val="16"/>
          <w:szCs w:val="16"/>
          <w:vertAlign w:val="superscript"/>
        </w:rPr>
        <w:tab/>
      </w:r>
      <w:r>
        <w:rPr>
          <w:rFonts w:ascii="Arial" w:hAnsi="Arial" w:cs="Arial"/>
          <w:sz w:val="16"/>
          <w:szCs w:val="16"/>
        </w:rPr>
        <w:t xml:space="preserve">For 2017, the amounts represent the aggregate grant date fair value of the 2017-2019 LTIP awards; this grant consists of a combination of restricted stock and PSUs computed in accordance with FASB ASC Topic 718 (ASC 718) (excluding the effect of estimated forfeitures). For a discussion of valuation assumptions, see Note 15 of the Company’s 2017 Consolidated Financial Statements in the Company’s Annual Report on Form 10-K for the year ended December 31, 2017. The 2017 amounts listed in this table used the closing price per share of Company stock on February 22, 2017, $13.50, except for Mr. Maloney’s grants which were made upon hire on September 18, 2017 and which amounts listed use $20.15, the closing price per share of Company stock on that date. Maximum opportunity for PSUs is $1,250,438 for Mr. Bauer; $421,901 for Mr. Maloney; $535,883 for Mr. Russo; $160,785 for Mr. Scanlon; $410,873 for Mr. </w:t>
      </w:r>
      <w:proofErr w:type="spellStart"/>
      <w:r>
        <w:rPr>
          <w:rFonts w:ascii="Arial" w:hAnsi="Arial" w:cs="Arial"/>
          <w:sz w:val="16"/>
          <w:szCs w:val="16"/>
        </w:rPr>
        <w:t>Kasel</w:t>
      </w:r>
      <w:proofErr w:type="spellEnd"/>
      <w:r>
        <w:rPr>
          <w:rFonts w:ascii="Arial" w:hAnsi="Arial" w:cs="Arial"/>
          <w:sz w:val="16"/>
          <w:szCs w:val="16"/>
        </w:rPr>
        <w:t xml:space="preserve">; $285,795 for Mr. </w:t>
      </w:r>
      <w:proofErr w:type="spellStart"/>
      <w:r>
        <w:rPr>
          <w:rFonts w:ascii="Arial" w:hAnsi="Arial" w:cs="Arial"/>
          <w:sz w:val="16"/>
          <w:szCs w:val="16"/>
        </w:rPr>
        <w:t>Guinee</w:t>
      </w:r>
      <w:proofErr w:type="spellEnd"/>
      <w:r>
        <w:rPr>
          <w:rFonts w:ascii="Arial" w:hAnsi="Arial" w:cs="Arial"/>
          <w:sz w:val="16"/>
          <w:szCs w:val="16"/>
        </w:rPr>
        <w:t>; and $267,975 for Mr. Kelly.</w:t>
      </w:r>
    </w:p>
    <w:p w:rsidR="00376768" w:rsidRDefault="00EC2B72">
      <w:pPr>
        <w:ind w:left="360"/>
        <w:jc w:val="both"/>
        <w:rPr>
          <w:rFonts w:ascii="Arial" w:hAnsi="Arial" w:cs="Arial"/>
          <w:sz w:val="16"/>
          <w:szCs w:val="16"/>
        </w:rPr>
      </w:pPr>
      <w:r>
        <w:rPr>
          <w:rFonts w:ascii="Arial" w:hAnsi="Arial" w:cs="Arial"/>
          <w:sz w:val="16"/>
          <w:szCs w:val="16"/>
        </w:rPr>
        <w:t xml:space="preserve">This column also includes a special retention grant of restricted stock for Messrs. Russo, Scanlon, </w:t>
      </w:r>
      <w:proofErr w:type="spellStart"/>
      <w:r>
        <w:rPr>
          <w:rFonts w:ascii="Arial" w:hAnsi="Arial" w:cs="Arial"/>
          <w:sz w:val="16"/>
          <w:szCs w:val="16"/>
        </w:rPr>
        <w:t>Kasel</w:t>
      </w:r>
      <w:proofErr w:type="spellEnd"/>
      <w:r>
        <w:rPr>
          <w:rFonts w:ascii="Arial" w:hAnsi="Arial" w:cs="Arial"/>
          <w:sz w:val="16"/>
          <w:szCs w:val="16"/>
        </w:rPr>
        <w:t xml:space="preserve">, </w:t>
      </w:r>
      <w:proofErr w:type="spellStart"/>
      <w:r>
        <w:rPr>
          <w:rFonts w:ascii="Arial" w:hAnsi="Arial" w:cs="Arial"/>
          <w:sz w:val="16"/>
          <w:szCs w:val="16"/>
        </w:rPr>
        <w:t>Guinee</w:t>
      </w:r>
      <w:proofErr w:type="spellEnd"/>
      <w:r>
        <w:rPr>
          <w:rFonts w:ascii="Arial" w:hAnsi="Arial" w:cs="Arial"/>
          <w:sz w:val="16"/>
          <w:szCs w:val="16"/>
        </w:rPr>
        <w:t>, and Kelly. This grant was made on February 14, 2017 and had a grant date fair value of $14.10 per share, the closing price of Company stock on that date.</w:t>
      </w:r>
    </w:p>
    <w:p w:rsidR="00376768" w:rsidRDefault="00EC2B72">
      <w:pPr>
        <w:ind w:left="360"/>
        <w:jc w:val="both"/>
        <w:rPr>
          <w:rFonts w:ascii="Arial" w:hAnsi="Arial" w:cs="Arial"/>
          <w:sz w:val="16"/>
          <w:szCs w:val="16"/>
        </w:rPr>
      </w:pPr>
      <w:r>
        <w:rPr>
          <w:rFonts w:ascii="Arial" w:hAnsi="Arial" w:cs="Arial"/>
          <w:sz w:val="16"/>
          <w:szCs w:val="16"/>
        </w:rPr>
        <w:t>Messrs. Russo and Scanlon forfeited their 2017-2019 LTIP awards and 2017 special retention grants on the dates of their termination of employment: April 21, 2017 and March 30, 2018, respectively.</w:t>
      </w:r>
    </w:p>
    <w:p w:rsidR="00376768" w:rsidRDefault="00EC2B72">
      <w:pPr>
        <w:spacing w:before="160"/>
        <w:ind w:left="360" w:hanging="360"/>
        <w:jc w:val="both"/>
        <w:rPr>
          <w:rFonts w:ascii="Arial" w:hAnsi="Arial" w:cs="Arial"/>
          <w:sz w:val="16"/>
          <w:szCs w:val="16"/>
        </w:rPr>
      </w:pPr>
      <w:r>
        <w:rPr>
          <w:rFonts w:ascii="Arial" w:hAnsi="Arial" w:cs="Arial"/>
          <w:sz w:val="16"/>
          <w:szCs w:val="16"/>
          <w:vertAlign w:val="superscript"/>
        </w:rPr>
        <w:t>(2)</w:t>
      </w:r>
      <w:r>
        <w:rPr>
          <w:rFonts w:ascii="Arial" w:hAnsi="Arial" w:cs="Arial"/>
          <w:sz w:val="16"/>
          <w:szCs w:val="16"/>
          <w:vertAlign w:val="superscript"/>
        </w:rPr>
        <w:tab/>
      </w:r>
      <w:r>
        <w:rPr>
          <w:rFonts w:ascii="Arial" w:hAnsi="Arial" w:cs="Arial"/>
          <w:sz w:val="16"/>
          <w:szCs w:val="16"/>
        </w:rPr>
        <w:t>Amounts represent cash awards paid under the Executive Annual Incentive Compensation Plan (the “Annual Plan”). For further information, please see pages 40-43.</w:t>
      </w:r>
    </w:p>
    <w:p w:rsidR="00376768" w:rsidRDefault="00EC2B72">
      <w:pPr>
        <w:spacing w:before="160"/>
        <w:ind w:left="360" w:hanging="360"/>
        <w:jc w:val="both"/>
        <w:rPr>
          <w:rFonts w:ascii="Arial" w:hAnsi="Arial" w:cs="Arial"/>
          <w:sz w:val="16"/>
          <w:szCs w:val="16"/>
        </w:rPr>
      </w:pPr>
      <w:r>
        <w:rPr>
          <w:rFonts w:ascii="Arial" w:hAnsi="Arial" w:cs="Arial"/>
          <w:sz w:val="16"/>
          <w:szCs w:val="16"/>
          <w:vertAlign w:val="superscript"/>
        </w:rPr>
        <w:t>(3)</w:t>
      </w:r>
      <w:r>
        <w:rPr>
          <w:rFonts w:ascii="Arial" w:hAnsi="Arial" w:cs="Arial"/>
          <w:sz w:val="16"/>
          <w:szCs w:val="16"/>
          <w:vertAlign w:val="superscript"/>
        </w:rPr>
        <w:tab/>
      </w:r>
      <w:r>
        <w:rPr>
          <w:rFonts w:ascii="Arial" w:hAnsi="Arial" w:cs="Arial"/>
          <w:sz w:val="16"/>
          <w:szCs w:val="16"/>
        </w:rPr>
        <w:t>For Mr. Bauer, the 2017 amount includes: a 401(k) discretionary profit share contribution; SERP contribution of $20,832; a 401(k) Company match of $10,600; an auto allowance of $12,000; Company-paid life insurance premium; Company-paid long-term disability premium; club memberships of $22,102; and $13,370</w:t>
      </w:r>
      <w:r>
        <w:rPr>
          <w:rFonts w:ascii="Arial" w:hAnsi="Arial" w:cs="Arial"/>
          <w:b/>
          <w:bCs/>
          <w:sz w:val="16"/>
          <w:szCs w:val="16"/>
        </w:rPr>
        <w:t xml:space="preserve"> </w:t>
      </w:r>
      <w:r>
        <w:rPr>
          <w:rFonts w:ascii="Arial" w:hAnsi="Arial" w:cs="Arial"/>
          <w:sz w:val="16"/>
          <w:szCs w:val="16"/>
        </w:rPr>
        <w:t>for financial planning services.</w:t>
      </w:r>
    </w:p>
    <w:p w:rsidR="00376768" w:rsidRDefault="00EC2B72">
      <w:pPr>
        <w:spacing w:before="160"/>
        <w:ind w:left="360" w:hanging="360"/>
        <w:jc w:val="both"/>
        <w:rPr>
          <w:rFonts w:ascii="Arial" w:hAnsi="Arial" w:cs="Arial"/>
          <w:sz w:val="16"/>
          <w:szCs w:val="16"/>
        </w:rPr>
      </w:pPr>
      <w:r>
        <w:rPr>
          <w:rFonts w:ascii="Arial" w:hAnsi="Arial" w:cs="Arial"/>
          <w:sz w:val="16"/>
          <w:szCs w:val="16"/>
          <w:vertAlign w:val="superscript"/>
        </w:rPr>
        <w:t>(4)</w:t>
      </w:r>
      <w:r>
        <w:rPr>
          <w:rFonts w:ascii="Arial" w:hAnsi="Arial" w:cs="Arial"/>
          <w:sz w:val="16"/>
          <w:szCs w:val="16"/>
          <w:vertAlign w:val="superscript"/>
        </w:rPr>
        <w:tab/>
      </w:r>
      <w:r>
        <w:rPr>
          <w:rFonts w:ascii="Arial" w:hAnsi="Arial" w:cs="Arial"/>
          <w:sz w:val="16"/>
          <w:szCs w:val="16"/>
        </w:rPr>
        <w:t>Mr. Maloney joined the Company on September 18, 2017.</w:t>
      </w:r>
    </w:p>
    <w:p w:rsidR="00376768" w:rsidRDefault="00EC2B72">
      <w:pPr>
        <w:spacing w:before="160"/>
        <w:ind w:left="360" w:hanging="360"/>
        <w:jc w:val="both"/>
        <w:rPr>
          <w:rFonts w:ascii="Arial" w:hAnsi="Arial" w:cs="Arial"/>
          <w:sz w:val="16"/>
          <w:szCs w:val="16"/>
        </w:rPr>
      </w:pPr>
      <w:r>
        <w:rPr>
          <w:rFonts w:ascii="Arial" w:hAnsi="Arial" w:cs="Arial"/>
          <w:sz w:val="16"/>
          <w:szCs w:val="16"/>
          <w:vertAlign w:val="superscript"/>
        </w:rPr>
        <w:t>(5)</w:t>
      </w:r>
      <w:r>
        <w:rPr>
          <w:rFonts w:ascii="Arial" w:hAnsi="Arial" w:cs="Arial"/>
          <w:sz w:val="16"/>
          <w:szCs w:val="16"/>
          <w:vertAlign w:val="superscript"/>
        </w:rPr>
        <w:tab/>
      </w:r>
      <w:r>
        <w:rPr>
          <w:rFonts w:ascii="Arial" w:hAnsi="Arial" w:cs="Arial"/>
          <w:sz w:val="16"/>
          <w:szCs w:val="16"/>
        </w:rPr>
        <w:t>Mr. Russo resigned effective April 21, 2017.</w:t>
      </w:r>
    </w:p>
    <w:p w:rsidR="00376768" w:rsidRDefault="00EC2B72">
      <w:pPr>
        <w:spacing w:before="160"/>
        <w:ind w:left="360" w:hanging="360"/>
        <w:jc w:val="both"/>
        <w:rPr>
          <w:rFonts w:ascii="Arial" w:hAnsi="Arial" w:cs="Arial"/>
          <w:sz w:val="16"/>
          <w:szCs w:val="16"/>
        </w:rPr>
      </w:pPr>
      <w:r>
        <w:rPr>
          <w:rFonts w:ascii="Arial" w:hAnsi="Arial" w:cs="Arial"/>
          <w:sz w:val="16"/>
          <w:szCs w:val="16"/>
          <w:vertAlign w:val="superscript"/>
        </w:rPr>
        <w:t>(6)</w:t>
      </w:r>
      <w:r>
        <w:rPr>
          <w:rFonts w:ascii="Arial" w:hAnsi="Arial" w:cs="Arial"/>
          <w:sz w:val="16"/>
          <w:szCs w:val="16"/>
          <w:vertAlign w:val="superscript"/>
        </w:rPr>
        <w:tab/>
      </w:r>
      <w:r>
        <w:rPr>
          <w:rFonts w:ascii="Arial" w:hAnsi="Arial" w:cs="Arial"/>
          <w:sz w:val="16"/>
          <w:szCs w:val="16"/>
        </w:rPr>
        <w:t>For Mr. Maloney, the 2017 amount includes: a 401(k) Company match of $3,675; an auto allowance of $3,500; Company-paid life insurance premium; and Company-paid long-term disability premium.</w:t>
      </w:r>
    </w:p>
    <w:p w:rsidR="00376768" w:rsidRDefault="00EC2B72">
      <w:pPr>
        <w:spacing w:before="160"/>
        <w:ind w:left="360" w:hanging="360"/>
        <w:jc w:val="both"/>
        <w:rPr>
          <w:rFonts w:ascii="Arial" w:hAnsi="Arial" w:cs="Arial"/>
          <w:sz w:val="16"/>
          <w:szCs w:val="16"/>
        </w:rPr>
      </w:pPr>
      <w:r>
        <w:rPr>
          <w:rFonts w:ascii="Arial" w:hAnsi="Arial" w:cs="Arial"/>
          <w:sz w:val="16"/>
          <w:szCs w:val="16"/>
          <w:vertAlign w:val="superscript"/>
        </w:rPr>
        <w:t xml:space="preserve"> (7)</w:t>
      </w:r>
      <w:r>
        <w:rPr>
          <w:rFonts w:ascii="Arial" w:hAnsi="Arial" w:cs="Arial"/>
          <w:sz w:val="16"/>
          <w:szCs w:val="16"/>
          <w:vertAlign w:val="superscript"/>
        </w:rPr>
        <w:tab/>
      </w:r>
      <w:r>
        <w:rPr>
          <w:rFonts w:ascii="Arial" w:hAnsi="Arial" w:cs="Arial"/>
          <w:sz w:val="16"/>
          <w:szCs w:val="16"/>
        </w:rPr>
        <w:t>For Mr. Russo, the 2017 amount includes: a 401(k) Company match of $4,470; an auto allowance of $3,750; Company paid-life insurance premium; Company-paid long-term disability premium; medical reimbursement; and $3,598 for financial planning services. Mr. Russo resigned effective April 21, 2017 and the amounts in the table above reflect the amounts paid to him through his termination date.</w:t>
      </w:r>
    </w:p>
    <w:p w:rsidR="00376768" w:rsidRDefault="00EC2B72">
      <w:pPr>
        <w:spacing w:before="160"/>
        <w:ind w:left="360" w:hanging="360"/>
        <w:jc w:val="both"/>
        <w:rPr>
          <w:rFonts w:ascii="Arial" w:hAnsi="Arial" w:cs="Arial"/>
          <w:sz w:val="16"/>
          <w:szCs w:val="16"/>
        </w:rPr>
      </w:pPr>
      <w:r>
        <w:rPr>
          <w:rFonts w:ascii="Arial" w:hAnsi="Arial" w:cs="Arial"/>
          <w:sz w:val="16"/>
          <w:szCs w:val="16"/>
          <w:vertAlign w:val="superscript"/>
        </w:rPr>
        <w:t xml:space="preserve"> (8)</w:t>
      </w:r>
      <w:r>
        <w:rPr>
          <w:rFonts w:ascii="Arial" w:hAnsi="Arial" w:cs="Arial"/>
          <w:sz w:val="16"/>
          <w:szCs w:val="16"/>
          <w:vertAlign w:val="superscript"/>
        </w:rPr>
        <w:tab/>
      </w:r>
      <w:r>
        <w:rPr>
          <w:rFonts w:ascii="Arial" w:hAnsi="Arial" w:cs="Arial"/>
          <w:sz w:val="16"/>
          <w:szCs w:val="16"/>
        </w:rPr>
        <w:t>Mr. Scanlon resigned effective March 30, 2018.</w:t>
      </w:r>
    </w:p>
    <w:p w:rsidR="00376768" w:rsidRDefault="00EC2B72">
      <w:pPr>
        <w:spacing w:before="160"/>
        <w:ind w:left="360" w:hanging="360"/>
        <w:jc w:val="both"/>
        <w:rPr>
          <w:rFonts w:ascii="Arial" w:hAnsi="Arial" w:cs="Arial"/>
          <w:sz w:val="16"/>
          <w:szCs w:val="16"/>
        </w:rPr>
      </w:pPr>
      <w:r>
        <w:rPr>
          <w:rFonts w:ascii="Arial" w:hAnsi="Arial" w:cs="Arial"/>
          <w:sz w:val="16"/>
          <w:szCs w:val="16"/>
          <w:vertAlign w:val="superscript"/>
        </w:rPr>
        <w:t>(9)</w:t>
      </w:r>
      <w:r>
        <w:rPr>
          <w:rFonts w:ascii="Arial" w:hAnsi="Arial" w:cs="Arial"/>
          <w:sz w:val="16"/>
          <w:szCs w:val="16"/>
          <w:vertAlign w:val="superscript"/>
        </w:rPr>
        <w:tab/>
      </w:r>
      <w:r>
        <w:rPr>
          <w:rFonts w:ascii="Arial" w:hAnsi="Arial" w:cs="Arial"/>
          <w:sz w:val="16"/>
          <w:szCs w:val="16"/>
        </w:rPr>
        <w:t>For Mr. Scanlon, the 2017 amount includes: a discretionary profit share contribution of $3,494; a 401(k) Company match of $7,764; an auto allowance of $10,200; Company-paid life insurance premium; and Company-paid long-term disability premium.</w:t>
      </w:r>
    </w:p>
    <w:p w:rsidR="00376768" w:rsidRDefault="00EC2B72">
      <w:pPr>
        <w:spacing w:before="160"/>
        <w:ind w:left="360" w:hanging="360"/>
        <w:jc w:val="both"/>
        <w:rPr>
          <w:rFonts w:ascii="Arial" w:hAnsi="Arial" w:cs="Arial"/>
          <w:sz w:val="16"/>
          <w:szCs w:val="16"/>
        </w:rPr>
      </w:pPr>
      <w:r>
        <w:rPr>
          <w:rFonts w:ascii="Arial" w:hAnsi="Arial" w:cs="Arial"/>
          <w:sz w:val="16"/>
          <w:szCs w:val="16"/>
          <w:vertAlign w:val="superscript"/>
        </w:rPr>
        <w:lastRenderedPageBreak/>
        <w:t>(10)</w:t>
      </w:r>
      <w:r>
        <w:rPr>
          <w:rFonts w:ascii="Arial" w:hAnsi="Arial" w:cs="Arial"/>
          <w:sz w:val="16"/>
          <w:szCs w:val="16"/>
          <w:vertAlign w:val="superscript"/>
        </w:rPr>
        <w:tab/>
      </w:r>
      <w:r>
        <w:rPr>
          <w:rFonts w:ascii="Arial" w:hAnsi="Arial" w:cs="Arial"/>
          <w:sz w:val="16"/>
          <w:szCs w:val="16"/>
        </w:rPr>
        <w:t xml:space="preserve">For Mr. </w:t>
      </w:r>
      <w:proofErr w:type="spellStart"/>
      <w:r>
        <w:rPr>
          <w:rFonts w:ascii="Arial" w:hAnsi="Arial" w:cs="Arial"/>
          <w:sz w:val="16"/>
          <w:szCs w:val="16"/>
        </w:rPr>
        <w:t>Kasel</w:t>
      </w:r>
      <w:proofErr w:type="spellEnd"/>
      <w:r>
        <w:rPr>
          <w:rFonts w:ascii="Arial" w:hAnsi="Arial" w:cs="Arial"/>
          <w:sz w:val="16"/>
          <w:szCs w:val="16"/>
        </w:rPr>
        <w:t>, the 2017 amount includes: a 401(k) discretionary profit share contribution; a SERP contribution; a 401(k) Company match of $10,600; an auto allowance of $12,000; Company-paid long-term disability premium; a club membership; and $13,370 for financial planning services.</w:t>
      </w:r>
    </w:p>
    <w:p w:rsidR="00376768" w:rsidRDefault="00EC2B72">
      <w:pPr>
        <w:spacing w:before="160"/>
        <w:ind w:left="360" w:hanging="360"/>
        <w:jc w:val="both"/>
        <w:rPr>
          <w:rFonts w:ascii="Arial" w:hAnsi="Arial" w:cs="Arial"/>
          <w:sz w:val="16"/>
          <w:szCs w:val="16"/>
        </w:rPr>
      </w:pPr>
      <w:r>
        <w:rPr>
          <w:rFonts w:ascii="Arial" w:hAnsi="Arial" w:cs="Arial"/>
          <w:sz w:val="16"/>
          <w:szCs w:val="16"/>
          <w:vertAlign w:val="superscript"/>
        </w:rPr>
        <w:t>(11)</w:t>
      </w:r>
      <w:r>
        <w:rPr>
          <w:rFonts w:ascii="Arial" w:hAnsi="Arial" w:cs="Arial"/>
          <w:sz w:val="16"/>
          <w:szCs w:val="16"/>
          <w:vertAlign w:val="superscript"/>
        </w:rPr>
        <w:tab/>
      </w:r>
      <w:r>
        <w:rPr>
          <w:rFonts w:ascii="Arial" w:hAnsi="Arial" w:cs="Arial"/>
          <w:sz w:val="16"/>
          <w:szCs w:val="16"/>
        </w:rPr>
        <w:t xml:space="preserve">For Mr. </w:t>
      </w:r>
      <w:proofErr w:type="spellStart"/>
      <w:r>
        <w:rPr>
          <w:rFonts w:ascii="Arial" w:hAnsi="Arial" w:cs="Arial"/>
          <w:sz w:val="16"/>
          <w:szCs w:val="16"/>
        </w:rPr>
        <w:t>Guinee</w:t>
      </w:r>
      <w:proofErr w:type="spellEnd"/>
      <w:r>
        <w:rPr>
          <w:rFonts w:ascii="Arial" w:hAnsi="Arial" w:cs="Arial"/>
          <w:sz w:val="16"/>
          <w:szCs w:val="16"/>
        </w:rPr>
        <w:t>, the 2017 amount includes: a 401(k) discretionary profit share contribution of $4,860; a SERP contribution; a 401(k) Company match of $10,600; an auto allowance of $12,000; Company-paid life insurance premium; Company-paid long-term disability premium; medical reimbursement; and $13,370 for financial planning services.</w:t>
      </w:r>
    </w:p>
    <w:p w:rsidR="00376768" w:rsidRDefault="00EC2B72">
      <w:pPr>
        <w:spacing w:before="160"/>
        <w:ind w:left="360" w:hanging="360"/>
        <w:jc w:val="both"/>
        <w:rPr>
          <w:rFonts w:ascii="Arial" w:hAnsi="Arial" w:cs="Arial"/>
          <w:sz w:val="16"/>
          <w:szCs w:val="16"/>
        </w:rPr>
      </w:pPr>
      <w:r>
        <w:rPr>
          <w:rFonts w:ascii="Arial" w:hAnsi="Arial" w:cs="Arial"/>
          <w:sz w:val="16"/>
          <w:szCs w:val="16"/>
          <w:vertAlign w:val="superscript"/>
        </w:rPr>
        <w:t>(12)</w:t>
      </w:r>
      <w:r>
        <w:rPr>
          <w:rFonts w:ascii="Arial" w:hAnsi="Arial" w:cs="Arial"/>
          <w:sz w:val="16"/>
          <w:szCs w:val="16"/>
          <w:vertAlign w:val="superscript"/>
        </w:rPr>
        <w:tab/>
      </w:r>
      <w:r>
        <w:rPr>
          <w:rFonts w:ascii="Arial" w:hAnsi="Arial" w:cs="Arial"/>
          <w:sz w:val="16"/>
          <w:szCs w:val="16"/>
        </w:rPr>
        <w:t>For Mr. Kelly, the 2017 amount includes: a 401(k) discretionary profit share contribution; a 401(k) Company match of $10,600; an auto allowance of $12,000; Company-paid life insurance premium; Company-paid long-term disability premium; club membership; and $13,370 for financial planning services.</w:t>
      </w:r>
    </w:p>
    <w:p w:rsidR="00376768" w:rsidRDefault="00EC2B72">
      <w:pPr>
        <w:jc w:val="center"/>
        <w:rPr>
          <w:rFonts w:ascii="Arial" w:hAnsi="Arial" w:cs="Arial"/>
          <w:b/>
          <w:bCs/>
        </w:rPr>
      </w:pPr>
      <w:r>
        <w:rPr>
          <w:rFonts w:ascii="Arial" w:hAnsi="Arial" w:cs="Arial"/>
          <w:szCs w:val="20"/>
        </w:rPr>
        <w:br w:type="page"/>
      </w:r>
      <w:r>
        <w:rPr>
          <w:rFonts w:ascii="Arial" w:hAnsi="Arial" w:cs="Arial"/>
          <w:b/>
          <w:bCs/>
        </w:rPr>
        <w:lastRenderedPageBreak/>
        <w:t>GR</w:t>
      </w:r>
      <w:bookmarkStart w:id="33" w:name="a033_v1"/>
      <w:bookmarkEnd w:id="33"/>
      <w:r>
        <w:rPr>
          <w:rFonts w:ascii="Arial" w:hAnsi="Arial" w:cs="Arial"/>
          <w:b/>
          <w:bCs/>
        </w:rPr>
        <w:t>ANTS OF PLAN-BASED AWARDS IN 2017</w:t>
      </w:r>
    </w:p>
    <w:p w:rsidR="00376768" w:rsidRDefault="00EC2B72">
      <w:pPr>
        <w:spacing w:before="160"/>
        <w:ind w:firstLine="360"/>
        <w:rPr>
          <w:rFonts w:ascii="Arial" w:hAnsi="Arial" w:cs="Arial"/>
        </w:rPr>
      </w:pPr>
      <w:r>
        <w:rPr>
          <w:rFonts w:ascii="Arial" w:hAnsi="Arial" w:cs="Arial"/>
        </w:rPr>
        <w:t>The following table provides information on 2017 Non-Equity and Equity Incentive Plan Awards:</w:t>
      </w:r>
    </w:p>
    <w:tbl>
      <w:tblPr>
        <w:tblW w:w="5000" w:type="pct"/>
        <w:tblInd w:w="39" w:type="dxa"/>
        <w:tblLayout w:type="fixed"/>
        <w:tblCellMar>
          <w:left w:w="0" w:type="dxa"/>
          <w:right w:w="0" w:type="dxa"/>
        </w:tblCellMar>
        <w:tblLook w:val="0000" w:firstRow="0" w:lastRow="0" w:firstColumn="0" w:lastColumn="0" w:noHBand="0" w:noVBand="0"/>
      </w:tblPr>
      <w:tblGrid>
        <w:gridCol w:w="1298"/>
        <w:gridCol w:w="79"/>
        <w:gridCol w:w="86"/>
        <w:gridCol w:w="865"/>
        <w:gridCol w:w="100"/>
        <w:gridCol w:w="88"/>
        <w:gridCol w:w="839"/>
        <w:gridCol w:w="86"/>
        <w:gridCol w:w="90"/>
        <w:gridCol w:w="842"/>
        <w:gridCol w:w="89"/>
        <w:gridCol w:w="87"/>
        <w:gridCol w:w="917"/>
        <w:gridCol w:w="86"/>
        <w:gridCol w:w="89"/>
        <w:gridCol w:w="925"/>
        <w:gridCol w:w="73"/>
        <w:gridCol w:w="69"/>
        <w:gridCol w:w="751"/>
        <w:gridCol w:w="114"/>
        <w:gridCol w:w="79"/>
        <w:gridCol w:w="867"/>
        <w:gridCol w:w="83"/>
        <w:gridCol w:w="73"/>
        <w:gridCol w:w="1112"/>
        <w:gridCol w:w="73"/>
        <w:gridCol w:w="103"/>
        <w:gridCol w:w="902"/>
      </w:tblGrid>
      <w:tr w:rsidR="00376768">
        <w:trPr>
          <w:cantSplit/>
        </w:trPr>
        <w:tc>
          <w:tcPr>
            <w:tcW w:w="1301" w:type="dxa"/>
            <w:tcBorders>
              <w:top w:val="single" w:sz="4" w:space="0" w:color="auto"/>
              <w:left w:val="single" w:sz="4" w:space="0" w:color="auto"/>
            </w:tcBorders>
            <w:vAlign w:val="bottom"/>
          </w:tcPr>
          <w:p w:rsidR="00376768" w:rsidRDefault="00376768">
            <w:pPr>
              <w:jc w:val="center"/>
              <w:rPr>
                <w:rFonts w:ascii="Arial" w:hAnsi="Arial" w:cs="Arial"/>
                <w:sz w:val="2"/>
                <w:szCs w:val="18"/>
              </w:rPr>
            </w:pPr>
          </w:p>
        </w:tc>
        <w:tc>
          <w:tcPr>
            <w:tcW w:w="80" w:type="dxa"/>
            <w:tcBorders>
              <w:top w:val="single" w:sz="4" w:space="0" w:color="auto"/>
              <w:right w:val="single" w:sz="4" w:space="0" w:color="auto"/>
            </w:tcBorders>
            <w:vAlign w:val="bottom"/>
          </w:tcPr>
          <w:p w:rsidR="00376768" w:rsidRDefault="00376768">
            <w:pPr>
              <w:jc w:val="center"/>
              <w:rPr>
                <w:rFonts w:ascii="Arial" w:hAnsi="Arial" w:cs="Arial"/>
                <w:sz w:val="2"/>
                <w:szCs w:val="18"/>
              </w:rPr>
            </w:pPr>
          </w:p>
        </w:tc>
        <w:tc>
          <w:tcPr>
            <w:tcW w:w="87" w:type="dxa"/>
            <w:tcBorders>
              <w:top w:val="single" w:sz="4" w:space="0" w:color="auto"/>
              <w:left w:val="single" w:sz="4" w:space="0" w:color="auto"/>
            </w:tcBorders>
            <w:vAlign w:val="bottom"/>
          </w:tcPr>
          <w:p w:rsidR="00376768" w:rsidRDefault="00376768">
            <w:pPr>
              <w:jc w:val="center"/>
              <w:rPr>
                <w:rFonts w:ascii="Arial" w:hAnsi="Arial" w:cs="Arial"/>
                <w:sz w:val="2"/>
                <w:szCs w:val="18"/>
              </w:rPr>
            </w:pPr>
          </w:p>
        </w:tc>
        <w:tc>
          <w:tcPr>
            <w:tcW w:w="866" w:type="dxa"/>
            <w:tcBorders>
              <w:top w:val="single" w:sz="4" w:space="0" w:color="auto"/>
            </w:tcBorders>
            <w:tcMar>
              <w:top w:w="30" w:type="dxa"/>
              <w:left w:w="60" w:type="dxa"/>
              <w:bottom w:w="30" w:type="dxa"/>
              <w:right w:w="60" w:type="dxa"/>
            </w:tcMar>
            <w:vAlign w:val="bottom"/>
          </w:tcPr>
          <w:p w:rsidR="00376768" w:rsidRDefault="00376768">
            <w:pPr>
              <w:jc w:val="center"/>
              <w:rPr>
                <w:rFonts w:ascii="Arial" w:hAnsi="Arial" w:cs="Arial"/>
                <w:sz w:val="2"/>
                <w:szCs w:val="18"/>
              </w:rPr>
            </w:pPr>
          </w:p>
        </w:tc>
        <w:tc>
          <w:tcPr>
            <w:tcW w:w="100" w:type="dxa"/>
            <w:tcBorders>
              <w:top w:val="single" w:sz="4" w:space="0" w:color="auto"/>
              <w:right w:val="single" w:sz="4" w:space="0" w:color="auto"/>
            </w:tcBorders>
            <w:vAlign w:val="bottom"/>
          </w:tcPr>
          <w:p w:rsidR="00376768" w:rsidRDefault="00376768">
            <w:pPr>
              <w:jc w:val="center"/>
              <w:rPr>
                <w:rFonts w:ascii="Arial" w:hAnsi="Arial" w:cs="Arial"/>
                <w:sz w:val="2"/>
                <w:szCs w:val="18"/>
              </w:rPr>
            </w:pPr>
          </w:p>
        </w:tc>
        <w:tc>
          <w:tcPr>
            <w:tcW w:w="88" w:type="dxa"/>
            <w:tcBorders>
              <w:top w:val="single" w:sz="4" w:space="0" w:color="auto"/>
              <w:left w:val="single" w:sz="4" w:space="0" w:color="auto"/>
            </w:tcBorders>
            <w:vAlign w:val="bottom"/>
          </w:tcPr>
          <w:p w:rsidR="00376768" w:rsidRDefault="00376768">
            <w:pPr>
              <w:jc w:val="center"/>
              <w:rPr>
                <w:rFonts w:ascii="Arial" w:hAnsi="Arial" w:cs="Arial"/>
                <w:sz w:val="2"/>
                <w:szCs w:val="18"/>
              </w:rPr>
            </w:pPr>
          </w:p>
        </w:tc>
        <w:tc>
          <w:tcPr>
            <w:tcW w:w="2953" w:type="dxa"/>
            <w:gridSpan w:val="7"/>
            <w:vMerge w:val="restart"/>
            <w:tcBorders>
              <w:top w:val="single" w:sz="4" w:space="0" w:color="auto"/>
              <w:bottom w:val="single" w:sz="4" w:space="0" w:color="auto"/>
              <w:right w:val="single" w:sz="4" w:space="0" w:color="auto"/>
            </w:tcBorders>
            <w:tcMar>
              <w:top w:w="30" w:type="dxa"/>
              <w:left w:w="60" w:type="dxa"/>
              <w:bottom w:w="30" w:type="dxa"/>
              <w:right w:w="60" w:type="dxa"/>
            </w:tcMar>
            <w:vAlign w:val="bottom"/>
          </w:tcPr>
          <w:p w:rsidR="00376768" w:rsidRDefault="00EC2B72">
            <w:pPr>
              <w:jc w:val="center"/>
              <w:rPr>
                <w:rFonts w:ascii="Arial" w:hAnsi="Arial" w:cs="Arial"/>
                <w:sz w:val="16"/>
                <w:szCs w:val="18"/>
              </w:rPr>
            </w:pPr>
            <w:r>
              <w:rPr>
                <w:rFonts w:ascii="Arial" w:hAnsi="Arial" w:cs="Arial"/>
                <w:b/>
                <w:bCs/>
                <w:sz w:val="16"/>
                <w:szCs w:val="18"/>
              </w:rPr>
              <w:t>Estimated Future Payouts</w:t>
            </w:r>
            <w:r>
              <w:rPr>
                <w:rFonts w:ascii="Arial" w:hAnsi="Arial" w:cs="Arial"/>
                <w:sz w:val="16"/>
                <w:szCs w:val="18"/>
              </w:rPr>
              <w:br/>
            </w:r>
            <w:r>
              <w:rPr>
                <w:rFonts w:ascii="Arial" w:hAnsi="Arial" w:cs="Arial"/>
                <w:b/>
                <w:bCs/>
                <w:sz w:val="16"/>
                <w:szCs w:val="18"/>
              </w:rPr>
              <w:t>Under Non-Equity Incentive</w:t>
            </w:r>
            <w:r>
              <w:rPr>
                <w:rFonts w:ascii="Arial" w:hAnsi="Arial" w:cs="Arial"/>
                <w:sz w:val="16"/>
                <w:szCs w:val="18"/>
              </w:rPr>
              <w:br/>
            </w:r>
            <w:r>
              <w:rPr>
                <w:rFonts w:ascii="Arial" w:hAnsi="Arial" w:cs="Arial"/>
                <w:b/>
                <w:bCs/>
                <w:sz w:val="16"/>
                <w:szCs w:val="18"/>
              </w:rPr>
              <w:t>Plan Awards</w:t>
            </w:r>
            <w:r>
              <w:rPr>
                <w:rFonts w:ascii="Arial" w:hAnsi="Arial" w:cs="Arial"/>
                <w:b/>
                <w:bCs/>
                <w:sz w:val="16"/>
                <w:szCs w:val="14"/>
                <w:vertAlign w:val="superscript"/>
              </w:rPr>
              <w:t>(1)</w:t>
            </w:r>
          </w:p>
        </w:tc>
        <w:tc>
          <w:tcPr>
            <w:tcW w:w="86" w:type="dxa"/>
            <w:tcBorders>
              <w:top w:val="single" w:sz="4" w:space="0" w:color="auto"/>
              <w:left w:val="single" w:sz="4" w:space="0" w:color="auto"/>
            </w:tcBorders>
            <w:vAlign w:val="bottom"/>
          </w:tcPr>
          <w:p w:rsidR="00376768" w:rsidRDefault="00376768">
            <w:pPr>
              <w:jc w:val="center"/>
              <w:rPr>
                <w:rFonts w:ascii="Arial" w:hAnsi="Arial" w:cs="Arial"/>
                <w:sz w:val="2"/>
                <w:szCs w:val="18"/>
              </w:rPr>
            </w:pPr>
          </w:p>
        </w:tc>
        <w:tc>
          <w:tcPr>
            <w:tcW w:w="89" w:type="dxa"/>
            <w:tcBorders>
              <w:top w:val="single" w:sz="4" w:space="0" w:color="auto"/>
            </w:tcBorders>
            <w:vAlign w:val="bottom"/>
          </w:tcPr>
          <w:p w:rsidR="00376768" w:rsidRDefault="00376768">
            <w:pPr>
              <w:jc w:val="center"/>
              <w:rPr>
                <w:rFonts w:ascii="Arial" w:hAnsi="Arial" w:cs="Arial"/>
                <w:sz w:val="2"/>
                <w:szCs w:val="18"/>
              </w:rPr>
            </w:pPr>
          </w:p>
        </w:tc>
        <w:tc>
          <w:tcPr>
            <w:tcW w:w="926" w:type="dxa"/>
            <w:tcBorders>
              <w:top w:val="single" w:sz="4" w:space="0" w:color="auto"/>
            </w:tcBorders>
            <w:tcMar>
              <w:top w:w="30" w:type="dxa"/>
              <w:left w:w="60" w:type="dxa"/>
              <w:bottom w:w="30" w:type="dxa"/>
              <w:right w:w="60" w:type="dxa"/>
            </w:tcMar>
            <w:vAlign w:val="bottom"/>
          </w:tcPr>
          <w:p w:rsidR="00376768" w:rsidRDefault="00376768">
            <w:pPr>
              <w:jc w:val="center"/>
              <w:rPr>
                <w:rFonts w:ascii="Arial" w:hAnsi="Arial" w:cs="Arial"/>
                <w:sz w:val="2"/>
                <w:szCs w:val="18"/>
              </w:rPr>
            </w:pPr>
          </w:p>
        </w:tc>
        <w:tc>
          <w:tcPr>
            <w:tcW w:w="73" w:type="dxa"/>
            <w:tcBorders>
              <w:top w:val="single" w:sz="4" w:space="0" w:color="auto"/>
            </w:tcBorders>
            <w:vAlign w:val="bottom"/>
          </w:tcPr>
          <w:p w:rsidR="00376768" w:rsidRDefault="00376768">
            <w:pPr>
              <w:jc w:val="center"/>
              <w:rPr>
                <w:rFonts w:ascii="Arial" w:hAnsi="Arial" w:cs="Arial"/>
                <w:sz w:val="2"/>
                <w:szCs w:val="18"/>
              </w:rPr>
            </w:pPr>
          </w:p>
        </w:tc>
        <w:tc>
          <w:tcPr>
            <w:tcW w:w="69" w:type="dxa"/>
            <w:tcBorders>
              <w:top w:val="single" w:sz="4" w:space="0" w:color="auto"/>
            </w:tcBorders>
            <w:vAlign w:val="bottom"/>
          </w:tcPr>
          <w:p w:rsidR="00376768" w:rsidRDefault="00376768">
            <w:pPr>
              <w:jc w:val="center"/>
              <w:rPr>
                <w:rFonts w:ascii="Arial" w:hAnsi="Arial" w:cs="Arial"/>
                <w:sz w:val="2"/>
                <w:szCs w:val="18"/>
              </w:rPr>
            </w:pPr>
          </w:p>
        </w:tc>
        <w:tc>
          <w:tcPr>
            <w:tcW w:w="752" w:type="dxa"/>
            <w:tcBorders>
              <w:top w:val="single" w:sz="4" w:space="0" w:color="auto"/>
            </w:tcBorders>
            <w:tcMar>
              <w:top w:w="30" w:type="dxa"/>
              <w:left w:w="60" w:type="dxa"/>
              <w:bottom w:w="30" w:type="dxa"/>
              <w:right w:w="60" w:type="dxa"/>
            </w:tcMar>
            <w:vAlign w:val="bottom"/>
          </w:tcPr>
          <w:p w:rsidR="00376768" w:rsidRDefault="00376768">
            <w:pPr>
              <w:jc w:val="center"/>
              <w:rPr>
                <w:rFonts w:ascii="Arial" w:hAnsi="Arial" w:cs="Arial"/>
                <w:sz w:val="2"/>
                <w:szCs w:val="18"/>
              </w:rPr>
            </w:pPr>
          </w:p>
        </w:tc>
        <w:tc>
          <w:tcPr>
            <w:tcW w:w="114" w:type="dxa"/>
            <w:tcBorders>
              <w:top w:val="single" w:sz="4" w:space="0" w:color="auto"/>
            </w:tcBorders>
            <w:vAlign w:val="bottom"/>
          </w:tcPr>
          <w:p w:rsidR="00376768" w:rsidRDefault="00376768">
            <w:pPr>
              <w:jc w:val="center"/>
              <w:rPr>
                <w:rFonts w:ascii="Arial" w:hAnsi="Arial" w:cs="Arial"/>
                <w:sz w:val="2"/>
                <w:szCs w:val="18"/>
              </w:rPr>
            </w:pPr>
          </w:p>
        </w:tc>
        <w:tc>
          <w:tcPr>
            <w:tcW w:w="79" w:type="dxa"/>
            <w:tcBorders>
              <w:top w:val="single" w:sz="4" w:space="0" w:color="auto"/>
            </w:tcBorders>
            <w:vAlign w:val="bottom"/>
          </w:tcPr>
          <w:p w:rsidR="00376768" w:rsidRDefault="00376768">
            <w:pPr>
              <w:jc w:val="center"/>
              <w:rPr>
                <w:rFonts w:ascii="Arial" w:hAnsi="Arial" w:cs="Arial"/>
                <w:sz w:val="2"/>
                <w:szCs w:val="18"/>
              </w:rPr>
            </w:pPr>
          </w:p>
        </w:tc>
        <w:tc>
          <w:tcPr>
            <w:tcW w:w="868" w:type="dxa"/>
            <w:tcBorders>
              <w:top w:val="single" w:sz="4" w:space="0" w:color="auto"/>
            </w:tcBorders>
            <w:tcMar>
              <w:top w:w="30" w:type="dxa"/>
              <w:left w:w="60" w:type="dxa"/>
              <w:bottom w:w="30" w:type="dxa"/>
              <w:right w:w="60" w:type="dxa"/>
            </w:tcMar>
            <w:vAlign w:val="bottom"/>
          </w:tcPr>
          <w:p w:rsidR="00376768" w:rsidRDefault="00376768">
            <w:pPr>
              <w:jc w:val="center"/>
              <w:rPr>
                <w:rFonts w:ascii="Arial" w:hAnsi="Arial" w:cs="Arial"/>
                <w:sz w:val="2"/>
                <w:szCs w:val="18"/>
              </w:rPr>
            </w:pPr>
          </w:p>
        </w:tc>
        <w:tc>
          <w:tcPr>
            <w:tcW w:w="83" w:type="dxa"/>
            <w:tcBorders>
              <w:top w:val="single" w:sz="4" w:space="0" w:color="auto"/>
              <w:right w:val="single" w:sz="4" w:space="0" w:color="auto"/>
            </w:tcBorders>
            <w:vAlign w:val="bottom"/>
          </w:tcPr>
          <w:p w:rsidR="00376768" w:rsidRDefault="00376768">
            <w:pPr>
              <w:jc w:val="center"/>
              <w:rPr>
                <w:rFonts w:ascii="Arial" w:hAnsi="Arial" w:cs="Arial"/>
                <w:sz w:val="2"/>
                <w:szCs w:val="18"/>
              </w:rPr>
            </w:pPr>
          </w:p>
        </w:tc>
        <w:tc>
          <w:tcPr>
            <w:tcW w:w="73" w:type="dxa"/>
            <w:tcBorders>
              <w:top w:val="single" w:sz="4" w:space="0" w:color="auto"/>
              <w:left w:val="single" w:sz="4" w:space="0" w:color="auto"/>
            </w:tcBorders>
            <w:vAlign w:val="bottom"/>
          </w:tcPr>
          <w:p w:rsidR="00376768" w:rsidRDefault="00376768">
            <w:pPr>
              <w:jc w:val="center"/>
              <w:rPr>
                <w:rFonts w:ascii="Arial" w:hAnsi="Arial" w:cs="Arial"/>
                <w:sz w:val="2"/>
                <w:szCs w:val="18"/>
              </w:rPr>
            </w:pPr>
          </w:p>
        </w:tc>
        <w:tc>
          <w:tcPr>
            <w:tcW w:w="1114" w:type="dxa"/>
            <w:vMerge w:val="restart"/>
            <w:tcBorders>
              <w:top w:val="single" w:sz="4" w:space="0" w:color="auto"/>
            </w:tcBorders>
            <w:tcMar>
              <w:top w:w="30" w:type="dxa"/>
              <w:left w:w="60" w:type="dxa"/>
              <w:bottom w:w="30" w:type="dxa"/>
              <w:right w:w="60" w:type="dxa"/>
            </w:tcMar>
            <w:vAlign w:val="bottom"/>
          </w:tcPr>
          <w:p w:rsidR="00376768" w:rsidRDefault="00EC2B72">
            <w:pPr>
              <w:jc w:val="center"/>
              <w:rPr>
                <w:rFonts w:ascii="Arial" w:hAnsi="Arial" w:cs="Arial"/>
                <w:sz w:val="16"/>
                <w:szCs w:val="18"/>
              </w:rPr>
            </w:pPr>
            <w:r>
              <w:rPr>
                <w:rFonts w:ascii="Arial" w:hAnsi="Arial" w:cs="Arial"/>
                <w:b/>
                <w:bCs/>
                <w:sz w:val="16"/>
                <w:szCs w:val="18"/>
              </w:rPr>
              <w:t>All Other</w:t>
            </w:r>
            <w:r>
              <w:rPr>
                <w:rFonts w:ascii="Arial" w:hAnsi="Arial" w:cs="Arial"/>
                <w:b/>
                <w:bCs/>
                <w:sz w:val="16"/>
                <w:szCs w:val="18"/>
              </w:rPr>
              <w:br/>
              <w:t>Stock</w:t>
            </w:r>
            <w:r>
              <w:rPr>
                <w:rFonts w:ascii="Arial" w:hAnsi="Arial" w:cs="Arial"/>
                <w:sz w:val="16"/>
                <w:szCs w:val="18"/>
              </w:rPr>
              <w:br/>
            </w:r>
            <w:r>
              <w:rPr>
                <w:rFonts w:ascii="Arial" w:hAnsi="Arial" w:cs="Arial"/>
                <w:b/>
                <w:bCs/>
                <w:sz w:val="16"/>
                <w:szCs w:val="18"/>
              </w:rPr>
              <w:t>Awards:</w:t>
            </w:r>
            <w:r>
              <w:rPr>
                <w:rFonts w:ascii="Arial" w:hAnsi="Arial" w:cs="Arial"/>
                <w:sz w:val="16"/>
                <w:szCs w:val="18"/>
              </w:rPr>
              <w:br/>
            </w:r>
            <w:r>
              <w:rPr>
                <w:rFonts w:ascii="Arial" w:hAnsi="Arial" w:cs="Arial"/>
                <w:b/>
                <w:bCs/>
                <w:sz w:val="16"/>
                <w:szCs w:val="18"/>
              </w:rPr>
              <w:t>Number</w:t>
            </w:r>
            <w:r>
              <w:rPr>
                <w:rFonts w:ascii="Arial" w:hAnsi="Arial" w:cs="Arial"/>
                <w:sz w:val="16"/>
                <w:szCs w:val="18"/>
              </w:rPr>
              <w:br/>
            </w:r>
            <w:r>
              <w:rPr>
                <w:rFonts w:ascii="Arial" w:hAnsi="Arial" w:cs="Arial"/>
                <w:b/>
                <w:bCs/>
                <w:sz w:val="16"/>
                <w:szCs w:val="18"/>
              </w:rPr>
              <w:t>of Shares</w:t>
            </w:r>
            <w:r>
              <w:rPr>
                <w:rFonts w:ascii="Arial" w:hAnsi="Arial" w:cs="Arial"/>
                <w:sz w:val="16"/>
                <w:szCs w:val="18"/>
              </w:rPr>
              <w:br/>
            </w:r>
            <w:r>
              <w:rPr>
                <w:rFonts w:ascii="Arial" w:hAnsi="Arial" w:cs="Arial"/>
                <w:b/>
                <w:bCs/>
                <w:sz w:val="16"/>
                <w:szCs w:val="18"/>
              </w:rPr>
              <w:t>of Stock or</w:t>
            </w:r>
            <w:r>
              <w:rPr>
                <w:rFonts w:ascii="Arial" w:hAnsi="Arial" w:cs="Arial"/>
                <w:sz w:val="16"/>
                <w:szCs w:val="18"/>
              </w:rPr>
              <w:br/>
            </w:r>
            <w:r>
              <w:rPr>
                <w:rFonts w:ascii="Arial" w:hAnsi="Arial" w:cs="Arial"/>
                <w:b/>
                <w:bCs/>
                <w:sz w:val="16"/>
                <w:szCs w:val="18"/>
              </w:rPr>
              <w:t>Units (#)</w:t>
            </w:r>
            <w:r>
              <w:rPr>
                <w:rFonts w:ascii="Arial" w:hAnsi="Arial" w:cs="Arial"/>
                <w:b/>
                <w:bCs/>
                <w:sz w:val="16"/>
                <w:szCs w:val="14"/>
                <w:vertAlign w:val="superscript"/>
              </w:rPr>
              <w:t>(3)(4)</w:t>
            </w:r>
          </w:p>
        </w:tc>
        <w:tc>
          <w:tcPr>
            <w:tcW w:w="73" w:type="dxa"/>
            <w:tcBorders>
              <w:top w:val="single" w:sz="4" w:space="0" w:color="auto"/>
              <w:right w:val="single" w:sz="4" w:space="0" w:color="auto"/>
            </w:tcBorders>
            <w:vAlign w:val="bottom"/>
          </w:tcPr>
          <w:p w:rsidR="00376768" w:rsidRDefault="00376768">
            <w:pPr>
              <w:jc w:val="center"/>
              <w:rPr>
                <w:rFonts w:ascii="Arial" w:hAnsi="Arial" w:cs="Arial"/>
                <w:sz w:val="2"/>
                <w:szCs w:val="18"/>
              </w:rPr>
            </w:pPr>
          </w:p>
        </w:tc>
        <w:tc>
          <w:tcPr>
            <w:tcW w:w="103" w:type="dxa"/>
            <w:tcBorders>
              <w:top w:val="single" w:sz="4" w:space="0" w:color="auto"/>
              <w:left w:val="single" w:sz="4" w:space="0" w:color="auto"/>
            </w:tcBorders>
            <w:vAlign w:val="bottom"/>
          </w:tcPr>
          <w:p w:rsidR="00376768" w:rsidRDefault="00376768">
            <w:pPr>
              <w:jc w:val="center"/>
              <w:rPr>
                <w:rFonts w:ascii="Arial" w:hAnsi="Arial" w:cs="Arial"/>
                <w:sz w:val="2"/>
                <w:szCs w:val="18"/>
              </w:rPr>
            </w:pPr>
          </w:p>
        </w:tc>
        <w:tc>
          <w:tcPr>
            <w:tcW w:w="903" w:type="dxa"/>
            <w:vMerge w:val="restart"/>
            <w:tcBorders>
              <w:top w:val="single" w:sz="4" w:space="0" w:color="auto"/>
              <w:right w:val="single" w:sz="4" w:space="0" w:color="auto"/>
            </w:tcBorders>
            <w:tcMar>
              <w:top w:w="30" w:type="dxa"/>
              <w:left w:w="60" w:type="dxa"/>
              <w:bottom w:w="30" w:type="dxa"/>
              <w:right w:w="60" w:type="dxa"/>
            </w:tcMar>
            <w:vAlign w:val="bottom"/>
          </w:tcPr>
          <w:p w:rsidR="00376768" w:rsidRDefault="00EC2B72">
            <w:pPr>
              <w:jc w:val="center"/>
              <w:rPr>
                <w:rFonts w:ascii="Arial" w:hAnsi="Arial" w:cs="Arial"/>
                <w:sz w:val="16"/>
                <w:szCs w:val="18"/>
              </w:rPr>
            </w:pPr>
            <w:r>
              <w:rPr>
                <w:rFonts w:ascii="Arial" w:hAnsi="Arial" w:cs="Arial"/>
                <w:b/>
                <w:bCs/>
                <w:sz w:val="16"/>
                <w:szCs w:val="18"/>
              </w:rPr>
              <w:t>Grant</w:t>
            </w:r>
            <w:r>
              <w:rPr>
                <w:rFonts w:ascii="Arial" w:hAnsi="Arial" w:cs="Arial"/>
                <w:sz w:val="16"/>
                <w:szCs w:val="18"/>
              </w:rPr>
              <w:br/>
            </w:r>
            <w:r>
              <w:rPr>
                <w:rFonts w:ascii="Arial" w:hAnsi="Arial" w:cs="Arial"/>
                <w:b/>
                <w:bCs/>
                <w:sz w:val="16"/>
                <w:szCs w:val="18"/>
              </w:rPr>
              <w:t>Date Fair</w:t>
            </w:r>
            <w:r>
              <w:rPr>
                <w:rFonts w:ascii="Arial" w:hAnsi="Arial" w:cs="Arial"/>
                <w:sz w:val="16"/>
                <w:szCs w:val="18"/>
              </w:rPr>
              <w:br/>
            </w:r>
            <w:r>
              <w:rPr>
                <w:rFonts w:ascii="Arial" w:hAnsi="Arial" w:cs="Arial"/>
                <w:b/>
                <w:bCs/>
                <w:sz w:val="16"/>
                <w:szCs w:val="18"/>
              </w:rPr>
              <w:t>Value of</w:t>
            </w:r>
            <w:r>
              <w:rPr>
                <w:rFonts w:ascii="Arial" w:hAnsi="Arial" w:cs="Arial"/>
                <w:sz w:val="16"/>
                <w:szCs w:val="18"/>
              </w:rPr>
              <w:br/>
            </w:r>
            <w:r>
              <w:rPr>
                <w:rFonts w:ascii="Arial" w:hAnsi="Arial" w:cs="Arial"/>
                <w:b/>
                <w:bCs/>
                <w:sz w:val="16"/>
                <w:szCs w:val="18"/>
              </w:rPr>
              <w:t>Stock</w:t>
            </w:r>
            <w:r>
              <w:rPr>
                <w:rFonts w:ascii="Arial" w:hAnsi="Arial" w:cs="Arial"/>
                <w:sz w:val="16"/>
                <w:szCs w:val="18"/>
              </w:rPr>
              <w:br/>
            </w:r>
            <w:r>
              <w:rPr>
                <w:rFonts w:ascii="Arial" w:hAnsi="Arial" w:cs="Arial"/>
                <w:b/>
                <w:bCs/>
                <w:sz w:val="16"/>
                <w:szCs w:val="18"/>
              </w:rPr>
              <w:t>Awards</w:t>
            </w:r>
            <w:r>
              <w:rPr>
                <w:rFonts w:ascii="Arial" w:hAnsi="Arial" w:cs="Arial"/>
                <w:b/>
                <w:bCs/>
                <w:sz w:val="16"/>
                <w:szCs w:val="18"/>
              </w:rPr>
              <w:br/>
              <w:t>($)</w:t>
            </w:r>
            <w:r>
              <w:rPr>
                <w:rFonts w:ascii="Arial" w:hAnsi="Arial" w:cs="Arial"/>
                <w:b/>
                <w:bCs/>
                <w:sz w:val="16"/>
                <w:szCs w:val="14"/>
                <w:vertAlign w:val="superscript"/>
              </w:rPr>
              <w:t>(5)</w:t>
            </w:r>
          </w:p>
        </w:tc>
      </w:tr>
      <w:tr w:rsidR="00376768">
        <w:trPr>
          <w:cantSplit/>
        </w:trPr>
        <w:tc>
          <w:tcPr>
            <w:tcW w:w="1301" w:type="dxa"/>
            <w:tcBorders>
              <w:left w:val="single" w:sz="4" w:space="0" w:color="auto"/>
            </w:tcBorders>
            <w:vAlign w:val="bottom"/>
          </w:tcPr>
          <w:p w:rsidR="00376768" w:rsidRDefault="00376768">
            <w:pPr>
              <w:jc w:val="center"/>
              <w:rPr>
                <w:rFonts w:ascii="Arial" w:hAnsi="Arial" w:cs="Arial"/>
                <w:sz w:val="16"/>
                <w:szCs w:val="18"/>
              </w:rPr>
            </w:pPr>
          </w:p>
        </w:tc>
        <w:tc>
          <w:tcPr>
            <w:tcW w:w="80" w:type="dxa"/>
            <w:tcBorders>
              <w:right w:val="single" w:sz="4" w:space="0" w:color="auto"/>
            </w:tcBorders>
            <w:vAlign w:val="bottom"/>
          </w:tcPr>
          <w:p w:rsidR="00376768" w:rsidRDefault="00376768">
            <w:pPr>
              <w:jc w:val="center"/>
              <w:rPr>
                <w:rFonts w:ascii="Arial" w:hAnsi="Arial" w:cs="Arial"/>
                <w:sz w:val="16"/>
                <w:szCs w:val="18"/>
              </w:rPr>
            </w:pPr>
          </w:p>
        </w:tc>
        <w:tc>
          <w:tcPr>
            <w:tcW w:w="87" w:type="dxa"/>
            <w:tcBorders>
              <w:left w:val="single" w:sz="4" w:space="0" w:color="auto"/>
            </w:tcBorders>
            <w:vAlign w:val="bottom"/>
          </w:tcPr>
          <w:p w:rsidR="00376768" w:rsidRDefault="00376768">
            <w:pPr>
              <w:jc w:val="center"/>
              <w:rPr>
                <w:rFonts w:ascii="Arial" w:hAnsi="Arial" w:cs="Arial"/>
                <w:sz w:val="16"/>
                <w:szCs w:val="18"/>
              </w:rPr>
            </w:pPr>
          </w:p>
        </w:tc>
        <w:tc>
          <w:tcPr>
            <w:tcW w:w="866" w:type="dxa"/>
            <w:tcMar>
              <w:top w:w="30" w:type="dxa"/>
              <w:left w:w="60" w:type="dxa"/>
              <w:bottom w:w="30" w:type="dxa"/>
              <w:right w:w="60" w:type="dxa"/>
            </w:tcMar>
            <w:vAlign w:val="bottom"/>
          </w:tcPr>
          <w:p w:rsidR="00376768" w:rsidRDefault="00376768">
            <w:pPr>
              <w:jc w:val="center"/>
              <w:rPr>
                <w:rFonts w:ascii="Arial" w:hAnsi="Arial" w:cs="Arial"/>
                <w:sz w:val="16"/>
                <w:szCs w:val="18"/>
              </w:rPr>
            </w:pPr>
          </w:p>
        </w:tc>
        <w:tc>
          <w:tcPr>
            <w:tcW w:w="100" w:type="dxa"/>
            <w:tcBorders>
              <w:right w:val="single" w:sz="4" w:space="0" w:color="auto"/>
            </w:tcBorders>
            <w:vAlign w:val="bottom"/>
          </w:tcPr>
          <w:p w:rsidR="00376768" w:rsidRDefault="00376768">
            <w:pPr>
              <w:jc w:val="center"/>
              <w:rPr>
                <w:rFonts w:ascii="Arial" w:hAnsi="Arial" w:cs="Arial"/>
                <w:sz w:val="16"/>
                <w:szCs w:val="18"/>
              </w:rPr>
            </w:pPr>
          </w:p>
        </w:tc>
        <w:tc>
          <w:tcPr>
            <w:tcW w:w="88" w:type="dxa"/>
            <w:tcBorders>
              <w:left w:val="single" w:sz="4" w:space="0" w:color="auto"/>
            </w:tcBorders>
            <w:vAlign w:val="bottom"/>
          </w:tcPr>
          <w:p w:rsidR="00376768" w:rsidRDefault="00376768">
            <w:pPr>
              <w:jc w:val="center"/>
              <w:rPr>
                <w:rFonts w:ascii="Arial" w:hAnsi="Arial" w:cs="Arial"/>
                <w:sz w:val="16"/>
                <w:szCs w:val="18"/>
              </w:rPr>
            </w:pPr>
          </w:p>
        </w:tc>
        <w:tc>
          <w:tcPr>
            <w:tcW w:w="2953" w:type="dxa"/>
            <w:gridSpan w:val="7"/>
            <w:vMerge/>
            <w:tcBorders>
              <w:bottom w:val="single" w:sz="4" w:space="0" w:color="auto"/>
              <w:right w:val="single" w:sz="4" w:space="0" w:color="auto"/>
            </w:tcBorders>
            <w:tcMar>
              <w:top w:w="30" w:type="dxa"/>
              <w:left w:w="60" w:type="dxa"/>
              <w:bottom w:w="30" w:type="dxa"/>
              <w:right w:w="60" w:type="dxa"/>
            </w:tcMar>
            <w:vAlign w:val="bottom"/>
          </w:tcPr>
          <w:p w:rsidR="00376768" w:rsidRDefault="00376768">
            <w:pPr>
              <w:jc w:val="center"/>
              <w:rPr>
                <w:rFonts w:ascii="Arial" w:hAnsi="Arial" w:cs="Arial"/>
                <w:sz w:val="16"/>
                <w:szCs w:val="18"/>
              </w:rPr>
            </w:pPr>
          </w:p>
        </w:tc>
        <w:tc>
          <w:tcPr>
            <w:tcW w:w="86" w:type="dxa"/>
            <w:tcBorders>
              <w:left w:val="single" w:sz="4" w:space="0" w:color="auto"/>
            </w:tcBorders>
            <w:vAlign w:val="bottom"/>
          </w:tcPr>
          <w:p w:rsidR="00376768" w:rsidRDefault="00376768">
            <w:pPr>
              <w:jc w:val="center"/>
              <w:rPr>
                <w:rFonts w:ascii="Arial" w:hAnsi="Arial" w:cs="Arial"/>
                <w:sz w:val="16"/>
                <w:szCs w:val="18"/>
              </w:rPr>
            </w:pPr>
          </w:p>
        </w:tc>
        <w:tc>
          <w:tcPr>
            <w:tcW w:w="89" w:type="dxa"/>
            <w:vAlign w:val="bottom"/>
          </w:tcPr>
          <w:p w:rsidR="00376768" w:rsidRDefault="00376768">
            <w:pPr>
              <w:jc w:val="center"/>
              <w:rPr>
                <w:rFonts w:ascii="Arial" w:hAnsi="Arial" w:cs="Arial"/>
                <w:sz w:val="16"/>
                <w:szCs w:val="18"/>
              </w:rPr>
            </w:pPr>
          </w:p>
        </w:tc>
        <w:tc>
          <w:tcPr>
            <w:tcW w:w="2881" w:type="dxa"/>
            <w:gridSpan w:val="7"/>
            <w:vMerge w:val="restart"/>
            <w:tcBorders>
              <w:bottom w:val="single" w:sz="4" w:space="0" w:color="auto"/>
            </w:tcBorders>
            <w:tcMar>
              <w:top w:w="30" w:type="dxa"/>
              <w:left w:w="60" w:type="dxa"/>
              <w:bottom w:w="30" w:type="dxa"/>
              <w:right w:w="60" w:type="dxa"/>
            </w:tcMar>
            <w:vAlign w:val="bottom"/>
          </w:tcPr>
          <w:p w:rsidR="00376768" w:rsidRDefault="00EC2B72">
            <w:pPr>
              <w:jc w:val="center"/>
              <w:rPr>
                <w:rFonts w:ascii="Arial" w:hAnsi="Arial" w:cs="Arial"/>
                <w:sz w:val="16"/>
                <w:szCs w:val="18"/>
              </w:rPr>
            </w:pPr>
            <w:r>
              <w:rPr>
                <w:rFonts w:ascii="Arial" w:hAnsi="Arial" w:cs="Arial"/>
                <w:b/>
                <w:bCs/>
                <w:sz w:val="16"/>
                <w:szCs w:val="18"/>
              </w:rPr>
              <w:t>Estimated Future Payouts</w:t>
            </w:r>
            <w:r>
              <w:rPr>
                <w:rFonts w:ascii="Arial" w:hAnsi="Arial" w:cs="Arial"/>
                <w:sz w:val="16"/>
                <w:szCs w:val="18"/>
              </w:rPr>
              <w:br/>
            </w:r>
            <w:r>
              <w:rPr>
                <w:rFonts w:ascii="Arial" w:hAnsi="Arial" w:cs="Arial"/>
                <w:b/>
                <w:bCs/>
                <w:sz w:val="16"/>
                <w:szCs w:val="18"/>
              </w:rPr>
              <w:t>Under Equity Incentive</w:t>
            </w:r>
            <w:r>
              <w:rPr>
                <w:rFonts w:ascii="Arial" w:hAnsi="Arial" w:cs="Arial"/>
                <w:sz w:val="16"/>
                <w:szCs w:val="18"/>
              </w:rPr>
              <w:br/>
            </w:r>
            <w:r>
              <w:rPr>
                <w:rFonts w:ascii="Arial" w:hAnsi="Arial" w:cs="Arial"/>
                <w:b/>
                <w:bCs/>
                <w:sz w:val="16"/>
                <w:szCs w:val="18"/>
              </w:rPr>
              <w:t>Plan Awards</w:t>
            </w:r>
            <w:r>
              <w:rPr>
                <w:rFonts w:ascii="Arial" w:hAnsi="Arial" w:cs="Arial"/>
                <w:b/>
                <w:bCs/>
                <w:sz w:val="16"/>
                <w:szCs w:val="14"/>
                <w:vertAlign w:val="superscript"/>
              </w:rPr>
              <w:t>(2)</w:t>
            </w:r>
          </w:p>
        </w:tc>
        <w:tc>
          <w:tcPr>
            <w:tcW w:w="83" w:type="dxa"/>
            <w:tcBorders>
              <w:right w:val="single" w:sz="4" w:space="0" w:color="auto"/>
            </w:tcBorders>
            <w:vAlign w:val="bottom"/>
          </w:tcPr>
          <w:p w:rsidR="00376768" w:rsidRDefault="00376768">
            <w:pPr>
              <w:jc w:val="center"/>
              <w:rPr>
                <w:rFonts w:ascii="Arial" w:hAnsi="Arial" w:cs="Arial"/>
                <w:sz w:val="16"/>
                <w:szCs w:val="18"/>
              </w:rPr>
            </w:pPr>
          </w:p>
        </w:tc>
        <w:tc>
          <w:tcPr>
            <w:tcW w:w="73" w:type="dxa"/>
            <w:tcBorders>
              <w:left w:val="single" w:sz="4" w:space="0" w:color="auto"/>
            </w:tcBorders>
            <w:vAlign w:val="bottom"/>
          </w:tcPr>
          <w:p w:rsidR="00376768" w:rsidRDefault="00376768">
            <w:pPr>
              <w:jc w:val="center"/>
              <w:rPr>
                <w:rFonts w:ascii="Arial" w:hAnsi="Arial" w:cs="Arial"/>
                <w:sz w:val="16"/>
                <w:szCs w:val="18"/>
              </w:rPr>
            </w:pPr>
          </w:p>
        </w:tc>
        <w:tc>
          <w:tcPr>
            <w:tcW w:w="1114" w:type="dxa"/>
            <w:vMerge/>
            <w:tcMar>
              <w:top w:w="30" w:type="dxa"/>
              <w:left w:w="60" w:type="dxa"/>
              <w:bottom w:w="30" w:type="dxa"/>
              <w:right w:w="60" w:type="dxa"/>
            </w:tcMar>
            <w:vAlign w:val="bottom"/>
          </w:tcPr>
          <w:p w:rsidR="00376768" w:rsidRDefault="00376768">
            <w:pPr>
              <w:jc w:val="center"/>
              <w:rPr>
                <w:rFonts w:ascii="Arial" w:hAnsi="Arial" w:cs="Arial"/>
                <w:sz w:val="16"/>
                <w:szCs w:val="18"/>
              </w:rPr>
            </w:pPr>
          </w:p>
        </w:tc>
        <w:tc>
          <w:tcPr>
            <w:tcW w:w="73" w:type="dxa"/>
            <w:tcBorders>
              <w:right w:val="single" w:sz="4" w:space="0" w:color="auto"/>
            </w:tcBorders>
            <w:vAlign w:val="bottom"/>
          </w:tcPr>
          <w:p w:rsidR="00376768" w:rsidRDefault="00376768">
            <w:pPr>
              <w:jc w:val="center"/>
              <w:rPr>
                <w:rFonts w:ascii="Arial" w:hAnsi="Arial" w:cs="Arial"/>
                <w:sz w:val="16"/>
                <w:szCs w:val="18"/>
              </w:rPr>
            </w:pPr>
          </w:p>
        </w:tc>
        <w:tc>
          <w:tcPr>
            <w:tcW w:w="103" w:type="dxa"/>
            <w:tcBorders>
              <w:left w:val="single" w:sz="4" w:space="0" w:color="auto"/>
            </w:tcBorders>
            <w:vAlign w:val="bottom"/>
          </w:tcPr>
          <w:p w:rsidR="00376768" w:rsidRDefault="00376768">
            <w:pPr>
              <w:jc w:val="center"/>
              <w:rPr>
                <w:rFonts w:ascii="Arial" w:hAnsi="Arial" w:cs="Arial"/>
                <w:sz w:val="16"/>
                <w:szCs w:val="18"/>
              </w:rPr>
            </w:pPr>
          </w:p>
        </w:tc>
        <w:tc>
          <w:tcPr>
            <w:tcW w:w="903" w:type="dxa"/>
            <w:vMerge/>
            <w:tcBorders>
              <w:right w:val="single" w:sz="4" w:space="0" w:color="auto"/>
            </w:tcBorders>
            <w:tcMar>
              <w:top w:w="30" w:type="dxa"/>
              <w:left w:w="60" w:type="dxa"/>
              <w:bottom w:w="30" w:type="dxa"/>
              <w:right w:w="60" w:type="dxa"/>
            </w:tcMar>
            <w:vAlign w:val="bottom"/>
          </w:tcPr>
          <w:p w:rsidR="00376768" w:rsidRDefault="00376768">
            <w:pPr>
              <w:jc w:val="center"/>
              <w:rPr>
                <w:rFonts w:ascii="Arial" w:hAnsi="Arial" w:cs="Arial"/>
                <w:sz w:val="16"/>
                <w:szCs w:val="18"/>
              </w:rPr>
            </w:pPr>
          </w:p>
        </w:tc>
      </w:tr>
      <w:tr w:rsidR="00376768">
        <w:trPr>
          <w:cantSplit/>
        </w:trPr>
        <w:tc>
          <w:tcPr>
            <w:tcW w:w="1301" w:type="dxa"/>
            <w:tcBorders>
              <w:left w:val="single" w:sz="4" w:space="0" w:color="auto"/>
            </w:tcBorders>
            <w:vAlign w:val="bottom"/>
          </w:tcPr>
          <w:p w:rsidR="00376768" w:rsidRDefault="00376768">
            <w:pPr>
              <w:jc w:val="center"/>
              <w:rPr>
                <w:rFonts w:ascii="Arial" w:hAnsi="Arial" w:cs="Arial"/>
                <w:sz w:val="16"/>
                <w:szCs w:val="18"/>
              </w:rPr>
            </w:pPr>
          </w:p>
        </w:tc>
        <w:tc>
          <w:tcPr>
            <w:tcW w:w="80" w:type="dxa"/>
            <w:tcBorders>
              <w:right w:val="single" w:sz="4" w:space="0" w:color="auto"/>
            </w:tcBorders>
            <w:vAlign w:val="bottom"/>
          </w:tcPr>
          <w:p w:rsidR="00376768" w:rsidRDefault="00376768">
            <w:pPr>
              <w:jc w:val="center"/>
              <w:rPr>
                <w:rFonts w:ascii="Arial" w:hAnsi="Arial" w:cs="Arial"/>
                <w:sz w:val="16"/>
                <w:szCs w:val="18"/>
              </w:rPr>
            </w:pPr>
          </w:p>
        </w:tc>
        <w:tc>
          <w:tcPr>
            <w:tcW w:w="87" w:type="dxa"/>
            <w:tcBorders>
              <w:left w:val="single" w:sz="4" w:space="0" w:color="auto"/>
            </w:tcBorders>
            <w:vAlign w:val="bottom"/>
          </w:tcPr>
          <w:p w:rsidR="00376768" w:rsidRDefault="00376768">
            <w:pPr>
              <w:jc w:val="center"/>
              <w:rPr>
                <w:rFonts w:ascii="Arial" w:hAnsi="Arial" w:cs="Arial"/>
                <w:sz w:val="16"/>
                <w:szCs w:val="18"/>
              </w:rPr>
            </w:pPr>
          </w:p>
        </w:tc>
        <w:tc>
          <w:tcPr>
            <w:tcW w:w="866" w:type="dxa"/>
            <w:tcMar>
              <w:top w:w="30" w:type="dxa"/>
              <w:left w:w="60" w:type="dxa"/>
              <w:bottom w:w="30" w:type="dxa"/>
              <w:right w:w="60" w:type="dxa"/>
            </w:tcMar>
            <w:vAlign w:val="bottom"/>
          </w:tcPr>
          <w:p w:rsidR="00376768" w:rsidRDefault="00376768">
            <w:pPr>
              <w:jc w:val="center"/>
              <w:rPr>
                <w:rFonts w:ascii="Arial" w:hAnsi="Arial" w:cs="Arial"/>
                <w:sz w:val="16"/>
                <w:szCs w:val="18"/>
              </w:rPr>
            </w:pPr>
          </w:p>
        </w:tc>
        <w:tc>
          <w:tcPr>
            <w:tcW w:w="100" w:type="dxa"/>
            <w:tcBorders>
              <w:right w:val="single" w:sz="4" w:space="0" w:color="auto"/>
            </w:tcBorders>
            <w:vAlign w:val="bottom"/>
          </w:tcPr>
          <w:p w:rsidR="00376768" w:rsidRDefault="00376768">
            <w:pPr>
              <w:jc w:val="center"/>
              <w:rPr>
                <w:rFonts w:ascii="Arial" w:hAnsi="Arial" w:cs="Arial"/>
                <w:sz w:val="16"/>
                <w:szCs w:val="18"/>
              </w:rPr>
            </w:pPr>
          </w:p>
        </w:tc>
        <w:tc>
          <w:tcPr>
            <w:tcW w:w="88" w:type="dxa"/>
            <w:tcBorders>
              <w:left w:val="single" w:sz="4" w:space="0" w:color="auto"/>
            </w:tcBorders>
            <w:vAlign w:val="bottom"/>
          </w:tcPr>
          <w:p w:rsidR="00376768" w:rsidRDefault="00376768">
            <w:pPr>
              <w:jc w:val="center"/>
              <w:rPr>
                <w:rFonts w:ascii="Arial" w:hAnsi="Arial" w:cs="Arial"/>
                <w:sz w:val="16"/>
                <w:szCs w:val="18"/>
              </w:rPr>
            </w:pPr>
          </w:p>
        </w:tc>
        <w:tc>
          <w:tcPr>
            <w:tcW w:w="2953" w:type="dxa"/>
            <w:gridSpan w:val="7"/>
            <w:vMerge/>
            <w:tcBorders>
              <w:top w:val="single" w:sz="4" w:space="0" w:color="auto"/>
              <w:bottom w:val="single" w:sz="4" w:space="0" w:color="auto"/>
              <w:right w:val="single" w:sz="4" w:space="0" w:color="auto"/>
            </w:tcBorders>
            <w:tcMar>
              <w:top w:w="30" w:type="dxa"/>
              <w:left w:w="60" w:type="dxa"/>
              <w:bottom w:w="30" w:type="dxa"/>
              <w:right w:w="60" w:type="dxa"/>
            </w:tcMar>
            <w:vAlign w:val="bottom"/>
          </w:tcPr>
          <w:p w:rsidR="00376768" w:rsidRDefault="00376768">
            <w:pPr>
              <w:jc w:val="center"/>
              <w:rPr>
                <w:rFonts w:ascii="Arial" w:hAnsi="Arial" w:cs="Arial"/>
                <w:sz w:val="16"/>
                <w:szCs w:val="18"/>
              </w:rPr>
            </w:pPr>
          </w:p>
        </w:tc>
        <w:tc>
          <w:tcPr>
            <w:tcW w:w="86" w:type="dxa"/>
            <w:tcBorders>
              <w:left w:val="single" w:sz="4" w:space="0" w:color="auto"/>
            </w:tcBorders>
            <w:vAlign w:val="bottom"/>
          </w:tcPr>
          <w:p w:rsidR="00376768" w:rsidRDefault="00376768">
            <w:pPr>
              <w:jc w:val="center"/>
              <w:rPr>
                <w:rFonts w:ascii="Arial" w:hAnsi="Arial" w:cs="Arial"/>
                <w:sz w:val="16"/>
                <w:szCs w:val="18"/>
              </w:rPr>
            </w:pPr>
          </w:p>
        </w:tc>
        <w:tc>
          <w:tcPr>
            <w:tcW w:w="89" w:type="dxa"/>
            <w:vAlign w:val="bottom"/>
          </w:tcPr>
          <w:p w:rsidR="00376768" w:rsidRDefault="00376768">
            <w:pPr>
              <w:jc w:val="center"/>
              <w:rPr>
                <w:rFonts w:ascii="Arial" w:hAnsi="Arial" w:cs="Arial"/>
                <w:sz w:val="16"/>
                <w:szCs w:val="18"/>
              </w:rPr>
            </w:pPr>
          </w:p>
        </w:tc>
        <w:tc>
          <w:tcPr>
            <w:tcW w:w="2881" w:type="dxa"/>
            <w:gridSpan w:val="7"/>
            <w:vMerge/>
            <w:tcBorders>
              <w:top w:val="single" w:sz="4" w:space="0" w:color="auto"/>
              <w:bottom w:val="single" w:sz="4" w:space="0" w:color="auto"/>
            </w:tcBorders>
            <w:tcMar>
              <w:top w:w="30" w:type="dxa"/>
              <w:left w:w="60" w:type="dxa"/>
              <w:bottom w:w="30" w:type="dxa"/>
              <w:right w:w="60" w:type="dxa"/>
            </w:tcMar>
            <w:vAlign w:val="bottom"/>
          </w:tcPr>
          <w:p w:rsidR="00376768" w:rsidRDefault="00376768">
            <w:pPr>
              <w:jc w:val="center"/>
              <w:rPr>
                <w:rFonts w:ascii="Arial" w:hAnsi="Arial" w:cs="Arial"/>
                <w:sz w:val="16"/>
                <w:szCs w:val="18"/>
              </w:rPr>
            </w:pPr>
          </w:p>
        </w:tc>
        <w:tc>
          <w:tcPr>
            <w:tcW w:w="83" w:type="dxa"/>
            <w:tcBorders>
              <w:right w:val="single" w:sz="4" w:space="0" w:color="auto"/>
            </w:tcBorders>
            <w:vAlign w:val="bottom"/>
          </w:tcPr>
          <w:p w:rsidR="00376768" w:rsidRDefault="00376768">
            <w:pPr>
              <w:jc w:val="center"/>
              <w:rPr>
                <w:rFonts w:ascii="Arial" w:hAnsi="Arial" w:cs="Arial"/>
                <w:sz w:val="16"/>
                <w:szCs w:val="18"/>
              </w:rPr>
            </w:pPr>
          </w:p>
        </w:tc>
        <w:tc>
          <w:tcPr>
            <w:tcW w:w="73" w:type="dxa"/>
            <w:tcBorders>
              <w:left w:val="single" w:sz="4" w:space="0" w:color="auto"/>
            </w:tcBorders>
            <w:vAlign w:val="bottom"/>
          </w:tcPr>
          <w:p w:rsidR="00376768" w:rsidRDefault="00376768">
            <w:pPr>
              <w:jc w:val="center"/>
              <w:rPr>
                <w:rFonts w:ascii="Arial" w:hAnsi="Arial" w:cs="Arial"/>
                <w:sz w:val="16"/>
                <w:szCs w:val="18"/>
              </w:rPr>
            </w:pPr>
          </w:p>
        </w:tc>
        <w:tc>
          <w:tcPr>
            <w:tcW w:w="1114" w:type="dxa"/>
            <w:vMerge/>
            <w:tcMar>
              <w:top w:w="30" w:type="dxa"/>
              <w:left w:w="60" w:type="dxa"/>
              <w:bottom w:w="30" w:type="dxa"/>
              <w:right w:w="60" w:type="dxa"/>
            </w:tcMar>
            <w:vAlign w:val="bottom"/>
          </w:tcPr>
          <w:p w:rsidR="00376768" w:rsidRDefault="00376768">
            <w:pPr>
              <w:jc w:val="center"/>
              <w:rPr>
                <w:rFonts w:ascii="Arial" w:hAnsi="Arial" w:cs="Arial"/>
                <w:sz w:val="16"/>
                <w:szCs w:val="18"/>
              </w:rPr>
            </w:pPr>
          </w:p>
        </w:tc>
        <w:tc>
          <w:tcPr>
            <w:tcW w:w="73" w:type="dxa"/>
            <w:tcBorders>
              <w:right w:val="single" w:sz="4" w:space="0" w:color="auto"/>
            </w:tcBorders>
            <w:vAlign w:val="bottom"/>
          </w:tcPr>
          <w:p w:rsidR="00376768" w:rsidRDefault="00376768">
            <w:pPr>
              <w:jc w:val="center"/>
              <w:rPr>
                <w:rFonts w:ascii="Arial" w:hAnsi="Arial" w:cs="Arial"/>
                <w:sz w:val="16"/>
                <w:szCs w:val="18"/>
              </w:rPr>
            </w:pPr>
          </w:p>
        </w:tc>
        <w:tc>
          <w:tcPr>
            <w:tcW w:w="103" w:type="dxa"/>
            <w:tcBorders>
              <w:left w:val="single" w:sz="4" w:space="0" w:color="auto"/>
            </w:tcBorders>
            <w:vAlign w:val="bottom"/>
          </w:tcPr>
          <w:p w:rsidR="00376768" w:rsidRDefault="00376768">
            <w:pPr>
              <w:jc w:val="center"/>
              <w:rPr>
                <w:rFonts w:ascii="Arial" w:hAnsi="Arial" w:cs="Arial"/>
                <w:sz w:val="16"/>
                <w:szCs w:val="18"/>
              </w:rPr>
            </w:pPr>
          </w:p>
        </w:tc>
        <w:tc>
          <w:tcPr>
            <w:tcW w:w="903" w:type="dxa"/>
            <w:vMerge/>
            <w:tcBorders>
              <w:right w:val="single" w:sz="4" w:space="0" w:color="auto"/>
            </w:tcBorders>
            <w:tcMar>
              <w:top w:w="30" w:type="dxa"/>
              <w:left w:w="60" w:type="dxa"/>
              <w:bottom w:w="30" w:type="dxa"/>
              <w:right w:w="60" w:type="dxa"/>
            </w:tcMar>
            <w:vAlign w:val="bottom"/>
          </w:tcPr>
          <w:p w:rsidR="00376768" w:rsidRDefault="00376768">
            <w:pPr>
              <w:jc w:val="center"/>
              <w:rPr>
                <w:rFonts w:ascii="Arial" w:hAnsi="Arial" w:cs="Arial"/>
                <w:sz w:val="16"/>
                <w:szCs w:val="18"/>
              </w:rPr>
            </w:pPr>
          </w:p>
        </w:tc>
      </w:tr>
      <w:tr w:rsidR="00376768">
        <w:trPr>
          <w:cantSplit/>
        </w:trPr>
        <w:tc>
          <w:tcPr>
            <w:tcW w:w="1301" w:type="dxa"/>
            <w:tcBorders>
              <w:left w:val="single" w:sz="4" w:space="0" w:color="auto"/>
            </w:tcBorders>
            <w:vAlign w:val="bottom"/>
          </w:tcPr>
          <w:p w:rsidR="00376768" w:rsidRDefault="00376768">
            <w:pPr>
              <w:jc w:val="center"/>
              <w:rPr>
                <w:rFonts w:ascii="Arial" w:hAnsi="Arial" w:cs="Arial"/>
                <w:sz w:val="16"/>
                <w:szCs w:val="18"/>
              </w:rPr>
            </w:pPr>
          </w:p>
        </w:tc>
        <w:tc>
          <w:tcPr>
            <w:tcW w:w="80" w:type="dxa"/>
            <w:tcBorders>
              <w:right w:val="single" w:sz="4" w:space="0" w:color="auto"/>
            </w:tcBorders>
            <w:vAlign w:val="bottom"/>
          </w:tcPr>
          <w:p w:rsidR="00376768" w:rsidRDefault="00376768">
            <w:pPr>
              <w:jc w:val="center"/>
              <w:rPr>
                <w:rFonts w:ascii="Arial" w:hAnsi="Arial" w:cs="Arial"/>
                <w:sz w:val="16"/>
                <w:szCs w:val="18"/>
              </w:rPr>
            </w:pPr>
          </w:p>
        </w:tc>
        <w:tc>
          <w:tcPr>
            <w:tcW w:w="87" w:type="dxa"/>
            <w:tcBorders>
              <w:left w:val="single" w:sz="4" w:space="0" w:color="auto"/>
            </w:tcBorders>
            <w:vAlign w:val="bottom"/>
          </w:tcPr>
          <w:p w:rsidR="00376768" w:rsidRDefault="00376768">
            <w:pPr>
              <w:jc w:val="center"/>
              <w:rPr>
                <w:rFonts w:ascii="Arial" w:hAnsi="Arial" w:cs="Arial"/>
                <w:sz w:val="16"/>
                <w:szCs w:val="18"/>
              </w:rPr>
            </w:pPr>
          </w:p>
        </w:tc>
        <w:tc>
          <w:tcPr>
            <w:tcW w:w="866" w:type="dxa"/>
            <w:tcMar>
              <w:top w:w="30" w:type="dxa"/>
              <w:left w:w="60" w:type="dxa"/>
              <w:bottom w:w="30" w:type="dxa"/>
              <w:right w:w="60" w:type="dxa"/>
            </w:tcMar>
            <w:vAlign w:val="bottom"/>
          </w:tcPr>
          <w:p w:rsidR="00376768" w:rsidRDefault="00376768">
            <w:pPr>
              <w:jc w:val="center"/>
              <w:rPr>
                <w:rFonts w:ascii="Arial" w:hAnsi="Arial" w:cs="Arial"/>
                <w:sz w:val="16"/>
                <w:szCs w:val="18"/>
              </w:rPr>
            </w:pPr>
          </w:p>
        </w:tc>
        <w:tc>
          <w:tcPr>
            <w:tcW w:w="100" w:type="dxa"/>
            <w:tcBorders>
              <w:right w:val="single" w:sz="4" w:space="0" w:color="auto"/>
            </w:tcBorders>
            <w:vAlign w:val="bottom"/>
          </w:tcPr>
          <w:p w:rsidR="00376768" w:rsidRDefault="00376768">
            <w:pPr>
              <w:jc w:val="center"/>
              <w:rPr>
                <w:rFonts w:ascii="Arial" w:hAnsi="Arial" w:cs="Arial"/>
                <w:sz w:val="16"/>
                <w:szCs w:val="18"/>
              </w:rPr>
            </w:pPr>
          </w:p>
        </w:tc>
        <w:tc>
          <w:tcPr>
            <w:tcW w:w="88" w:type="dxa"/>
            <w:tcBorders>
              <w:left w:val="single" w:sz="4" w:space="0" w:color="auto"/>
              <w:bottom w:val="single" w:sz="4" w:space="0" w:color="auto"/>
            </w:tcBorders>
            <w:vAlign w:val="bottom"/>
          </w:tcPr>
          <w:p w:rsidR="00376768" w:rsidRDefault="00376768">
            <w:pPr>
              <w:jc w:val="center"/>
              <w:rPr>
                <w:rFonts w:ascii="Arial" w:hAnsi="Arial" w:cs="Arial"/>
                <w:sz w:val="16"/>
                <w:szCs w:val="18"/>
              </w:rPr>
            </w:pPr>
          </w:p>
        </w:tc>
        <w:tc>
          <w:tcPr>
            <w:tcW w:w="2953" w:type="dxa"/>
            <w:gridSpan w:val="7"/>
            <w:vMerge/>
            <w:tcBorders>
              <w:bottom w:val="single" w:sz="4" w:space="0" w:color="auto"/>
              <w:right w:val="single" w:sz="4" w:space="0" w:color="auto"/>
            </w:tcBorders>
            <w:tcMar>
              <w:top w:w="30" w:type="dxa"/>
              <w:left w:w="60" w:type="dxa"/>
              <w:bottom w:w="30" w:type="dxa"/>
              <w:right w:w="60" w:type="dxa"/>
            </w:tcMar>
            <w:vAlign w:val="bottom"/>
          </w:tcPr>
          <w:p w:rsidR="00376768" w:rsidRDefault="00376768">
            <w:pPr>
              <w:jc w:val="center"/>
              <w:rPr>
                <w:rFonts w:ascii="Arial" w:hAnsi="Arial" w:cs="Arial"/>
                <w:sz w:val="16"/>
                <w:szCs w:val="18"/>
              </w:rPr>
            </w:pPr>
          </w:p>
        </w:tc>
        <w:tc>
          <w:tcPr>
            <w:tcW w:w="86" w:type="dxa"/>
            <w:tcBorders>
              <w:left w:val="single" w:sz="4" w:space="0" w:color="auto"/>
              <w:bottom w:val="single" w:sz="4" w:space="0" w:color="auto"/>
            </w:tcBorders>
            <w:vAlign w:val="bottom"/>
          </w:tcPr>
          <w:p w:rsidR="00376768" w:rsidRDefault="00376768">
            <w:pPr>
              <w:jc w:val="center"/>
              <w:rPr>
                <w:rFonts w:ascii="Arial" w:hAnsi="Arial" w:cs="Arial"/>
                <w:sz w:val="16"/>
                <w:szCs w:val="18"/>
              </w:rPr>
            </w:pPr>
          </w:p>
        </w:tc>
        <w:tc>
          <w:tcPr>
            <w:tcW w:w="89" w:type="dxa"/>
            <w:tcBorders>
              <w:bottom w:val="single" w:sz="4" w:space="0" w:color="auto"/>
            </w:tcBorders>
            <w:vAlign w:val="bottom"/>
          </w:tcPr>
          <w:p w:rsidR="00376768" w:rsidRDefault="00376768">
            <w:pPr>
              <w:jc w:val="center"/>
              <w:rPr>
                <w:rFonts w:ascii="Arial" w:hAnsi="Arial" w:cs="Arial"/>
                <w:sz w:val="16"/>
                <w:szCs w:val="18"/>
              </w:rPr>
            </w:pPr>
          </w:p>
        </w:tc>
        <w:tc>
          <w:tcPr>
            <w:tcW w:w="2881" w:type="dxa"/>
            <w:gridSpan w:val="7"/>
            <w:vMerge/>
            <w:tcBorders>
              <w:bottom w:val="single" w:sz="4" w:space="0" w:color="auto"/>
            </w:tcBorders>
            <w:tcMar>
              <w:top w:w="30" w:type="dxa"/>
              <w:left w:w="60" w:type="dxa"/>
              <w:bottom w:w="30" w:type="dxa"/>
              <w:right w:w="60" w:type="dxa"/>
            </w:tcMar>
            <w:vAlign w:val="bottom"/>
          </w:tcPr>
          <w:p w:rsidR="00376768" w:rsidRDefault="00376768">
            <w:pPr>
              <w:jc w:val="center"/>
              <w:rPr>
                <w:rFonts w:ascii="Arial" w:hAnsi="Arial" w:cs="Arial"/>
                <w:sz w:val="16"/>
                <w:szCs w:val="18"/>
              </w:rPr>
            </w:pPr>
          </w:p>
        </w:tc>
        <w:tc>
          <w:tcPr>
            <w:tcW w:w="83" w:type="dxa"/>
            <w:tcBorders>
              <w:bottom w:val="single" w:sz="4" w:space="0" w:color="auto"/>
              <w:right w:val="single" w:sz="4" w:space="0" w:color="auto"/>
            </w:tcBorders>
            <w:vAlign w:val="bottom"/>
          </w:tcPr>
          <w:p w:rsidR="00376768" w:rsidRDefault="00376768">
            <w:pPr>
              <w:jc w:val="center"/>
              <w:rPr>
                <w:rFonts w:ascii="Arial" w:hAnsi="Arial" w:cs="Arial"/>
                <w:sz w:val="16"/>
                <w:szCs w:val="18"/>
              </w:rPr>
            </w:pPr>
          </w:p>
        </w:tc>
        <w:tc>
          <w:tcPr>
            <w:tcW w:w="73" w:type="dxa"/>
            <w:tcBorders>
              <w:left w:val="single" w:sz="4" w:space="0" w:color="auto"/>
            </w:tcBorders>
            <w:vAlign w:val="bottom"/>
          </w:tcPr>
          <w:p w:rsidR="00376768" w:rsidRDefault="00376768">
            <w:pPr>
              <w:jc w:val="center"/>
              <w:rPr>
                <w:rFonts w:ascii="Arial" w:hAnsi="Arial" w:cs="Arial"/>
                <w:sz w:val="16"/>
                <w:szCs w:val="18"/>
              </w:rPr>
            </w:pPr>
          </w:p>
        </w:tc>
        <w:tc>
          <w:tcPr>
            <w:tcW w:w="1114" w:type="dxa"/>
            <w:vMerge/>
            <w:tcMar>
              <w:top w:w="30" w:type="dxa"/>
              <w:left w:w="60" w:type="dxa"/>
              <w:bottom w:w="30" w:type="dxa"/>
              <w:right w:w="60" w:type="dxa"/>
            </w:tcMar>
            <w:vAlign w:val="bottom"/>
          </w:tcPr>
          <w:p w:rsidR="00376768" w:rsidRDefault="00376768">
            <w:pPr>
              <w:jc w:val="center"/>
              <w:rPr>
                <w:rFonts w:ascii="Arial" w:hAnsi="Arial" w:cs="Arial"/>
                <w:sz w:val="16"/>
                <w:szCs w:val="18"/>
              </w:rPr>
            </w:pPr>
          </w:p>
        </w:tc>
        <w:tc>
          <w:tcPr>
            <w:tcW w:w="73" w:type="dxa"/>
            <w:tcBorders>
              <w:right w:val="single" w:sz="4" w:space="0" w:color="auto"/>
            </w:tcBorders>
            <w:vAlign w:val="bottom"/>
          </w:tcPr>
          <w:p w:rsidR="00376768" w:rsidRDefault="00376768">
            <w:pPr>
              <w:jc w:val="center"/>
              <w:rPr>
                <w:rFonts w:ascii="Arial" w:hAnsi="Arial" w:cs="Arial"/>
                <w:sz w:val="16"/>
                <w:szCs w:val="18"/>
              </w:rPr>
            </w:pPr>
          </w:p>
        </w:tc>
        <w:tc>
          <w:tcPr>
            <w:tcW w:w="103" w:type="dxa"/>
            <w:tcBorders>
              <w:left w:val="single" w:sz="4" w:space="0" w:color="auto"/>
            </w:tcBorders>
            <w:vAlign w:val="bottom"/>
          </w:tcPr>
          <w:p w:rsidR="00376768" w:rsidRDefault="00376768">
            <w:pPr>
              <w:jc w:val="center"/>
              <w:rPr>
                <w:rFonts w:ascii="Arial" w:hAnsi="Arial" w:cs="Arial"/>
                <w:sz w:val="16"/>
                <w:szCs w:val="18"/>
              </w:rPr>
            </w:pPr>
          </w:p>
        </w:tc>
        <w:tc>
          <w:tcPr>
            <w:tcW w:w="903" w:type="dxa"/>
            <w:vMerge/>
            <w:tcBorders>
              <w:right w:val="single" w:sz="4" w:space="0" w:color="auto"/>
            </w:tcBorders>
            <w:tcMar>
              <w:top w:w="30" w:type="dxa"/>
              <w:left w:w="60" w:type="dxa"/>
              <w:bottom w:w="30" w:type="dxa"/>
              <w:right w:w="60" w:type="dxa"/>
            </w:tcMar>
            <w:vAlign w:val="bottom"/>
          </w:tcPr>
          <w:p w:rsidR="00376768" w:rsidRDefault="00376768">
            <w:pPr>
              <w:jc w:val="center"/>
              <w:rPr>
                <w:rFonts w:ascii="Arial" w:hAnsi="Arial" w:cs="Arial"/>
                <w:sz w:val="16"/>
                <w:szCs w:val="18"/>
              </w:rPr>
            </w:pPr>
          </w:p>
        </w:tc>
      </w:tr>
      <w:tr w:rsidR="00376768">
        <w:trPr>
          <w:cantSplit/>
        </w:trPr>
        <w:tc>
          <w:tcPr>
            <w:tcW w:w="1301" w:type="dxa"/>
            <w:tcBorders>
              <w:left w:val="single" w:sz="4" w:space="0" w:color="auto"/>
              <w:bottom w:val="single" w:sz="4" w:space="0" w:color="auto"/>
            </w:tcBorders>
            <w:vAlign w:val="bottom"/>
          </w:tcPr>
          <w:p w:rsidR="00376768" w:rsidRDefault="00EC2B72">
            <w:pPr>
              <w:jc w:val="center"/>
              <w:rPr>
                <w:rFonts w:ascii="Arial" w:hAnsi="Arial" w:cs="Arial"/>
                <w:b/>
                <w:bCs/>
                <w:sz w:val="16"/>
                <w:szCs w:val="18"/>
              </w:rPr>
            </w:pPr>
            <w:r>
              <w:rPr>
                <w:rFonts w:ascii="Arial" w:hAnsi="Arial" w:cs="Arial"/>
                <w:b/>
                <w:bCs/>
                <w:sz w:val="16"/>
                <w:szCs w:val="18"/>
              </w:rPr>
              <w:t>NEO</w:t>
            </w:r>
          </w:p>
        </w:tc>
        <w:tc>
          <w:tcPr>
            <w:tcW w:w="80" w:type="dxa"/>
            <w:tcBorders>
              <w:bottom w:val="single" w:sz="4" w:space="0" w:color="auto"/>
              <w:right w:val="single" w:sz="4" w:space="0" w:color="auto"/>
            </w:tcBorders>
            <w:vAlign w:val="bottom"/>
          </w:tcPr>
          <w:p w:rsidR="00376768" w:rsidRDefault="00376768">
            <w:pPr>
              <w:jc w:val="center"/>
              <w:rPr>
                <w:rFonts w:ascii="Arial" w:hAnsi="Arial" w:cs="Arial"/>
                <w:b/>
                <w:bCs/>
                <w:sz w:val="16"/>
                <w:szCs w:val="18"/>
              </w:rPr>
            </w:pPr>
          </w:p>
        </w:tc>
        <w:tc>
          <w:tcPr>
            <w:tcW w:w="87" w:type="dxa"/>
            <w:tcBorders>
              <w:left w:val="single" w:sz="4" w:space="0" w:color="auto"/>
              <w:bottom w:val="single" w:sz="4" w:space="0" w:color="auto"/>
            </w:tcBorders>
            <w:vAlign w:val="bottom"/>
          </w:tcPr>
          <w:p w:rsidR="00376768" w:rsidRDefault="00376768">
            <w:pPr>
              <w:jc w:val="center"/>
              <w:rPr>
                <w:rFonts w:ascii="Arial" w:hAnsi="Arial" w:cs="Arial"/>
                <w:b/>
                <w:bCs/>
                <w:sz w:val="16"/>
                <w:szCs w:val="18"/>
              </w:rPr>
            </w:pPr>
          </w:p>
        </w:tc>
        <w:tc>
          <w:tcPr>
            <w:tcW w:w="866" w:type="dxa"/>
            <w:tcBorders>
              <w:bottom w:val="single" w:sz="4" w:space="0" w:color="auto"/>
            </w:tcBorders>
            <w:tcMar>
              <w:top w:w="30" w:type="dxa"/>
              <w:left w:w="60" w:type="dxa"/>
              <w:bottom w:w="30" w:type="dxa"/>
              <w:right w:w="60" w:type="dxa"/>
            </w:tcMar>
            <w:vAlign w:val="bottom"/>
          </w:tcPr>
          <w:p w:rsidR="00376768" w:rsidRDefault="00EC2B72">
            <w:pPr>
              <w:jc w:val="center"/>
              <w:rPr>
                <w:rFonts w:ascii="Arial" w:hAnsi="Arial" w:cs="Arial"/>
                <w:b/>
                <w:bCs/>
                <w:sz w:val="16"/>
                <w:szCs w:val="18"/>
              </w:rPr>
            </w:pPr>
            <w:r>
              <w:rPr>
                <w:rFonts w:ascii="Arial" w:hAnsi="Arial" w:cs="Arial"/>
                <w:b/>
                <w:bCs/>
                <w:sz w:val="16"/>
                <w:szCs w:val="18"/>
              </w:rPr>
              <w:t>Grant</w:t>
            </w:r>
            <w:r>
              <w:rPr>
                <w:rFonts w:ascii="Arial" w:hAnsi="Arial" w:cs="Arial"/>
                <w:b/>
                <w:bCs/>
                <w:sz w:val="16"/>
                <w:szCs w:val="18"/>
              </w:rPr>
              <w:br/>
              <w:t>Date</w:t>
            </w:r>
          </w:p>
        </w:tc>
        <w:tc>
          <w:tcPr>
            <w:tcW w:w="100" w:type="dxa"/>
            <w:tcBorders>
              <w:bottom w:val="single" w:sz="4" w:space="0" w:color="auto"/>
              <w:right w:val="single" w:sz="4" w:space="0" w:color="auto"/>
            </w:tcBorders>
            <w:vAlign w:val="bottom"/>
          </w:tcPr>
          <w:p w:rsidR="00376768" w:rsidRDefault="00376768">
            <w:pPr>
              <w:jc w:val="center"/>
              <w:rPr>
                <w:rFonts w:ascii="Arial" w:hAnsi="Arial" w:cs="Arial"/>
                <w:b/>
                <w:bCs/>
                <w:sz w:val="16"/>
                <w:szCs w:val="18"/>
              </w:rPr>
            </w:pPr>
          </w:p>
        </w:tc>
        <w:tc>
          <w:tcPr>
            <w:tcW w:w="1014" w:type="dxa"/>
            <w:gridSpan w:val="3"/>
            <w:tcBorders>
              <w:top w:val="single" w:sz="4" w:space="0" w:color="auto"/>
              <w:left w:val="single" w:sz="4" w:space="0" w:color="auto"/>
              <w:bottom w:val="single" w:sz="4" w:space="0" w:color="auto"/>
              <w:right w:val="single" w:sz="4" w:space="0" w:color="auto"/>
            </w:tcBorders>
            <w:vAlign w:val="bottom"/>
          </w:tcPr>
          <w:p w:rsidR="00376768" w:rsidRDefault="00EC2B72">
            <w:pPr>
              <w:jc w:val="center"/>
              <w:rPr>
                <w:rFonts w:ascii="Arial" w:hAnsi="Arial" w:cs="Arial"/>
                <w:b/>
                <w:bCs/>
                <w:sz w:val="16"/>
                <w:szCs w:val="18"/>
              </w:rPr>
            </w:pPr>
            <w:r>
              <w:rPr>
                <w:rFonts w:ascii="Arial" w:hAnsi="Arial" w:cs="Arial"/>
                <w:b/>
                <w:bCs/>
                <w:sz w:val="16"/>
                <w:szCs w:val="18"/>
              </w:rPr>
              <w:t>Threshold</w:t>
            </w:r>
            <w:r>
              <w:rPr>
                <w:rFonts w:ascii="Arial" w:hAnsi="Arial" w:cs="Arial"/>
                <w:b/>
                <w:bCs/>
                <w:sz w:val="16"/>
                <w:szCs w:val="18"/>
              </w:rPr>
              <w:br/>
              <w:t>($)</w:t>
            </w:r>
          </w:p>
        </w:tc>
        <w:tc>
          <w:tcPr>
            <w:tcW w:w="1022" w:type="dxa"/>
            <w:gridSpan w:val="3"/>
            <w:tcBorders>
              <w:top w:val="single" w:sz="4" w:space="0" w:color="auto"/>
              <w:left w:val="single" w:sz="4" w:space="0" w:color="auto"/>
              <w:bottom w:val="single" w:sz="4" w:space="0" w:color="auto"/>
              <w:right w:val="single" w:sz="4" w:space="0" w:color="auto"/>
            </w:tcBorders>
            <w:vAlign w:val="bottom"/>
          </w:tcPr>
          <w:p w:rsidR="00376768" w:rsidRDefault="00EC2B72">
            <w:pPr>
              <w:jc w:val="center"/>
              <w:rPr>
                <w:rFonts w:ascii="Arial" w:hAnsi="Arial" w:cs="Arial"/>
                <w:b/>
                <w:bCs/>
                <w:sz w:val="16"/>
                <w:szCs w:val="18"/>
              </w:rPr>
            </w:pPr>
            <w:r>
              <w:rPr>
                <w:rFonts w:ascii="Arial" w:hAnsi="Arial" w:cs="Arial"/>
                <w:b/>
                <w:bCs/>
                <w:sz w:val="16"/>
                <w:szCs w:val="18"/>
              </w:rPr>
              <w:t>Target ($)</w:t>
            </w:r>
          </w:p>
        </w:tc>
        <w:tc>
          <w:tcPr>
            <w:tcW w:w="87" w:type="dxa"/>
            <w:tcBorders>
              <w:top w:val="single" w:sz="4" w:space="0" w:color="auto"/>
              <w:left w:val="single" w:sz="4" w:space="0" w:color="auto"/>
              <w:bottom w:val="single" w:sz="4" w:space="0" w:color="auto"/>
            </w:tcBorders>
            <w:vAlign w:val="bottom"/>
          </w:tcPr>
          <w:p w:rsidR="00376768" w:rsidRDefault="00376768">
            <w:pPr>
              <w:jc w:val="center"/>
              <w:rPr>
                <w:rFonts w:ascii="Arial" w:hAnsi="Arial" w:cs="Arial"/>
                <w:b/>
                <w:bCs/>
                <w:sz w:val="16"/>
                <w:szCs w:val="18"/>
              </w:rPr>
            </w:pPr>
          </w:p>
        </w:tc>
        <w:tc>
          <w:tcPr>
            <w:tcW w:w="918" w:type="dxa"/>
            <w:tcBorders>
              <w:top w:val="single" w:sz="4" w:space="0" w:color="auto"/>
              <w:bottom w:val="single" w:sz="4" w:space="0" w:color="auto"/>
              <w:right w:val="single" w:sz="4" w:space="0" w:color="auto"/>
            </w:tcBorders>
            <w:tcMar>
              <w:top w:w="30" w:type="dxa"/>
              <w:left w:w="60" w:type="dxa"/>
              <w:bottom w:w="30" w:type="dxa"/>
              <w:right w:w="60" w:type="dxa"/>
            </w:tcMar>
            <w:vAlign w:val="bottom"/>
          </w:tcPr>
          <w:p w:rsidR="00376768" w:rsidRDefault="00EC2B72">
            <w:pPr>
              <w:jc w:val="center"/>
              <w:rPr>
                <w:rFonts w:ascii="Arial" w:hAnsi="Arial" w:cs="Arial"/>
                <w:b/>
                <w:bCs/>
                <w:sz w:val="16"/>
                <w:szCs w:val="18"/>
              </w:rPr>
            </w:pPr>
            <w:r>
              <w:rPr>
                <w:rFonts w:ascii="Arial" w:hAnsi="Arial" w:cs="Arial"/>
                <w:b/>
                <w:bCs/>
                <w:sz w:val="16"/>
                <w:szCs w:val="18"/>
              </w:rPr>
              <w:t>Maximum</w:t>
            </w:r>
            <w:r>
              <w:rPr>
                <w:rFonts w:ascii="Arial" w:hAnsi="Arial" w:cs="Arial"/>
                <w:b/>
                <w:bCs/>
                <w:sz w:val="16"/>
                <w:szCs w:val="18"/>
              </w:rPr>
              <w:br/>
              <w:t>($)</w:t>
            </w:r>
          </w:p>
        </w:tc>
        <w:tc>
          <w:tcPr>
            <w:tcW w:w="86" w:type="dxa"/>
            <w:tcBorders>
              <w:top w:val="single" w:sz="4" w:space="0" w:color="auto"/>
              <w:left w:val="single" w:sz="4" w:space="0" w:color="auto"/>
              <w:bottom w:val="single" w:sz="4" w:space="0" w:color="auto"/>
            </w:tcBorders>
            <w:vAlign w:val="bottom"/>
          </w:tcPr>
          <w:p w:rsidR="00376768" w:rsidRDefault="00376768">
            <w:pPr>
              <w:jc w:val="center"/>
              <w:rPr>
                <w:rFonts w:ascii="Arial" w:hAnsi="Arial" w:cs="Arial"/>
                <w:b/>
                <w:bCs/>
                <w:sz w:val="16"/>
                <w:szCs w:val="18"/>
              </w:rPr>
            </w:pPr>
          </w:p>
        </w:tc>
        <w:tc>
          <w:tcPr>
            <w:tcW w:w="89" w:type="dxa"/>
            <w:tcBorders>
              <w:top w:val="single" w:sz="4" w:space="0" w:color="auto"/>
              <w:bottom w:val="single" w:sz="4" w:space="0" w:color="auto"/>
            </w:tcBorders>
            <w:vAlign w:val="bottom"/>
          </w:tcPr>
          <w:p w:rsidR="00376768" w:rsidRDefault="00376768">
            <w:pPr>
              <w:jc w:val="center"/>
              <w:rPr>
                <w:rFonts w:ascii="Arial" w:hAnsi="Arial" w:cs="Arial"/>
                <w:b/>
                <w:bCs/>
                <w:sz w:val="16"/>
                <w:szCs w:val="18"/>
              </w:rPr>
            </w:pPr>
          </w:p>
        </w:tc>
        <w:tc>
          <w:tcPr>
            <w:tcW w:w="926" w:type="dxa"/>
            <w:tcBorders>
              <w:top w:val="single" w:sz="4" w:space="0" w:color="auto"/>
              <w:bottom w:val="single" w:sz="4" w:space="0" w:color="auto"/>
            </w:tcBorders>
            <w:tcMar>
              <w:top w:w="30" w:type="dxa"/>
              <w:left w:w="60" w:type="dxa"/>
              <w:bottom w:w="30" w:type="dxa"/>
              <w:right w:w="60" w:type="dxa"/>
            </w:tcMar>
            <w:vAlign w:val="bottom"/>
          </w:tcPr>
          <w:p w:rsidR="00376768" w:rsidRDefault="00EC2B72">
            <w:pPr>
              <w:jc w:val="center"/>
              <w:rPr>
                <w:rFonts w:ascii="Arial" w:hAnsi="Arial" w:cs="Arial"/>
                <w:b/>
                <w:bCs/>
                <w:sz w:val="16"/>
                <w:szCs w:val="18"/>
              </w:rPr>
            </w:pPr>
            <w:r>
              <w:rPr>
                <w:rFonts w:ascii="Arial" w:hAnsi="Arial" w:cs="Arial"/>
                <w:b/>
                <w:bCs/>
                <w:sz w:val="16"/>
                <w:szCs w:val="18"/>
              </w:rPr>
              <w:t>Threshold</w:t>
            </w:r>
            <w:r>
              <w:rPr>
                <w:rFonts w:ascii="Arial" w:hAnsi="Arial" w:cs="Arial"/>
                <w:b/>
                <w:bCs/>
                <w:sz w:val="16"/>
                <w:szCs w:val="18"/>
              </w:rPr>
              <w:br/>
              <w:t>(#)</w:t>
            </w:r>
          </w:p>
        </w:tc>
        <w:tc>
          <w:tcPr>
            <w:tcW w:w="73" w:type="dxa"/>
            <w:tcBorders>
              <w:top w:val="single" w:sz="4" w:space="0" w:color="auto"/>
              <w:bottom w:val="single" w:sz="4" w:space="0" w:color="auto"/>
              <w:right w:val="single" w:sz="4" w:space="0" w:color="auto"/>
            </w:tcBorders>
            <w:vAlign w:val="bottom"/>
          </w:tcPr>
          <w:p w:rsidR="00376768" w:rsidRDefault="00376768">
            <w:pPr>
              <w:jc w:val="center"/>
              <w:rPr>
                <w:rFonts w:ascii="Arial" w:hAnsi="Arial" w:cs="Arial"/>
                <w:b/>
                <w:bCs/>
                <w:sz w:val="16"/>
                <w:szCs w:val="18"/>
              </w:rPr>
            </w:pPr>
          </w:p>
        </w:tc>
        <w:tc>
          <w:tcPr>
            <w:tcW w:w="69" w:type="dxa"/>
            <w:tcBorders>
              <w:top w:val="single" w:sz="4" w:space="0" w:color="auto"/>
              <w:left w:val="single" w:sz="4" w:space="0" w:color="auto"/>
              <w:bottom w:val="single" w:sz="4" w:space="0" w:color="auto"/>
            </w:tcBorders>
            <w:vAlign w:val="bottom"/>
          </w:tcPr>
          <w:p w:rsidR="00376768" w:rsidRDefault="00376768">
            <w:pPr>
              <w:jc w:val="center"/>
              <w:rPr>
                <w:rFonts w:ascii="Arial" w:hAnsi="Arial" w:cs="Arial"/>
                <w:b/>
                <w:bCs/>
                <w:sz w:val="16"/>
                <w:szCs w:val="18"/>
              </w:rPr>
            </w:pPr>
          </w:p>
        </w:tc>
        <w:tc>
          <w:tcPr>
            <w:tcW w:w="752" w:type="dxa"/>
            <w:tcBorders>
              <w:top w:val="single" w:sz="4" w:space="0" w:color="auto"/>
              <w:bottom w:val="single" w:sz="4" w:space="0" w:color="auto"/>
            </w:tcBorders>
            <w:tcMar>
              <w:top w:w="30" w:type="dxa"/>
              <w:left w:w="60" w:type="dxa"/>
              <w:bottom w:w="30" w:type="dxa"/>
              <w:right w:w="60" w:type="dxa"/>
            </w:tcMar>
            <w:vAlign w:val="bottom"/>
          </w:tcPr>
          <w:p w:rsidR="00376768" w:rsidRDefault="00EC2B72">
            <w:pPr>
              <w:jc w:val="center"/>
              <w:rPr>
                <w:rFonts w:ascii="Arial" w:hAnsi="Arial" w:cs="Arial"/>
                <w:b/>
                <w:bCs/>
                <w:sz w:val="16"/>
                <w:szCs w:val="18"/>
              </w:rPr>
            </w:pPr>
            <w:r>
              <w:rPr>
                <w:rFonts w:ascii="Arial" w:hAnsi="Arial" w:cs="Arial"/>
                <w:b/>
                <w:bCs/>
                <w:sz w:val="16"/>
                <w:szCs w:val="18"/>
              </w:rPr>
              <w:t>Target</w:t>
            </w:r>
            <w:r>
              <w:rPr>
                <w:rFonts w:ascii="Arial" w:hAnsi="Arial" w:cs="Arial"/>
                <w:b/>
                <w:bCs/>
                <w:sz w:val="16"/>
                <w:szCs w:val="18"/>
              </w:rPr>
              <w:br/>
              <w:t xml:space="preserve"> (#)</w:t>
            </w:r>
          </w:p>
        </w:tc>
        <w:tc>
          <w:tcPr>
            <w:tcW w:w="114" w:type="dxa"/>
            <w:tcBorders>
              <w:top w:val="single" w:sz="4" w:space="0" w:color="auto"/>
              <w:bottom w:val="single" w:sz="4" w:space="0" w:color="auto"/>
              <w:right w:val="single" w:sz="4" w:space="0" w:color="auto"/>
            </w:tcBorders>
            <w:vAlign w:val="bottom"/>
          </w:tcPr>
          <w:p w:rsidR="00376768" w:rsidRDefault="00376768">
            <w:pPr>
              <w:jc w:val="center"/>
              <w:rPr>
                <w:rFonts w:ascii="Arial" w:hAnsi="Arial" w:cs="Arial"/>
                <w:b/>
                <w:bCs/>
                <w:sz w:val="16"/>
                <w:szCs w:val="18"/>
              </w:rPr>
            </w:pPr>
          </w:p>
        </w:tc>
        <w:tc>
          <w:tcPr>
            <w:tcW w:w="79" w:type="dxa"/>
            <w:tcBorders>
              <w:top w:val="single" w:sz="4" w:space="0" w:color="auto"/>
              <w:left w:val="single" w:sz="4" w:space="0" w:color="auto"/>
              <w:bottom w:val="single" w:sz="4" w:space="0" w:color="auto"/>
            </w:tcBorders>
            <w:vAlign w:val="bottom"/>
          </w:tcPr>
          <w:p w:rsidR="00376768" w:rsidRDefault="00376768">
            <w:pPr>
              <w:jc w:val="center"/>
              <w:rPr>
                <w:rFonts w:ascii="Arial" w:hAnsi="Arial" w:cs="Arial"/>
                <w:b/>
                <w:bCs/>
                <w:sz w:val="16"/>
                <w:szCs w:val="18"/>
              </w:rPr>
            </w:pPr>
          </w:p>
        </w:tc>
        <w:tc>
          <w:tcPr>
            <w:tcW w:w="868" w:type="dxa"/>
            <w:tcBorders>
              <w:top w:val="single" w:sz="4" w:space="0" w:color="auto"/>
              <w:bottom w:val="single" w:sz="4" w:space="0" w:color="auto"/>
            </w:tcBorders>
            <w:tcMar>
              <w:top w:w="30" w:type="dxa"/>
              <w:left w:w="60" w:type="dxa"/>
              <w:bottom w:w="30" w:type="dxa"/>
              <w:right w:w="60" w:type="dxa"/>
            </w:tcMar>
            <w:vAlign w:val="bottom"/>
          </w:tcPr>
          <w:p w:rsidR="00376768" w:rsidRDefault="00EC2B72">
            <w:pPr>
              <w:jc w:val="center"/>
              <w:rPr>
                <w:rFonts w:ascii="Arial" w:hAnsi="Arial" w:cs="Arial"/>
                <w:b/>
                <w:bCs/>
                <w:sz w:val="16"/>
                <w:szCs w:val="18"/>
              </w:rPr>
            </w:pPr>
            <w:r>
              <w:rPr>
                <w:rFonts w:ascii="Arial" w:hAnsi="Arial" w:cs="Arial"/>
                <w:b/>
                <w:bCs/>
                <w:sz w:val="16"/>
                <w:szCs w:val="18"/>
              </w:rPr>
              <w:t>Maximum</w:t>
            </w:r>
            <w:r>
              <w:rPr>
                <w:rFonts w:ascii="Arial" w:hAnsi="Arial" w:cs="Arial"/>
                <w:b/>
                <w:bCs/>
                <w:sz w:val="16"/>
                <w:szCs w:val="18"/>
              </w:rPr>
              <w:br/>
              <w:t>(#)</w:t>
            </w:r>
          </w:p>
        </w:tc>
        <w:tc>
          <w:tcPr>
            <w:tcW w:w="83" w:type="dxa"/>
            <w:tcBorders>
              <w:top w:val="single" w:sz="4" w:space="0" w:color="auto"/>
              <w:bottom w:val="single" w:sz="4" w:space="0" w:color="auto"/>
              <w:right w:val="single" w:sz="4" w:space="0" w:color="auto"/>
            </w:tcBorders>
            <w:vAlign w:val="bottom"/>
          </w:tcPr>
          <w:p w:rsidR="00376768" w:rsidRDefault="00376768">
            <w:pPr>
              <w:jc w:val="center"/>
              <w:rPr>
                <w:rFonts w:ascii="Arial" w:hAnsi="Arial" w:cs="Arial"/>
                <w:b/>
                <w:bCs/>
                <w:sz w:val="16"/>
                <w:szCs w:val="18"/>
              </w:rPr>
            </w:pPr>
          </w:p>
        </w:tc>
        <w:tc>
          <w:tcPr>
            <w:tcW w:w="73" w:type="dxa"/>
            <w:tcBorders>
              <w:left w:val="single" w:sz="4" w:space="0" w:color="auto"/>
              <w:bottom w:val="single" w:sz="4" w:space="0" w:color="auto"/>
            </w:tcBorders>
            <w:vAlign w:val="bottom"/>
          </w:tcPr>
          <w:p w:rsidR="00376768" w:rsidRDefault="00376768">
            <w:pPr>
              <w:jc w:val="center"/>
              <w:rPr>
                <w:rFonts w:ascii="Arial" w:hAnsi="Arial" w:cs="Arial"/>
                <w:b/>
                <w:bCs/>
                <w:sz w:val="16"/>
                <w:szCs w:val="18"/>
              </w:rPr>
            </w:pPr>
          </w:p>
        </w:tc>
        <w:tc>
          <w:tcPr>
            <w:tcW w:w="1114" w:type="dxa"/>
            <w:vMerge/>
            <w:tcBorders>
              <w:bottom w:val="single" w:sz="4" w:space="0" w:color="auto"/>
            </w:tcBorders>
            <w:tcMar>
              <w:top w:w="30" w:type="dxa"/>
              <w:left w:w="60" w:type="dxa"/>
              <w:bottom w:w="30" w:type="dxa"/>
              <w:right w:w="60" w:type="dxa"/>
            </w:tcMar>
            <w:vAlign w:val="bottom"/>
          </w:tcPr>
          <w:p w:rsidR="00376768" w:rsidRDefault="00376768">
            <w:pPr>
              <w:jc w:val="center"/>
              <w:rPr>
                <w:rFonts w:ascii="Arial" w:hAnsi="Arial" w:cs="Arial"/>
                <w:b/>
                <w:bCs/>
                <w:sz w:val="16"/>
                <w:szCs w:val="18"/>
              </w:rPr>
            </w:pPr>
          </w:p>
        </w:tc>
        <w:tc>
          <w:tcPr>
            <w:tcW w:w="73" w:type="dxa"/>
            <w:tcBorders>
              <w:bottom w:val="single" w:sz="4" w:space="0" w:color="auto"/>
              <w:right w:val="single" w:sz="4" w:space="0" w:color="auto"/>
            </w:tcBorders>
            <w:vAlign w:val="bottom"/>
          </w:tcPr>
          <w:p w:rsidR="00376768" w:rsidRDefault="00376768">
            <w:pPr>
              <w:jc w:val="center"/>
              <w:rPr>
                <w:rFonts w:ascii="Arial" w:hAnsi="Arial" w:cs="Arial"/>
                <w:b/>
                <w:bCs/>
                <w:sz w:val="16"/>
                <w:szCs w:val="18"/>
              </w:rPr>
            </w:pPr>
          </w:p>
        </w:tc>
        <w:tc>
          <w:tcPr>
            <w:tcW w:w="103" w:type="dxa"/>
            <w:tcBorders>
              <w:left w:val="single" w:sz="4" w:space="0" w:color="auto"/>
              <w:bottom w:val="single" w:sz="4" w:space="0" w:color="auto"/>
            </w:tcBorders>
            <w:vAlign w:val="bottom"/>
          </w:tcPr>
          <w:p w:rsidR="00376768" w:rsidRDefault="00376768">
            <w:pPr>
              <w:jc w:val="center"/>
              <w:rPr>
                <w:rFonts w:ascii="Arial" w:hAnsi="Arial" w:cs="Arial"/>
                <w:b/>
                <w:bCs/>
                <w:sz w:val="16"/>
                <w:szCs w:val="18"/>
              </w:rPr>
            </w:pPr>
          </w:p>
        </w:tc>
        <w:tc>
          <w:tcPr>
            <w:tcW w:w="903" w:type="dxa"/>
            <w:vMerge/>
            <w:tcBorders>
              <w:bottom w:val="single" w:sz="4" w:space="0" w:color="auto"/>
              <w:right w:val="single" w:sz="4" w:space="0" w:color="auto"/>
            </w:tcBorders>
            <w:tcMar>
              <w:top w:w="30" w:type="dxa"/>
              <w:left w:w="60" w:type="dxa"/>
              <w:bottom w:w="30" w:type="dxa"/>
              <w:right w:w="60" w:type="dxa"/>
            </w:tcMar>
            <w:vAlign w:val="bottom"/>
          </w:tcPr>
          <w:p w:rsidR="00376768" w:rsidRDefault="00376768">
            <w:pPr>
              <w:jc w:val="center"/>
              <w:rPr>
                <w:rFonts w:ascii="Arial" w:hAnsi="Arial" w:cs="Arial"/>
                <w:b/>
                <w:bCs/>
                <w:sz w:val="16"/>
                <w:szCs w:val="18"/>
              </w:rPr>
            </w:pPr>
          </w:p>
        </w:tc>
      </w:tr>
      <w:tr w:rsidR="00376768">
        <w:trPr>
          <w:cantSplit/>
        </w:trPr>
        <w:tc>
          <w:tcPr>
            <w:tcW w:w="1301" w:type="dxa"/>
            <w:tcBorders>
              <w:top w:val="single" w:sz="4" w:space="0" w:color="auto"/>
              <w:left w:val="single" w:sz="4" w:space="0" w:color="auto"/>
            </w:tcBorders>
            <w:vAlign w:val="center"/>
          </w:tcPr>
          <w:p w:rsidR="00376768" w:rsidRDefault="00376768">
            <w:pPr>
              <w:ind w:left="58"/>
              <w:rPr>
                <w:rFonts w:ascii="Arial" w:hAnsi="Arial" w:cs="Arial"/>
                <w:sz w:val="16"/>
                <w:szCs w:val="18"/>
              </w:rPr>
            </w:pPr>
          </w:p>
        </w:tc>
        <w:tc>
          <w:tcPr>
            <w:tcW w:w="80" w:type="dxa"/>
            <w:tcBorders>
              <w:top w:val="single" w:sz="4" w:space="0" w:color="auto"/>
              <w:right w:val="single" w:sz="4" w:space="0" w:color="auto"/>
            </w:tcBorders>
          </w:tcPr>
          <w:p w:rsidR="00376768" w:rsidRDefault="00376768">
            <w:pP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rPr>
                <w:rFonts w:ascii="Arial" w:hAnsi="Arial" w:cs="Arial"/>
                <w:sz w:val="16"/>
                <w:szCs w:val="18"/>
              </w:rPr>
            </w:pPr>
          </w:p>
        </w:tc>
        <w:tc>
          <w:tcPr>
            <w:tcW w:w="866" w:type="dxa"/>
            <w:tcBorders>
              <w:top w:val="single" w:sz="4" w:space="0" w:color="auto"/>
              <w:bottom w:val="single" w:sz="4" w:space="0" w:color="auto"/>
            </w:tcBorders>
            <w:tcMar>
              <w:top w:w="30" w:type="dxa"/>
              <w:left w:w="60" w:type="dxa"/>
              <w:bottom w:w="30" w:type="dxa"/>
              <w:right w:w="60" w:type="dxa"/>
            </w:tcMar>
            <w:vAlign w:val="center"/>
          </w:tcPr>
          <w:p w:rsidR="00376768" w:rsidRDefault="00376768">
            <w:pPr>
              <w:jc w:val="center"/>
              <w:rPr>
                <w:rFonts w:ascii="Arial" w:hAnsi="Arial" w:cs="Arial"/>
                <w:sz w:val="16"/>
                <w:szCs w:val="18"/>
              </w:rPr>
            </w:pPr>
          </w:p>
        </w:tc>
        <w:tc>
          <w:tcPr>
            <w:tcW w:w="100"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8"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0" w:type="dxa"/>
            <w:tcBorders>
              <w:top w:val="single" w:sz="4" w:space="0" w:color="auto"/>
              <w:bottom w:val="single" w:sz="4" w:space="0" w:color="auto"/>
            </w:tcBorders>
            <w:tcMar>
              <w:top w:w="30" w:type="dxa"/>
              <w:left w:w="60" w:type="dxa"/>
              <w:bottom w:w="30" w:type="dxa"/>
              <w:right w:w="60" w:type="dxa"/>
            </w:tcMar>
            <w:vAlign w:val="center"/>
          </w:tcPr>
          <w:p w:rsidR="00376768" w:rsidRDefault="00376768">
            <w:pPr>
              <w:jc w:val="center"/>
              <w:rPr>
                <w:rFonts w:ascii="Arial" w:hAnsi="Arial" w:cs="Arial"/>
                <w:sz w:val="16"/>
                <w:szCs w:val="18"/>
              </w:rPr>
            </w:pPr>
          </w:p>
        </w:tc>
        <w:tc>
          <w:tcPr>
            <w:tcW w:w="86"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90"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3" w:type="dxa"/>
            <w:tcBorders>
              <w:top w:val="single" w:sz="4" w:space="0" w:color="auto"/>
              <w:bottom w:val="single" w:sz="4" w:space="0" w:color="auto"/>
            </w:tcBorders>
            <w:tcMar>
              <w:top w:w="30" w:type="dxa"/>
              <w:left w:w="60" w:type="dxa"/>
              <w:bottom w:w="30" w:type="dxa"/>
              <w:right w:w="60" w:type="dxa"/>
            </w:tcMar>
            <w:vAlign w:val="center"/>
          </w:tcPr>
          <w:p w:rsidR="00376768" w:rsidRDefault="00376768">
            <w:pPr>
              <w:jc w:val="center"/>
              <w:rPr>
                <w:rFonts w:ascii="Arial" w:hAnsi="Arial" w:cs="Arial"/>
                <w:sz w:val="16"/>
                <w:szCs w:val="18"/>
              </w:rPr>
            </w:pPr>
          </w:p>
        </w:tc>
        <w:tc>
          <w:tcPr>
            <w:tcW w:w="89"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18"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376768">
            <w:pPr>
              <w:jc w:val="center"/>
              <w:rPr>
                <w:rFonts w:ascii="Arial" w:hAnsi="Arial" w:cs="Arial"/>
                <w:sz w:val="16"/>
                <w:szCs w:val="18"/>
              </w:rPr>
            </w:pPr>
          </w:p>
        </w:tc>
        <w:tc>
          <w:tcPr>
            <w:tcW w:w="86"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9" w:type="dxa"/>
            <w:tcBorders>
              <w:top w:val="single" w:sz="4" w:space="0" w:color="auto"/>
              <w:bottom w:val="single" w:sz="4" w:space="0" w:color="auto"/>
            </w:tcBorders>
          </w:tcPr>
          <w:p w:rsidR="00376768" w:rsidRDefault="00376768">
            <w:pPr>
              <w:jc w:val="center"/>
              <w:rPr>
                <w:rFonts w:ascii="Arial" w:hAnsi="Arial" w:cs="Arial"/>
                <w:sz w:val="16"/>
                <w:szCs w:val="18"/>
              </w:rPr>
            </w:pPr>
          </w:p>
        </w:tc>
        <w:tc>
          <w:tcPr>
            <w:tcW w:w="926" w:type="dxa"/>
            <w:tcBorders>
              <w:top w:val="single" w:sz="4" w:space="0" w:color="auto"/>
              <w:bottom w:val="single" w:sz="4" w:space="0" w:color="auto"/>
            </w:tcBorders>
            <w:tcMar>
              <w:top w:w="30" w:type="dxa"/>
              <w:left w:w="60" w:type="dxa"/>
              <w:bottom w:w="30" w:type="dxa"/>
              <w:right w:w="60" w:type="dxa"/>
            </w:tcMar>
            <w:vAlign w:val="center"/>
          </w:tcPr>
          <w:p w:rsidR="00376768" w:rsidRDefault="00376768">
            <w:pPr>
              <w:jc w:val="center"/>
              <w:rPr>
                <w:rFonts w:ascii="Arial" w:hAnsi="Arial" w:cs="Arial"/>
                <w:sz w:val="16"/>
                <w:szCs w:val="18"/>
              </w:rPr>
            </w:pP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6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752" w:type="dxa"/>
            <w:tcBorders>
              <w:top w:val="single" w:sz="4" w:space="0" w:color="auto"/>
              <w:bottom w:val="single" w:sz="4" w:space="0" w:color="auto"/>
            </w:tcBorders>
            <w:tcMar>
              <w:top w:w="30" w:type="dxa"/>
              <w:left w:w="60" w:type="dxa"/>
              <w:bottom w:w="30" w:type="dxa"/>
              <w:right w:w="60" w:type="dxa"/>
            </w:tcMar>
            <w:vAlign w:val="center"/>
          </w:tcPr>
          <w:p w:rsidR="00376768" w:rsidRDefault="00376768">
            <w:pPr>
              <w:jc w:val="center"/>
              <w:rPr>
                <w:rFonts w:ascii="Arial" w:hAnsi="Arial" w:cs="Arial"/>
                <w:sz w:val="16"/>
                <w:szCs w:val="18"/>
              </w:rPr>
            </w:pPr>
          </w:p>
        </w:tc>
        <w:tc>
          <w:tcPr>
            <w:tcW w:w="114"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68" w:type="dxa"/>
            <w:tcBorders>
              <w:top w:val="single" w:sz="4" w:space="0" w:color="auto"/>
              <w:bottom w:val="single" w:sz="4" w:space="0" w:color="auto"/>
            </w:tcBorders>
            <w:tcMar>
              <w:top w:w="30" w:type="dxa"/>
              <w:left w:w="60" w:type="dxa"/>
              <w:bottom w:w="30" w:type="dxa"/>
              <w:right w:w="60" w:type="dxa"/>
            </w:tcMar>
            <w:vAlign w:val="center"/>
          </w:tcPr>
          <w:p w:rsidR="00376768" w:rsidRDefault="00376768">
            <w:pPr>
              <w:jc w:val="center"/>
              <w:rPr>
                <w:rFonts w:ascii="Arial" w:hAnsi="Arial" w:cs="Arial"/>
                <w:sz w:val="16"/>
                <w:szCs w:val="18"/>
              </w:rPr>
            </w:pPr>
          </w:p>
        </w:tc>
        <w:tc>
          <w:tcPr>
            <w:tcW w:w="8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1114" w:type="dxa"/>
            <w:tcBorders>
              <w:top w:val="single" w:sz="4" w:space="0" w:color="auto"/>
              <w:bottom w:val="single" w:sz="4" w:space="0" w:color="auto"/>
            </w:tcBorders>
            <w:tcMar>
              <w:top w:w="30" w:type="dxa"/>
              <w:left w:w="60" w:type="dxa"/>
              <w:bottom w:w="30" w:type="dxa"/>
              <w:right w:w="60" w:type="dxa"/>
            </w:tcMar>
            <w:vAlign w:val="center"/>
          </w:tcPr>
          <w:p w:rsidR="00376768" w:rsidRDefault="00376768">
            <w:pPr>
              <w:jc w:val="center"/>
              <w:rPr>
                <w:rFonts w:ascii="Arial" w:hAnsi="Arial" w:cs="Arial"/>
                <w:sz w:val="16"/>
                <w:szCs w:val="18"/>
              </w:rPr>
            </w:pP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10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03"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376768">
            <w:pPr>
              <w:jc w:val="center"/>
              <w:rPr>
                <w:rFonts w:ascii="Arial" w:hAnsi="Arial" w:cs="Arial"/>
                <w:sz w:val="16"/>
                <w:szCs w:val="18"/>
              </w:rPr>
            </w:pPr>
          </w:p>
        </w:tc>
      </w:tr>
      <w:tr w:rsidR="00376768">
        <w:trPr>
          <w:cantSplit/>
        </w:trPr>
        <w:tc>
          <w:tcPr>
            <w:tcW w:w="1301" w:type="dxa"/>
            <w:vMerge w:val="restart"/>
            <w:tcBorders>
              <w:top w:val="single" w:sz="4" w:space="0" w:color="auto"/>
              <w:left w:val="single" w:sz="4" w:space="0" w:color="auto"/>
            </w:tcBorders>
            <w:vAlign w:val="center"/>
          </w:tcPr>
          <w:p w:rsidR="00376768" w:rsidRDefault="00EC2B72">
            <w:pPr>
              <w:ind w:left="58"/>
              <w:rPr>
                <w:rFonts w:ascii="Arial" w:hAnsi="Arial" w:cs="Arial"/>
                <w:sz w:val="16"/>
              </w:rPr>
            </w:pPr>
            <w:r>
              <w:rPr>
                <w:rFonts w:ascii="Arial" w:hAnsi="Arial" w:cs="Arial"/>
                <w:sz w:val="16"/>
                <w:szCs w:val="18"/>
              </w:rPr>
              <w:t>Robert P. Bauer</w:t>
            </w:r>
          </w:p>
        </w:tc>
        <w:tc>
          <w:tcPr>
            <w:tcW w:w="80" w:type="dxa"/>
            <w:tcBorders>
              <w:top w:val="single" w:sz="4" w:space="0" w:color="auto"/>
              <w:right w:val="single" w:sz="4" w:space="0" w:color="auto"/>
            </w:tcBorders>
          </w:tcPr>
          <w:p w:rsidR="00376768" w:rsidRDefault="00376768">
            <w:pP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rPr>
                <w:rFonts w:ascii="Arial" w:hAnsi="Arial" w:cs="Arial"/>
                <w:sz w:val="16"/>
                <w:szCs w:val="18"/>
              </w:rPr>
            </w:pPr>
          </w:p>
        </w:tc>
        <w:tc>
          <w:tcPr>
            <w:tcW w:w="866"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100"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8"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0"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90,724</w:t>
            </w:r>
          </w:p>
        </w:tc>
        <w:tc>
          <w:tcPr>
            <w:tcW w:w="86"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90"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3"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490,400</w:t>
            </w:r>
          </w:p>
        </w:tc>
        <w:tc>
          <w:tcPr>
            <w:tcW w:w="89"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18"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980,800</w:t>
            </w:r>
          </w:p>
        </w:tc>
        <w:tc>
          <w:tcPr>
            <w:tcW w:w="86"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9" w:type="dxa"/>
            <w:tcBorders>
              <w:top w:val="single" w:sz="4" w:space="0" w:color="auto"/>
              <w:bottom w:val="single" w:sz="4" w:space="0" w:color="auto"/>
            </w:tcBorders>
          </w:tcPr>
          <w:p w:rsidR="00376768" w:rsidRDefault="00376768">
            <w:pPr>
              <w:jc w:val="center"/>
              <w:rPr>
                <w:rFonts w:ascii="Arial" w:hAnsi="Arial" w:cs="Arial"/>
                <w:sz w:val="16"/>
                <w:szCs w:val="18"/>
              </w:rPr>
            </w:pPr>
          </w:p>
        </w:tc>
        <w:tc>
          <w:tcPr>
            <w:tcW w:w="926"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6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752"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114"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68"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1114"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10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03"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r>
      <w:tr w:rsidR="00376768">
        <w:trPr>
          <w:cantSplit/>
        </w:trPr>
        <w:tc>
          <w:tcPr>
            <w:tcW w:w="1301" w:type="dxa"/>
            <w:vMerge/>
            <w:tcBorders>
              <w:left w:val="single" w:sz="4" w:space="0" w:color="auto"/>
            </w:tcBorders>
            <w:vAlign w:val="center"/>
          </w:tcPr>
          <w:p w:rsidR="00376768" w:rsidRDefault="00376768">
            <w:pPr>
              <w:rPr>
                <w:rFonts w:ascii="Arial" w:eastAsia="Arial Unicode MS" w:hAnsi="Arial" w:cs="Arial"/>
                <w:sz w:val="16"/>
              </w:rPr>
            </w:pPr>
          </w:p>
        </w:tc>
        <w:tc>
          <w:tcPr>
            <w:tcW w:w="80" w:type="dxa"/>
            <w:tcBorders>
              <w:right w:val="single" w:sz="4" w:space="0" w:color="auto"/>
            </w:tcBorders>
          </w:tcPr>
          <w:p w:rsidR="00376768" w:rsidRDefault="00376768">
            <w:pP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rPr>
                <w:rFonts w:ascii="Arial" w:hAnsi="Arial" w:cs="Arial"/>
                <w:sz w:val="16"/>
                <w:szCs w:val="18"/>
              </w:rPr>
            </w:pPr>
          </w:p>
        </w:tc>
        <w:tc>
          <w:tcPr>
            <w:tcW w:w="866" w:type="dxa"/>
            <w:tcBorders>
              <w:top w:val="single" w:sz="4" w:space="0" w:color="auto"/>
              <w:bottom w:val="single" w:sz="4" w:space="0" w:color="auto"/>
            </w:tcBorders>
            <w:vAlign w:val="center"/>
          </w:tcPr>
          <w:p w:rsidR="00376768" w:rsidRDefault="00EC2B72">
            <w:pPr>
              <w:jc w:val="center"/>
              <w:rPr>
                <w:rFonts w:ascii="Arial" w:hAnsi="Arial" w:cs="Arial"/>
                <w:sz w:val="16"/>
              </w:rPr>
            </w:pPr>
            <w:r>
              <w:rPr>
                <w:rFonts w:ascii="Arial" w:hAnsi="Arial" w:cs="Arial"/>
                <w:sz w:val="16"/>
                <w:szCs w:val="18"/>
              </w:rPr>
              <w:t>2/22/17</w:t>
            </w:r>
          </w:p>
        </w:tc>
        <w:tc>
          <w:tcPr>
            <w:tcW w:w="100"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8"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0"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6"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90"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3"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9"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18"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6"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9" w:type="dxa"/>
            <w:tcBorders>
              <w:top w:val="single" w:sz="4" w:space="0" w:color="auto"/>
              <w:bottom w:val="single" w:sz="4" w:space="0" w:color="auto"/>
            </w:tcBorders>
          </w:tcPr>
          <w:p w:rsidR="00376768" w:rsidRDefault="00376768">
            <w:pPr>
              <w:jc w:val="center"/>
              <w:rPr>
                <w:rFonts w:ascii="Arial" w:hAnsi="Arial" w:cs="Arial"/>
                <w:sz w:val="16"/>
                <w:szCs w:val="18"/>
              </w:rPr>
            </w:pPr>
          </w:p>
        </w:tc>
        <w:tc>
          <w:tcPr>
            <w:tcW w:w="926"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12,968</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6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752"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37,050</w:t>
            </w:r>
          </w:p>
        </w:tc>
        <w:tc>
          <w:tcPr>
            <w:tcW w:w="114"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68"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92,625</w:t>
            </w:r>
          </w:p>
        </w:tc>
        <w:tc>
          <w:tcPr>
            <w:tcW w:w="8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1114"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10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03"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500,175</w:t>
            </w:r>
          </w:p>
        </w:tc>
      </w:tr>
      <w:tr w:rsidR="00376768">
        <w:trPr>
          <w:cantSplit/>
        </w:trPr>
        <w:tc>
          <w:tcPr>
            <w:tcW w:w="1301" w:type="dxa"/>
            <w:vMerge/>
            <w:tcBorders>
              <w:left w:val="single" w:sz="4" w:space="0" w:color="auto"/>
              <w:bottom w:val="single" w:sz="4" w:space="0" w:color="auto"/>
            </w:tcBorders>
            <w:vAlign w:val="center"/>
          </w:tcPr>
          <w:p w:rsidR="00376768" w:rsidRDefault="00376768">
            <w:pPr>
              <w:rPr>
                <w:rFonts w:ascii="Arial" w:eastAsia="Arial Unicode MS" w:hAnsi="Arial" w:cs="Arial"/>
                <w:sz w:val="16"/>
              </w:rPr>
            </w:pPr>
          </w:p>
        </w:tc>
        <w:tc>
          <w:tcPr>
            <w:tcW w:w="80" w:type="dxa"/>
            <w:tcBorders>
              <w:bottom w:val="single" w:sz="4" w:space="0" w:color="auto"/>
              <w:right w:val="single" w:sz="4" w:space="0" w:color="auto"/>
            </w:tcBorders>
          </w:tcPr>
          <w:p w:rsidR="00376768" w:rsidRDefault="00376768">
            <w:pP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rPr>
                <w:rFonts w:ascii="Arial" w:hAnsi="Arial" w:cs="Arial"/>
                <w:sz w:val="16"/>
                <w:szCs w:val="18"/>
              </w:rPr>
            </w:pPr>
          </w:p>
        </w:tc>
        <w:tc>
          <w:tcPr>
            <w:tcW w:w="866" w:type="dxa"/>
            <w:tcBorders>
              <w:top w:val="single" w:sz="4" w:space="0" w:color="auto"/>
              <w:bottom w:val="single" w:sz="4" w:space="0" w:color="auto"/>
            </w:tcBorders>
            <w:vAlign w:val="center"/>
          </w:tcPr>
          <w:p w:rsidR="00376768" w:rsidRDefault="00EC2B72">
            <w:pPr>
              <w:jc w:val="center"/>
              <w:rPr>
                <w:rFonts w:ascii="Arial" w:hAnsi="Arial" w:cs="Arial"/>
                <w:sz w:val="16"/>
              </w:rPr>
            </w:pPr>
            <w:r>
              <w:rPr>
                <w:rFonts w:ascii="Arial" w:hAnsi="Arial" w:cs="Arial"/>
                <w:sz w:val="16"/>
                <w:szCs w:val="18"/>
              </w:rPr>
              <w:t>2/22/17</w:t>
            </w:r>
          </w:p>
        </w:tc>
        <w:tc>
          <w:tcPr>
            <w:tcW w:w="100"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8"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0"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6"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90"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3"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9"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18"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6"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9" w:type="dxa"/>
            <w:tcBorders>
              <w:top w:val="single" w:sz="4" w:space="0" w:color="auto"/>
              <w:bottom w:val="single" w:sz="4" w:space="0" w:color="auto"/>
            </w:tcBorders>
          </w:tcPr>
          <w:p w:rsidR="00376768" w:rsidRDefault="00376768">
            <w:pPr>
              <w:jc w:val="center"/>
              <w:rPr>
                <w:rFonts w:ascii="Arial" w:hAnsi="Arial" w:cs="Arial"/>
                <w:sz w:val="16"/>
                <w:szCs w:val="18"/>
              </w:rPr>
            </w:pPr>
          </w:p>
        </w:tc>
        <w:tc>
          <w:tcPr>
            <w:tcW w:w="926"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6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752"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114"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68"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1114"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12,350</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10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03"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166,725</w:t>
            </w:r>
          </w:p>
        </w:tc>
      </w:tr>
      <w:tr w:rsidR="00376768">
        <w:trPr>
          <w:trHeight w:val="120"/>
        </w:trPr>
        <w:tc>
          <w:tcPr>
            <w:tcW w:w="1301" w:type="dxa"/>
            <w:tcBorders>
              <w:top w:val="single" w:sz="4" w:space="0" w:color="auto"/>
              <w:left w:val="single" w:sz="4" w:space="0" w:color="auto"/>
              <w:bottom w:val="single" w:sz="4" w:space="0" w:color="auto"/>
            </w:tcBorders>
            <w:vAlign w:val="center"/>
          </w:tcPr>
          <w:p w:rsidR="00376768" w:rsidRDefault="00376768">
            <w:pPr>
              <w:rPr>
                <w:rFonts w:ascii="Arial" w:eastAsia="Arial Unicode MS" w:hAnsi="Arial" w:cs="Arial"/>
                <w:sz w:val="16"/>
              </w:rPr>
            </w:pPr>
          </w:p>
        </w:tc>
        <w:tc>
          <w:tcPr>
            <w:tcW w:w="80" w:type="dxa"/>
            <w:tcBorders>
              <w:top w:val="single" w:sz="4" w:space="0" w:color="auto"/>
              <w:bottom w:val="single" w:sz="4" w:space="0" w:color="auto"/>
              <w:right w:val="single" w:sz="4" w:space="0" w:color="auto"/>
            </w:tcBorders>
          </w:tcPr>
          <w:p w:rsidR="00376768" w:rsidRDefault="00376768">
            <w:pPr>
              <w:rPr>
                <w:rFonts w:ascii="Arial" w:eastAsia="Arial Unicode MS" w:hAnsi="Arial" w:cs="Arial"/>
                <w:sz w:val="16"/>
              </w:rPr>
            </w:pPr>
          </w:p>
        </w:tc>
        <w:tc>
          <w:tcPr>
            <w:tcW w:w="87" w:type="dxa"/>
            <w:tcBorders>
              <w:top w:val="single" w:sz="4" w:space="0" w:color="auto"/>
              <w:left w:val="single" w:sz="4" w:space="0" w:color="auto"/>
              <w:bottom w:val="single" w:sz="4" w:space="0" w:color="auto"/>
            </w:tcBorders>
          </w:tcPr>
          <w:p w:rsidR="00376768" w:rsidRDefault="00376768">
            <w:pPr>
              <w:rPr>
                <w:rFonts w:ascii="Arial" w:eastAsia="Arial Unicode MS" w:hAnsi="Arial" w:cs="Arial"/>
                <w:sz w:val="16"/>
              </w:rPr>
            </w:pPr>
          </w:p>
        </w:tc>
        <w:tc>
          <w:tcPr>
            <w:tcW w:w="866" w:type="dxa"/>
            <w:tcBorders>
              <w:top w:val="single" w:sz="4" w:space="0" w:color="auto"/>
              <w:bottom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c>
          <w:tcPr>
            <w:tcW w:w="100" w:type="dxa"/>
            <w:tcBorders>
              <w:top w:val="single" w:sz="4" w:space="0" w:color="auto"/>
              <w:bottom w:val="single" w:sz="4" w:space="0" w:color="auto"/>
              <w:right w:val="single" w:sz="4" w:space="0" w:color="auto"/>
            </w:tcBorders>
          </w:tcPr>
          <w:p w:rsidR="00376768" w:rsidRDefault="00376768">
            <w:pPr>
              <w:jc w:val="center"/>
              <w:rPr>
                <w:rFonts w:ascii="Arial" w:eastAsia="Arial Unicode MS" w:hAnsi="Arial" w:cs="Arial"/>
                <w:sz w:val="16"/>
              </w:rPr>
            </w:pPr>
          </w:p>
        </w:tc>
        <w:tc>
          <w:tcPr>
            <w:tcW w:w="88" w:type="dxa"/>
            <w:tcBorders>
              <w:top w:val="single" w:sz="4" w:space="0" w:color="auto"/>
              <w:left w:val="single" w:sz="4" w:space="0" w:color="auto"/>
              <w:bottom w:val="single" w:sz="4" w:space="0" w:color="auto"/>
            </w:tcBorders>
          </w:tcPr>
          <w:p w:rsidR="00376768" w:rsidRDefault="00376768">
            <w:pPr>
              <w:jc w:val="center"/>
              <w:rPr>
                <w:rFonts w:ascii="Arial" w:eastAsia="Arial Unicode MS" w:hAnsi="Arial" w:cs="Arial"/>
                <w:sz w:val="16"/>
              </w:rPr>
            </w:pPr>
          </w:p>
        </w:tc>
        <w:tc>
          <w:tcPr>
            <w:tcW w:w="840" w:type="dxa"/>
            <w:tcBorders>
              <w:top w:val="single" w:sz="4" w:space="0" w:color="auto"/>
              <w:bottom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c>
          <w:tcPr>
            <w:tcW w:w="86" w:type="dxa"/>
            <w:tcBorders>
              <w:top w:val="single" w:sz="4" w:space="0" w:color="auto"/>
              <w:bottom w:val="single" w:sz="4" w:space="0" w:color="auto"/>
              <w:right w:val="single" w:sz="4" w:space="0" w:color="auto"/>
            </w:tcBorders>
          </w:tcPr>
          <w:p w:rsidR="00376768" w:rsidRDefault="00376768">
            <w:pPr>
              <w:jc w:val="center"/>
              <w:rPr>
                <w:rFonts w:ascii="Arial" w:eastAsia="Arial Unicode MS" w:hAnsi="Arial" w:cs="Arial"/>
                <w:sz w:val="16"/>
              </w:rPr>
            </w:pPr>
          </w:p>
        </w:tc>
        <w:tc>
          <w:tcPr>
            <w:tcW w:w="90" w:type="dxa"/>
            <w:tcBorders>
              <w:top w:val="single" w:sz="4" w:space="0" w:color="auto"/>
              <w:left w:val="single" w:sz="4" w:space="0" w:color="auto"/>
              <w:bottom w:val="single" w:sz="4" w:space="0" w:color="auto"/>
            </w:tcBorders>
          </w:tcPr>
          <w:p w:rsidR="00376768" w:rsidRDefault="00376768">
            <w:pPr>
              <w:jc w:val="center"/>
              <w:rPr>
                <w:rFonts w:ascii="Arial" w:eastAsia="Arial Unicode MS" w:hAnsi="Arial" w:cs="Arial"/>
                <w:sz w:val="16"/>
              </w:rPr>
            </w:pPr>
          </w:p>
        </w:tc>
        <w:tc>
          <w:tcPr>
            <w:tcW w:w="843" w:type="dxa"/>
            <w:tcBorders>
              <w:top w:val="single" w:sz="4" w:space="0" w:color="auto"/>
              <w:bottom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c>
          <w:tcPr>
            <w:tcW w:w="89" w:type="dxa"/>
            <w:tcBorders>
              <w:top w:val="single" w:sz="4" w:space="0" w:color="auto"/>
              <w:bottom w:val="single" w:sz="4" w:space="0" w:color="auto"/>
              <w:right w:val="single" w:sz="4" w:space="0" w:color="auto"/>
            </w:tcBorders>
          </w:tcPr>
          <w:p w:rsidR="00376768" w:rsidRDefault="00376768">
            <w:pPr>
              <w:jc w:val="center"/>
              <w:rPr>
                <w:rFonts w:ascii="Arial" w:eastAsia="Arial Unicode MS" w:hAnsi="Arial" w:cs="Arial"/>
                <w:sz w:val="16"/>
              </w:rPr>
            </w:pPr>
          </w:p>
        </w:tc>
        <w:tc>
          <w:tcPr>
            <w:tcW w:w="87" w:type="dxa"/>
            <w:tcBorders>
              <w:top w:val="single" w:sz="4" w:space="0" w:color="auto"/>
              <w:left w:val="single" w:sz="4" w:space="0" w:color="auto"/>
              <w:bottom w:val="single" w:sz="4" w:space="0" w:color="auto"/>
            </w:tcBorders>
          </w:tcPr>
          <w:p w:rsidR="00376768" w:rsidRDefault="00376768">
            <w:pPr>
              <w:jc w:val="center"/>
              <w:rPr>
                <w:rFonts w:ascii="Arial" w:eastAsia="Arial Unicode MS" w:hAnsi="Arial" w:cs="Arial"/>
                <w:sz w:val="16"/>
              </w:rPr>
            </w:pPr>
          </w:p>
        </w:tc>
        <w:tc>
          <w:tcPr>
            <w:tcW w:w="918"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c>
          <w:tcPr>
            <w:tcW w:w="86" w:type="dxa"/>
            <w:tcBorders>
              <w:top w:val="single" w:sz="4" w:space="0" w:color="auto"/>
              <w:left w:val="single" w:sz="4" w:space="0" w:color="auto"/>
              <w:bottom w:val="single" w:sz="4" w:space="0" w:color="auto"/>
            </w:tcBorders>
          </w:tcPr>
          <w:p w:rsidR="00376768" w:rsidRDefault="00376768">
            <w:pPr>
              <w:jc w:val="center"/>
              <w:rPr>
                <w:rFonts w:ascii="Arial" w:eastAsia="Arial Unicode MS" w:hAnsi="Arial" w:cs="Arial"/>
                <w:sz w:val="16"/>
              </w:rPr>
            </w:pPr>
          </w:p>
        </w:tc>
        <w:tc>
          <w:tcPr>
            <w:tcW w:w="89" w:type="dxa"/>
            <w:tcBorders>
              <w:top w:val="single" w:sz="4" w:space="0" w:color="auto"/>
              <w:bottom w:val="single" w:sz="4" w:space="0" w:color="auto"/>
            </w:tcBorders>
          </w:tcPr>
          <w:p w:rsidR="00376768" w:rsidRDefault="00376768">
            <w:pPr>
              <w:jc w:val="center"/>
              <w:rPr>
                <w:rFonts w:ascii="Arial" w:eastAsia="Arial Unicode MS" w:hAnsi="Arial" w:cs="Arial"/>
                <w:sz w:val="16"/>
              </w:rPr>
            </w:pPr>
          </w:p>
        </w:tc>
        <w:tc>
          <w:tcPr>
            <w:tcW w:w="926" w:type="dxa"/>
            <w:tcBorders>
              <w:top w:val="single" w:sz="4" w:space="0" w:color="auto"/>
              <w:bottom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c>
          <w:tcPr>
            <w:tcW w:w="73" w:type="dxa"/>
            <w:tcBorders>
              <w:top w:val="single" w:sz="4" w:space="0" w:color="auto"/>
              <w:bottom w:val="single" w:sz="4" w:space="0" w:color="auto"/>
              <w:right w:val="single" w:sz="4" w:space="0" w:color="auto"/>
            </w:tcBorders>
          </w:tcPr>
          <w:p w:rsidR="00376768" w:rsidRDefault="00376768">
            <w:pPr>
              <w:jc w:val="center"/>
              <w:rPr>
                <w:rFonts w:ascii="Arial" w:eastAsia="Arial Unicode MS" w:hAnsi="Arial" w:cs="Arial"/>
                <w:sz w:val="16"/>
              </w:rPr>
            </w:pPr>
          </w:p>
        </w:tc>
        <w:tc>
          <w:tcPr>
            <w:tcW w:w="69" w:type="dxa"/>
            <w:tcBorders>
              <w:top w:val="single" w:sz="4" w:space="0" w:color="auto"/>
              <w:left w:val="single" w:sz="4" w:space="0" w:color="auto"/>
              <w:bottom w:val="single" w:sz="4" w:space="0" w:color="auto"/>
            </w:tcBorders>
          </w:tcPr>
          <w:p w:rsidR="00376768" w:rsidRDefault="00376768">
            <w:pPr>
              <w:jc w:val="center"/>
              <w:rPr>
                <w:rFonts w:ascii="Arial" w:eastAsia="Arial Unicode MS" w:hAnsi="Arial" w:cs="Arial"/>
                <w:sz w:val="16"/>
              </w:rPr>
            </w:pPr>
          </w:p>
        </w:tc>
        <w:tc>
          <w:tcPr>
            <w:tcW w:w="752" w:type="dxa"/>
            <w:tcBorders>
              <w:top w:val="single" w:sz="4" w:space="0" w:color="auto"/>
              <w:bottom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c>
          <w:tcPr>
            <w:tcW w:w="114" w:type="dxa"/>
            <w:tcBorders>
              <w:top w:val="single" w:sz="4" w:space="0" w:color="auto"/>
              <w:bottom w:val="single" w:sz="4" w:space="0" w:color="auto"/>
              <w:right w:val="single" w:sz="4" w:space="0" w:color="auto"/>
            </w:tcBorders>
          </w:tcPr>
          <w:p w:rsidR="00376768" w:rsidRDefault="00376768">
            <w:pPr>
              <w:jc w:val="center"/>
              <w:rPr>
                <w:rFonts w:ascii="Arial" w:eastAsia="Arial Unicode MS" w:hAnsi="Arial" w:cs="Arial"/>
                <w:sz w:val="16"/>
              </w:rPr>
            </w:pPr>
          </w:p>
        </w:tc>
        <w:tc>
          <w:tcPr>
            <w:tcW w:w="79" w:type="dxa"/>
            <w:tcBorders>
              <w:top w:val="single" w:sz="4" w:space="0" w:color="auto"/>
              <w:left w:val="single" w:sz="4" w:space="0" w:color="auto"/>
              <w:bottom w:val="single" w:sz="4" w:space="0" w:color="auto"/>
            </w:tcBorders>
          </w:tcPr>
          <w:p w:rsidR="00376768" w:rsidRDefault="00376768">
            <w:pPr>
              <w:jc w:val="center"/>
              <w:rPr>
                <w:rFonts w:ascii="Arial" w:eastAsia="Arial Unicode MS" w:hAnsi="Arial" w:cs="Arial"/>
                <w:sz w:val="16"/>
              </w:rPr>
            </w:pPr>
          </w:p>
        </w:tc>
        <w:tc>
          <w:tcPr>
            <w:tcW w:w="868" w:type="dxa"/>
            <w:tcBorders>
              <w:top w:val="single" w:sz="4" w:space="0" w:color="auto"/>
              <w:bottom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c>
          <w:tcPr>
            <w:tcW w:w="83" w:type="dxa"/>
            <w:tcBorders>
              <w:top w:val="single" w:sz="4" w:space="0" w:color="auto"/>
              <w:bottom w:val="single" w:sz="4" w:space="0" w:color="auto"/>
              <w:right w:val="single" w:sz="4" w:space="0" w:color="auto"/>
            </w:tcBorders>
          </w:tcPr>
          <w:p w:rsidR="00376768" w:rsidRDefault="00376768">
            <w:pPr>
              <w:jc w:val="center"/>
              <w:rPr>
                <w:rFonts w:ascii="Arial" w:eastAsia="Arial Unicode MS" w:hAnsi="Arial" w:cs="Arial"/>
                <w:sz w:val="16"/>
              </w:rPr>
            </w:pPr>
          </w:p>
        </w:tc>
        <w:tc>
          <w:tcPr>
            <w:tcW w:w="73" w:type="dxa"/>
            <w:tcBorders>
              <w:top w:val="single" w:sz="4" w:space="0" w:color="auto"/>
              <w:left w:val="single" w:sz="4" w:space="0" w:color="auto"/>
              <w:bottom w:val="single" w:sz="4" w:space="0" w:color="auto"/>
            </w:tcBorders>
          </w:tcPr>
          <w:p w:rsidR="00376768" w:rsidRDefault="00376768">
            <w:pPr>
              <w:jc w:val="center"/>
              <w:rPr>
                <w:rFonts w:ascii="Arial" w:eastAsia="Arial Unicode MS" w:hAnsi="Arial" w:cs="Arial"/>
                <w:sz w:val="16"/>
              </w:rPr>
            </w:pPr>
          </w:p>
        </w:tc>
        <w:tc>
          <w:tcPr>
            <w:tcW w:w="1114" w:type="dxa"/>
            <w:tcBorders>
              <w:top w:val="single" w:sz="4" w:space="0" w:color="auto"/>
              <w:bottom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c>
          <w:tcPr>
            <w:tcW w:w="73" w:type="dxa"/>
            <w:tcBorders>
              <w:top w:val="single" w:sz="4" w:space="0" w:color="auto"/>
              <w:bottom w:val="single" w:sz="4" w:space="0" w:color="auto"/>
              <w:right w:val="single" w:sz="4" w:space="0" w:color="auto"/>
            </w:tcBorders>
          </w:tcPr>
          <w:p w:rsidR="00376768" w:rsidRDefault="00376768">
            <w:pPr>
              <w:jc w:val="center"/>
              <w:rPr>
                <w:rFonts w:ascii="Arial" w:eastAsia="Arial Unicode MS" w:hAnsi="Arial" w:cs="Arial"/>
                <w:sz w:val="16"/>
              </w:rPr>
            </w:pPr>
          </w:p>
        </w:tc>
        <w:tc>
          <w:tcPr>
            <w:tcW w:w="103" w:type="dxa"/>
            <w:tcBorders>
              <w:top w:val="single" w:sz="4" w:space="0" w:color="auto"/>
              <w:left w:val="single" w:sz="4" w:space="0" w:color="auto"/>
              <w:bottom w:val="single" w:sz="4" w:space="0" w:color="auto"/>
            </w:tcBorders>
          </w:tcPr>
          <w:p w:rsidR="00376768" w:rsidRDefault="00376768">
            <w:pPr>
              <w:jc w:val="center"/>
              <w:rPr>
                <w:rFonts w:ascii="Arial" w:eastAsia="Arial Unicode MS" w:hAnsi="Arial" w:cs="Arial"/>
                <w:sz w:val="16"/>
              </w:rPr>
            </w:pPr>
          </w:p>
        </w:tc>
        <w:tc>
          <w:tcPr>
            <w:tcW w:w="903"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r>
      <w:tr w:rsidR="00376768">
        <w:trPr>
          <w:cantSplit/>
        </w:trPr>
        <w:tc>
          <w:tcPr>
            <w:tcW w:w="1301" w:type="dxa"/>
            <w:vMerge w:val="restart"/>
            <w:tcBorders>
              <w:top w:val="single" w:sz="4" w:space="0" w:color="auto"/>
              <w:left w:val="single" w:sz="4" w:space="0" w:color="auto"/>
            </w:tcBorders>
            <w:vAlign w:val="center"/>
          </w:tcPr>
          <w:p w:rsidR="00376768" w:rsidRDefault="00EC2B72">
            <w:pPr>
              <w:ind w:left="58"/>
              <w:rPr>
                <w:rFonts w:ascii="Arial" w:hAnsi="Arial" w:cs="Arial"/>
                <w:sz w:val="16"/>
              </w:rPr>
            </w:pPr>
            <w:r>
              <w:rPr>
                <w:rFonts w:ascii="Arial" w:hAnsi="Arial" w:cs="Arial"/>
                <w:sz w:val="16"/>
                <w:szCs w:val="18"/>
              </w:rPr>
              <w:t>James P. Maloney</w:t>
            </w:r>
          </w:p>
        </w:tc>
        <w:tc>
          <w:tcPr>
            <w:tcW w:w="80" w:type="dxa"/>
            <w:tcBorders>
              <w:top w:val="single" w:sz="4" w:space="0" w:color="auto"/>
              <w:right w:val="single" w:sz="4" w:space="0" w:color="auto"/>
            </w:tcBorders>
          </w:tcPr>
          <w:p w:rsidR="00376768" w:rsidRDefault="00376768">
            <w:pP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rPr>
                <w:rFonts w:ascii="Arial" w:hAnsi="Arial" w:cs="Arial"/>
                <w:sz w:val="16"/>
                <w:szCs w:val="18"/>
              </w:rPr>
            </w:pPr>
          </w:p>
        </w:tc>
        <w:tc>
          <w:tcPr>
            <w:tcW w:w="866"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100"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8"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0"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8,498</w:t>
            </w:r>
          </w:p>
        </w:tc>
        <w:tc>
          <w:tcPr>
            <w:tcW w:w="86"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90"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3"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45,938</w:t>
            </w:r>
          </w:p>
        </w:tc>
        <w:tc>
          <w:tcPr>
            <w:tcW w:w="89"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18"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91,876</w:t>
            </w:r>
          </w:p>
        </w:tc>
        <w:tc>
          <w:tcPr>
            <w:tcW w:w="86"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9" w:type="dxa"/>
            <w:tcBorders>
              <w:top w:val="single" w:sz="4" w:space="0" w:color="auto"/>
              <w:bottom w:val="single" w:sz="4" w:space="0" w:color="auto"/>
            </w:tcBorders>
          </w:tcPr>
          <w:p w:rsidR="00376768" w:rsidRDefault="00376768">
            <w:pPr>
              <w:jc w:val="center"/>
              <w:rPr>
                <w:rFonts w:ascii="Arial" w:hAnsi="Arial" w:cs="Arial"/>
                <w:sz w:val="16"/>
                <w:szCs w:val="18"/>
              </w:rPr>
            </w:pPr>
          </w:p>
        </w:tc>
        <w:tc>
          <w:tcPr>
            <w:tcW w:w="926"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6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752"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114"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68"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1114"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10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03"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r>
      <w:tr w:rsidR="00376768">
        <w:trPr>
          <w:cantSplit/>
        </w:trPr>
        <w:tc>
          <w:tcPr>
            <w:tcW w:w="1301" w:type="dxa"/>
            <w:vMerge/>
            <w:tcBorders>
              <w:left w:val="single" w:sz="4" w:space="0" w:color="auto"/>
            </w:tcBorders>
            <w:vAlign w:val="center"/>
          </w:tcPr>
          <w:p w:rsidR="00376768" w:rsidRDefault="00376768">
            <w:pPr>
              <w:rPr>
                <w:rFonts w:ascii="Arial" w:eastAsia="Arial Unicode MS" w:hAnsi="Arial" w:cs="Arial"/>
                <w:sz w:val="16"/>
              </w:rPr>
            </w:pPr>
          </w:p>
        </w:tc>
        <w:tc>
          <w:tcPr>
            <w:tcW w:w="80" w:type="dxa"/>
            <w:tcBorders>
              <w:right w:val="single" w:sz="4" w:space="0" w:color="auto"/>
            </w:tcBorders>
          </w:tcPr>
          <w:p w:rsidR="00376768" w:rsidRDefault="00376768">
            <w:pP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rPr>
                <w:rFonts w:ascii="Arial" w:hAnsi="Arial" w:cs="Arial"/>
                <w:sz w:val="16"/>
                <w:szCs w:val="18"/>
              </w:rPr>
            </w:pPr>
          </w:p>
        </w:tc>
        <w:tc>
          <w:tcPr>
            <w:tcW w:w="866" w:type="dxa"/>
            <w:tcBorders>
              <w:top w:val="single" w:sz="4" w:space="0" w:color="auto"/>
              <w:bottom w:val="single" w:sz="4" w:space="0" w:color="auto"/>
            </w:tcBorders>
            <w:vAlign w:val="center"/>
          </w:tcPr>
          <w:p w:rsidR="00376768" w:rsidRDefault="00EC2B72">
            <w:pPr>
              <w:jc w:val="center"/>
              <w:rPr>
                <w:rFonts w:ascii="Arial" w:hAnsi="Arial" w:cs="Arial"/>
                <w:sz w:val="16"/>
              </w:rPr>
            </w:pPr>
            <w:r>
              <w:rPr>
                <w:rFonts w:ascii="Arial" w:hAnsi="Arial" w:cs="Arial"/>
                <w:sz w:val="16"/>
                <w:szCs w:val="18"/>
              </w:rPr>
              <w:t>9/18/2017</w:t>
            </w:r>
          </w:p>
        </w:tc>
        <w:tc>
          <w:tcPr>
            <w:tcW w:w="100"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8"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0"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6"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90"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3"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9"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18"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6"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9" w:type="dxa"/>
            <w:tcBorders>
              <w:top w:val="single" w:sz="4" w:space="0" w:color="auto"/>
              <w:bottom w:val="single" w:sz="4" w:space="0" w:color="auto"/>
            </w:tcBorders>
          </w:tcPr>
          <w:p w:rsidR="00376768" w:rsidRDefault="00376768">
            <w:pPr>
              <w:jc w:val="center"/>
              <w:rPr>
                <w:rFonts w:ascii="Arial" w:hAnsi="Arial" w:cs="Arial"/>
                <w:sz w:val="16"/>
                <w:szCs w:val="18"/>
              </w:rPr>
            </w:pPr>
          </w:p>
        </w:tc>
        <w:tc>
          <w:tcPr>
            <w:tcW w:w="926"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2,931</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6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752"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8,375</w:t>
            </w:r>
          </w:p>
        </w:tc>
        <w:tc>
          <w:tcPr>
            <w:tcW w:w="114"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68"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20,938</w:t>
            </w:r>
          </w:p>
        </w:tc>
        <w:tc>
          <w:tcPr>
            <w:tcW w:w="8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1114"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10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03"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168,756</w:t>
            </w:r>
          </w:p>
        </w:tc>
      </w:tr>
      <w:tr w:rsidR="00376768">
        <w:trPr>
          <w:cantSplit/>
        </w:trPr>
        <w:tc>
          <w:tcPr>
            <w:tcW w:w="1301" w:type="dxa"/>
            <w:vMerge/>
            <w:tcBorders>
              <w:left w:val="single" w:sz="4" w:space="0" w:color="auto"/>
              <w:bottom w:val="single" w:sz="4" w:space="0" w:color="auto"/>
            </w:tcBorders>
            <w:vAlign w:val="center"/>
          </w:tcPr>
          <w:p w:rsidR="00376768" w:rsidRDefault="00376768">
            <w:pPr>
              <w:rPr>
                <w:rFonts w:ascii="Arial" w:eastAsia="Arial Unicode MS" w:hAnsi="Arial" w:cs="Arial"/>
                <w:sz w:val="16"/>
              </w:rPr>
            </w:pPr>
          </w:p>
        </w:tc>
        <w:tc>
          <w:tcPr>
            <w:tcW w:w="80" w:type="dxa"/>
            <w:tcBorders>
              <w:bottom w:val="single" w:sz="4" w:space="0" w:color="auto"/>
              <w:right w:val="single" w:sz="4" w:space="0" w:color="auto"/>
            </w:tcBorders>
          </w:tcPr>
          <w:p w:rsidR="00376768" w:rsidRDefault="00376768">
            <w:pP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rPr>
                <w:rFonts w:ascii="Arial" w:hAnsi="Arial" w:cs="Arial"/>
                <w:sz w:val="16"/>
                <w:szCs w:val="18"/>
              </w:rPr>
            </w:pPr>
          </w:p>
        </w:tc>
        <w:tc>
          <w:tcPr>
            <w:tcW w:w="866" w:type="dxa"/>
            <w:tcBorders>
              <w:top w:val="single" w:sz="4" w:space="0" w:color="auto"/>
              <w:bottom w:val="single" w:sz="4" w:space="0" w:color="auto"/>
            </w:tcBorders>
            <w:vAlign w:val="center"/>
          </w:tcPr>
          <w:p w:rsidR="00376768" w:rsidRDefault="00EC2B72">
            <w:pPr>
              <w:jc w:val="center"/>
              <w:rPr>
                <w:rFonts w:ascii="Arial" w:hAnsi="Arial" w:cs="Arial"/>
                <w:sz w:val="16"/>
              </w:rPr>
            </w:pPr>
            <w:r>
              <w:rPr>
                <w:rFonts w:ascii="Arial" w:hAnsi="Arial" w:cs="Arial"/>
                <w:sz w:val="16"/>
                <w:szCs w:val="18"/>
              </w:rPr>
              <w:t>---</w:t>
            </w:r>
          </w:p>
        </w:tc>
        <w:tc>
          <w:tcPr>
            <w:tcW w:w="100"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8"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0"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6"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90"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3"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9"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18"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6"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9" w:type="dxa"/>
            <w:tcBorders>
              <w:top w:val="single" w:sz="4" w:space="0" w:color="auto"/>
              <w:bottom w:val="single" w:sz="4" w:space="0" w:color="auto"/>
            </w:tcBorders>
          </w:tcPr>
          <w:p w:rsidR="00376768" w:rsidRDefault="00376768">
            <w:pPr>
              <w:jc w:val="center"/>
              <w:rPr>
                <w:rFonts w:ascii="Arial" w:hAnsi="Arial" w:cs="Arial"/>
                <w:sz w:val="16"/>
                <w:szCs w:val="18"/>
              </w:rPr>
            </w:pPr>
          </w:p>
        </w:tc>
        <w:tc>
          <w:tcPr>
            <w:tcW w:w="926"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6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752"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114"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68"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1114"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2,792</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10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03"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56,259</w:t>
            </w:r>
          </w:p>
        </w:tc>
      </w:tr>
      <w:tr w:rsidR="00376768">
        <w:trPr>
          <w:trHeight w:val="120"/>
        </w:trPr>
        <w:tc>
          <w:tcPr>
            <w:tcW w:w="1301" w:type="dxa"/>
            <w:tcBorders>
              <w:top w:val="single" w:sz="4" w:space="0" w:color="auto"/>
              <w:left w:val="single" w:sz="4" w:space="0" w:color="auto"/>
              <w:bottom w:val="single" w:sz="4" w:space="0" w:color="auto"/>
            </w:tcBorders>
            <w:vAlign w:val="center"/>
          </w:tcPr>
          <w:p w:rsidR="00376768" w:rsidRDefault="00376768">
            <w:pPr>
              <w:rPr>
                <w:rFonts w:ascii="Arial" w:eastAsia="Arial Unicode MS" w:hAnsi="Arial" w:cs="Arial"/>
                <w:sz w:val="16"/>
              </w:rPr>
            </w:pPr>
          </w:p>
        </w:tc>
        <w:tc>
          <w:tcPr>
            <w:tcW w:w="80" w:type="dxa"/>
            <w:tcBorders>
              <w:top w:val="single" w:sz="4" w:space="0" w:color="auto"/>
              <w:bottom w:val="single" w:sz="4" w:space="0" w:color="auto"/>
              <w:right w:val="single" w:sz="4" w:space="0" w:color="auto"/>
            </w:tcBorders>
          </w:tcPr>
          <w:p w:rsidR="00376768" w:rsidRDefault="00376768">
            <w:pPr>
              <w:rPr>
                <w:rFonts w:ascii="Arial" w:eastAsia="Arial Unicode MS" w:hAnsi="Arial" w:cs="Arial"/>
                <w:sz w:val="16"/>
              </w:rPr>
            </w:pPr>
          </w:p>
        </w:tc>
        <w:tc>
          <w:tcPr>
            <w:tcW w:w="87" w:type="dxa"/>
            <w:tcBorders>
              <w:top w:val="single" w:sz="4" w:space="0" w:color="auto"/>
              <w:left w:val="single" w:sz="4" w:space="0" w:color="auto"/>
              <w:bottom w:val="single" w:sz="4" w:space="0" w:color="auto"/>
            </w:tcBorders>
          </w:tcPr>
          <w:p w:rsidR="00376768" w:rsidRDefault="00376768">
            <w:pPr>
              <w:rPr>
                <w:rFonts w:ascii="Arial" w:eastAsia="Arial Unicode MS" w:hAnsi="Arial" w:cs="Arial"/>
                <w:sz w:val="16"/>
              </w:rPr>
            </w:pPr>
          </w:p>
        </w:tc>
        <w:tc>
          <w:tcPr>
            <w:tcW w:w="866" w:type="dxa"/>
            <w:tcBorders>
              <w:top w:val="single" w:sz="4" w:space="0" w:color="auto"/>
              <w:bottom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c>
          <w:tcPr>
            <w:tcW w:w="100" w:type="dxa"/>
            <w:tcBorders>
              <w:top w:val="single" w:sz="4" w:space="0" w:color="auto"/>
              <w:bottom w:val="single" w:sz="4" w:space="0" w:color="auto"/>
              <w:right w:val="single" w:sz="4" w:space="0" w:color="auto"/>
            </w:tcBorders>
          </w:tcPr>
          <w:p w:rsidR="00376768" w:rsidRDefault="00376768">
            <w:pPr>
              <w:jc w:val="center"/>
              <w:rPr>
                <w:rFonts w:ascii="Arial" w:eastAsia="Arial Unicode MS" w:hAnsi="Arial" w:cs="Arial"/>
                <w:sz w:val="16"/>
              </w:rPr>
            </w:pPr>
          </w:p>
        </w:tc>
        <w:tc>
          <w:tcPr>
            <w:tcW w:w="88" w:type="dxa"/>
            <w:tcBorders>
              <w:top w:val="single" w:sz="4" w:space="0" w:color="auto"/>
              <w:left w:val="single" w:sz="4" w:space="0" w:color="auto"/>
              <w:bottom w:val="single" w:sz="4" w:space="0" w:color="auto"/>
            </w:tcBorders>
          </w:tcPr>
          <w:p w:rsidR="00376768" w:rsidRDefault="00376768">
            <w:pPr>
              <w:jc w:val="center"/>
              <w:rPr>
                <w:rFonts w:ascii="Arial" w:eastAsia="Arial Unicode MS" w:hAnsi="Arial" w:cs="Arial"/>
                <w:sz w:val="16"/>
              </w:rPr>
            </w:pPr>
          </w:p>
        </w:tc>
        <w:tc>
          <w:tcPr>
            <w:tcW w:w="840" w:type="dxa"/>
            <w:tcBorders>
              <w:top w:val="single" w:sz="4" w:space="0" w:color="auto"/>
              <w:bottom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c>
          <w:tcPr>
            <w:tcW w:w="86" w:type="dxa"/>
            <w:tcBorders>
              <w:top w:val="single" w:sz="4" w:space="0" w:color="auto"/>
              <w:bottom w:val="single" w:sz="4" w:space="0" w:color="auto"/>
              <w:right w:val="single" w:sz="4" w:space="0" w:color="auto"/>
            </w:tcBorders>
          </w:tcPr>
          <w:p w:rsidR="00376768" w:rsidRDefault="00376768">
            <w:pPr>
              <w:jc w:val="center"/>
              <w:rPr>
                <w:rFonts w:ascii="Arial" w:eastAsia="Arial Unicode MS" w:hAnsi="Arial" w:cs="Arial"/>
                <w:sz w:val="16"/>
              </w:rPr>
            </w:pPr>
          </w:p>
        </w:tc>
        <w:tc>
          <w:tcPr>
            <w:tcW w:w="90" w:type="dxa"/>
            <w:tcBorders>
              <w:top w:val="single" w:sz="4" w:space="0" w:color="auto"/>
              <w:left w:val="single" w:sz="4" w:space="0" w:color="auto"/>
              <w:bottom w:val="single" w:sz="4" w:space="0" w:color="auto"/>
            </w:tcBorders>
          </w:tcPr>
          <w:p w:rsidR="00376768" w:rsidRDefault="00376768">
            <w:pPr>
              <w:jc w:val="center"/>
              <w:rPr>
                <w:rFonts w:ascii="Arial" w:eastAsia="Arial Unicode MS" w:hAnsi="Arial" w:cs="Arial"/>
                <w:sz w:val="16"/>
              </w:rPr>
            </w:pPr>
          </w:p>
        </w:tc>
        <w:tc>
          <w:tcPr>
            <w:tcW w:w="843" w:type="dxa"/>
            <w:tcBorders>
              <w:top w:val="single" w:sz="4" w:space="0" w:color="auto"/>
              <w:bottom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c>
          <w:tcPr>
            <w:tcW w:w="89" w:type="dxa"/>
            <w:tcBorders>
              <w:top w:val="single" w:sz="4" w:space="0" w:color="auto"/>
              <w:bottom w:val="single" w:sz="4" w:space="0" w:color="auto"/>
              <w:right w:val="single" w:sz="4" w:space="0" w:color="auto"/>
            </w:tcBorders>
          </w:tcPr>
          <w:p w:rsidR="00376768" w:rsidRDefault="00376768">
            <w:pPr>
              <w:jc w:val="center"/>
              <w:rPr>
                <w:rFonts w:ascii="Arial" w:eastAsia="Arial Unicode MS" w:hAnsi="Arial" w:cs="Arial"/>
                <w:sz w:val="16"/>
              </w:rPr>
            </w:pPr>
          </w:p>
        </w:tc>
        <w:tc>
          <w:tcPr>
            <w:tcW w:w="87" w:type="dxa"/>
            <w:tcBorders>
              <w:top w:val="single" w:sz="4" w:space="0" w:color="auto"/>
              <w:left w:val="single" w:sz="4" w:space="0" w:color="auto"/>
              <w:bottom w:val="single" w:sz="4" w:space="0" w:color="auto"/>
            </w:tcBorders>
          </w:tcPr>
          <w:p w:rsidR="00376768" w:rsidRDefault="00376768">
            <w:pPr>
              <w:jc w:val="center"/>
              <w:rPr>
                <w:rFonts w:ascii="Arial" w:eastAsia="Arial Unicode MS" w:hAnsi="Arial" w:cs="Arial"/>
                <w:sz w:val="16"/>
              </w:rPr>
            </w:pPr>
          </w:p>
        </w:tc>
        <w:tc>
          <w:tcPr>
            <w:tcW w:w="918"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c>
          <w:tcPr>
            <w:tcW w:w="86" w:type="dxa"/>
            <w:tcBorders>
              <w:top w:val="single" w:sz="4" w:space="0" w:color="auto"/>
              <w:left w:val="single" w:sz="4" w:space="0" w:color="auto"/>
              <w:bottom w:val="single" w:sz="4" w:space="0" w:color="auto"/>
            </w:tcBorders>
          </w:tcPr>
          <w:p w:rsidR="00376768" w:rsidRDefault="00376768">
            <w:pPr>
              <w:jc w:val="center"/>
              <w:rPr>
                <w:rFonts w:ascii="Arial" w:eastAsia="Arial Unicode MS" w:hAnsi="Arial" w:cs="Arial"/>
                <w:sz w:val="16"/>
              </w:rPr>
            </w:pPr>
          </w:p>
        </w:tc>
        <w:tc>
          <w:tcPr>
            <w:tcW w:w="89" w:type="dxa"/>
            <w:tcBorders>
              <w:top w:val="single" w:sz="4" w:space="0" w:color="auto"/>
              <w:bottom w:val="single" w:sz="4" w:space="0" w:color="auto"/>
            </w:tcBorders>
          </w:tcPr>
          <w:p w:rsidR="00376768" w:rsidRDefault="00376768">
            <w:pPr>
              <w:jc w:val="center"/>
              <w:rPr>
                <w:rFonts w:ascii="Arial" w:eastAsia="Arial Unicode MS" w:hAnsi="Arial" w:cs="Arial"/>
                <w:sz w:val="16"/>
              </w:rPr>
            </w:pPr>
          </w:p>
        </w:tc>
        <w:tc>
          <w:tcPr>
            <w:tcW w:w="926" w:type="dxa"/>
            <w:tcBorders>
              <w:top w:val="single" w:sz="4" w:space="0" w:color="auto"/>
              <w:bottom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c>
          <w:tcPr>
            <w:tcW w:w="73" w:type="dxa"/>
            <w:tcBorders>
              <w:top w:val="single" w:sz="4" w:space="0" w:color="auto"/>
              <w:bottom w:val="single" w:sz="4" w:space="0" w:color="auto"/>
              <w:right w:val="single" w:sz="4" w:space="0" w:color="auto"/>
            </w:tcBorders>
          </w:tcPr>
          <w:p w:rsidR="00376768" w:rsidRDefault="00376768">
            <w:pPr>
              <w:jc w:val="center"/>
              <w:rPr>
                <w:rFonts w:ascii="Arial" w:eastAsia="Arial Unicode MS" w:hAnsi="Arial" w:cs="Arial"/>
                <w:sz w:val="16"/>
              </w:rPr>
            </w:pPr>
          </w:p>
        </w:tc>
        <w:tc>
          <w:tcPr>
            <w:tcW w:w="69" w:type="dxa"/>
            <w:tcBorders>
              <w:top w:val="single" w:sz="4" w:space="0" w:color="auto"/>
              <w:left w:val="single" w:sz="4" w:space="0" w:color="auto"/>
              <w:bottom w:val="single" w:sz="4" w:space="0" w:color="auto"/>
            </w:tcBorders>
          </w:tcPr>
          <w:p w:rsidR="00376768" w:rsidRDefault="00376768">
            <w:pPr>
              <w:jc w:val="center"/>
              <w:rPr>
                <w:rFonts w:ascii="Arial" w:eastAsia="Arial Unicode MS" w:hAnsi="Arial" w:cs="Arial"/>
                <w:sz w:val="16"/>
              </w:rPr>
            </w:pPr>
          </w:p>
        </w:tc>
        <w:tc>
          <w:tcPr>
            <w:tcW w:w="752" w:type="dxa"/>
            <w:tcBorders>
              <w:top w:val="single" w:sz="4" w:space="0" w:color="auto"/>
              <w:bottom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c>
          <w:tcPr>
            <w:tcW w:w="114" w:type="dxa"/>
            <w:tcBorders>
              <w:top w:val="single" w:sz="4" w:space="0" w:color="auto"/>
              <w:bottom w:val="single" w:sz="4" w:space="0" w:color="auto"/>
              <w:right w:val="single" w:sz="4" w:space="0" w:color="auto"/>
            </w:tcBorders>
          </w:tcPr>
          <w:p w:rsidR="00376768" w:rsidRDefault="00376768">
            <w:pPr>
              <w:jc w:val="center"/>
              <w:rPr>
                <w:rFonts w:ascii="Arial" w:eastAsia="Arial Unicode MS" w:hAnsi="Arial" w:cs="Arial"/>
                <w:sz w:val="16"/>
              </w:rPr>
            </w:pPr>
          </w:p>
        </w:tc>
        <w:tc>
          <w:tcPr>
            <w:tcW w:w="79" w:type="dxa"/>
            <w:tcBorders>
              <w:top w:val="single" w:sz="4" w:space="0" w:color="auto"/>
              <w:left w:val="single" w:sz="4" w:space="0" w:color="auto"/>
              <w:bottom w:val="single" w:sz="4" w:space="0" w:color="auto"/>
            </w:tcBorders>
          </w:tcPr>
          <w:p w:rsidR="00376768" w:rsidRDefault="00376768">
            <w:pPr>
              <w:jc w:val="center"/>
              <w:rPr>
                <w:rFonts w:ascii="Arial" w:eastAsia="Arial Unicode MS" w:hAnsi="Arial" w:cs="Arial"/>
                <w:sz w:val="16"/>
              </w:rPr>
            </w:pPr>
          </w:p>
        </w:tc>
        <w:tc>
          <w:tcPr>
            <w:tcW w:w="868" w:type="dxa"/>
            <w:tcBorders>
              <w:top w:val="single" w:sz="4" w:space="0" w:color="auto"/>
              <w:bottom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c>
          <w:tcPr>
            <w:tcW w:w="83" w:type="dxa"/>
            <w:tcBorders>
              <w:top w:val="single" w:sz="4" w:space="0" w:color="auto"/>
              <w:bottom w:val="single" w:sz="4" w:space="0" w:color="auto"/>
              <w:right w:val="single" w:sz="4" w:space="0" w:color="auto"/>
            </w:tcBorders>
          </w:tcPr>
          <w:p w:rsidR="00376768" w:rsidRDefault="00376768">
            <w:pPr>
              <w:jc w:val="center"/>
              <w:rPr>
                <w:rFonts w:ascii="Arial" w:eastAsia="Arial Unicode MS" w:hAnsi="Arial" w:cs="Arial"/>
                <w:sz w:val="16"/>
              </w:rPr>
            </w:pPr>
          </w:p>
        </w:tc>
        <w:tc>
          <w:tcPr>
            <w:tcW w:w="73" w:type="dxa"/>
            <w:tcBorders>
              <w:top w:val="single" w:sz="4" w:space="0" w:color="auto"/>
              <w:left w:val="single" w:sz="4" w:space="0" w:color="auto"/>
              <w:bottom w:val="single" w:sz="4" w:space="0" w:color="auto"/>
            </w:tcBorders>
          </w:tcPr>
          <w:p w:rsidR="00376768" w:rsidRDefault="00376768">
            <w:pPr>
              <w:jc w:val="center"/>
              <w:rPr>
                <w:rFonts w:ascii="Arial" w:eastAsia="Arial Unicode MS" w:hAnsi="Arial" w:cs="Arial"/>
                <w:sz w:val="16"/>
              </w:rPr>
            </w:pPr>
          </w:p>
        </w:tc>
        <w:tc>
          <w:tcPr>
            <w:tcW w:w="1114" w:type="dxa"/>
            <w:tcBorders>
              <w:top w:val="single" w:sz="4" w:space="0" w:color="auto"/>
              <w:bottom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c>
          <w:tcPr>
            <w:tcW w:w="73" w:type="dxa"/>
            <w:tcBorders>
              <w:top w:val="single" w:sz="4" w:space="0" w:color="auto"/>
              <w:bottom w:val="single" w:sz="4" w:space="0" w:color="auto"/>
              <w:right w:val="single" w:sz="4" w:space="0" w:color="auto"/>
            </w:tcBorders>
          </w:tcPr>
          <w:p w:rsidR="00376768" w:rsidRDefault="00376768">
            <w:pPr>
              <w:jc w:val="center"/>
              <w:rPr>
                <w:rFonts w:ascii="Arial" w:eastAsia="Arial Unicode MS" w:hAnsi="Arial" w:cs="Arial"/>
                <w:sz w:val="16"/>
              </w:rPr>
            </w:pPr>
          </w:p>
        </w:tc>
        <w:tc>
          <w:tcPr>
            <w:tcW w:w="103" w:type="dxa"/>
            <w:tcBorders>
              <w:top w:val="single" w:sz="4" w:space="0" w:color="auto"/>
              <w:left w:val="single" w:sz="4" w:space="0" w:color="auto"/>
              <w:bottom w:val="single" w:sz="4" w:space="0" w:color="auto"/>
            </w:tcBorders>
          </w:tcPr>
          <w:p w:rsidR="00376768" w:rsidRDefault="00376768">
            <w:pPr>
              <w:jc w:val="center"/>
              <w:rPr>
                <w:rFonts w:ascii="Arial" w:eastAsia="Arial Unicode MS" w:hAnsi="Arial" w:cs="Arial"/>
                <w:sz w:val="16"/>
              </w:rPr>
            </w:pPr>
          </w:p>
        </w:tc>
        <w:tc>
          <w:tcPr>
            <w:tcW w:w="903"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r>
      <w:tr w:rsidR="00376768">
        <w:trPr>
          <w:cantSplit/>
        </w:trPr>
        <w:tc>
          <w:tcPr>
            <w:tcW w:w="1301" w:type="dxa"/>
            <w:vMerge w:val="restart"/>
            <w:tcBorders>
              <w:top w:val="single" w:sz="4" w:space="0" w:color="auto"/>
              <w:left w:val="single" w:sz="4" w:space="0" w:color="auto"/>
            </w:tcBorders>
            <w:vAlign w:val="center"/>
          </w:tcPr>
          <w:p w:rsidR="00376768" w:rsidRDefault="00EC2B72">
            <w:pPr>
              <w:ind w:left="58"/>
              <w:rPr>
                <w:rFonts w:ascii="Arial" w:hAnsi="Arial" w:cs="Arial"/>
                <w:sz w:val="16"/>
              </w:rPr>
            </w:pPr>
            <w:r>
              <w:rPr>
                <w:rFonts w:ascii="Arial" w:hAnsi="Arial" w:cs="Arial"/>
                <w:sz w:val="16"/>
                <w:szCs w:val="18"/>
              </w:rPr>
              <w:t>David J. Russo</w:t>
            </w:r>
            <w:r>
              <w:rPr>
                <w:rFonts w:ascii="Arial" w:hAnsi="Arial" w:cs="Arial"/>
                <w:sz w:val="16"/>
                <w:szCs w:val="14"/>
                <w:vertAlign w:val="superscript"/>
              </w:rPr>
              <w:t>(6) (7)</w:t>
            </w:r>
            <w:r>
              <w:rPr>
                <w:rFonts w:ascii="Arial" w:hAnsi="Arial" w:cs="Arial"/>
                <w:spacing w:val="26"/>
                <w:sz w:val="16"/>
                <w:szCs w:val="18"/>
              </w:rPr>
              <w:t xml:space="preserve"> </w:t>
            </w:r>
          </w:p>
        </w:tc>
        <w:tc>
          <w:tcPr>
            <w:tcW w:w="80" w:type="dxa"/>
            <w:tcBorders>
              <w:top w:val="single" w:sz="4" w:space="0" w:color="auto"/>
              <w:right w:val="single" w:sz="4" w:space="0" w:color="auto"/>
            </w:tcBorders>
          </w:tcPr>
          <w:p w:rsidR="00376768" w:rsidRDefault="00376768">
            <w:pP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rPr>
                <w:rFonts w:ascii="Arial" w:hAnsi="Arial" w:cs="Arial"/>
                <w:sz w:val="16"/>
                <w:szCs w:val="18"/>
              </w:rPr>
            </w:pPr>
          </w:p>
        </w:tc>
        <w:tc>
          <w:tcPr>
            <w:tcW w:w="866"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100"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8"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0"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11,664</w:t>
            </w:r>
          </w:p>
        </w:tc>
        <w:tc>
          <w:tcPr>
            <w:tcW w:w="86"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90"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3"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63,050</w:t>
            </w:r>
          </w:p>
        </w:tc>
        <w:tc>
          <w:tcPr>
            <w:tcW w:w="89"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18"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126,100</w:t>
            </w:r>
          </w:p>
        </w:tc>
        <w:tc>
          <w:tcPr>
            <w:tcW w:w="86"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9" w:type="dxa"/>
            <w:tcBorders>
              <w:top w:val="single" w:sz="4" w:space="0" w:color="auto"/>
              <w:bottom w:val="single" w:sz="4" w:space="0" w:color="auto"/>
            </w:tcBorders>
          </w:tcPr>
          <w:p w:rsidR="00376768" w:rsidRDefault="00376768">
            <w:pPr>
              <w:jc w:val="center"/>
              <w:rPr>
                <w:rFonts w:ascii="Arial" w:hAnsi="Arial" w:cs="Arial"/>
                <w:sz w:val="16"/>
                <w:szCs w:val="18"/>
              </w:rPr>
            </w:pPr>
          </w:p>
        </w:tc>
        <w:tc>
          <w:tcPr>
            <w:tcW w:w="926"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6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752"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114"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68"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1114"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10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03"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r>
      <w:tr w:rsidR="00376768">
        <w:trPr>
          <w:cantSplit/>
        </w:trPr>
        <w:tc>
          <w:tcPr>
            <w:tcW w:w="1301" w:type="dxa"/>
            <w:vMerge/>
            <w:tcBorders>
              <w:left w:val="single" w:sz="4" w:space="0" w:color="auto"/>
            </w:tcBorders>
            <w:vAlign w:val="center"/>
          </w:tcPr>
          <w:p w:rsidR="00376768" w:rsidRDefault="00376768">
            <w:pPr>
              <w:rPr>
                <w:rFonts w:ascii="Arial" w:eastAsia="Arial Unicode MS" w:hAnsi="Arial" w:cs="Arial"/>
                <w:sz w:val="16"/>
              </w:rPr>
            </w:pPr>
          </w:p>
        </w:tc>
        <w:tc>
          <w:tcPr>
            <w:tcW w:w="80" w:type="dxa"/>
            <w:tcBorders>
              <w:right w:val="single" w:sz="4" w:space="0" w:color="auto"/>
            </w:tcBorders>
          </w:tcPr>
          <w:p w:rsidR="00376768" w:rsidRDefault="00376768">
            <w:pP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rPr>
                <w:rFonts w:ascii="Arial" w:hAnsi="Arial" w:cs="Arial"/>
                <w:sz w:val="16"/>
                <w:szCs w:val="18"/>
              </w:rPr>
            </w:pPr>
          </w:p>
        </w:tc>
        <w:tc>
          <w:tcPr>
            <w:tcW w:w="866" w:type="dxa"/>
            <w:tcBorders>
              <w:top w:val="single" w:sz="4" w:space="0" w:color="auto"/>
              <w:bottom w:val="single" w:sz="4" w:space="0" w:color="auto"/>
            </w:tcBorders>
            <w:vAlign w:val="center"/>
          </w:tcPr>
          <w:p w:rsidR="00376768" w:rsidRDefault="00EC2B72">
            <w:pPr>
              <w:jc w:val="center"/>
              <w:rPr>
                <w:rFonts w:ascii="Arial" w:hAnsi="Arial" w:cs="Arial"/>
                <w:sz w:val="16"/>
              </w:rPr>
            </w:pPr>
            <w:r>
              <w:rPr>
                <w:rFonts w:ascii="Arial" w:hAnsi="Arial" w:cs="Arial"/>
                <w:sz w:val="16"/>
                <w:szCs w:val="18"/>
              </w:rPr>
              <w:t>2/14/17</w:t>
            </w:r>
          </w:p>
        </w:tc>
        <w:tc>
          <w:tcPr>
            <w:tcW w:w="100"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8"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0"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6"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90"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3"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9"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18"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6"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9" w:type="dxa"/>
            <w:tcBorders>
              <w:top w:val="single" w:sz="4" w:space="0" w:color="auto"/>
              <w:bottom w:val="single" w:sz="4" w:space="0" w:color="auto"/>
            </w:tcBorders>
          </w:tcPr>
          <w:p w:rsidR="00376768" w:rsidRDefault="00376768">
            <w:pPr>
              <w:jc w:val="center"/>
              <w:rPr>
                <w:rFonts w:ascii="Arial" w:hAnsi="Arial" w:cs="Arial"/>
                <w:sz w:val="16"/>
                <w:szCs w:val="18"/>
              </w:rPr>
            </w:pPr>
          </w:p>
        </w:tc>
        <w:tc>
          <w:tcPr>
            <w:tcW w:w="926"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6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752"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114"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68"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1114"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20,000</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10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03"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282,000</w:t>
            </w:r>
          </w:p>
        </w:tc>
      </w:tr>
      <w:tr w:rsidR="00376768">
        <w:trPr>
          <w:cantSplit/>
        </w:trPr>
        <w:tc>
          <w:tcPr>
            <w:tcW w:w="1301" w:type="dxa"/>
            <w:vMerge/>
            <w:tcBorders>
              <w:left w:val="single" w:sz="4" w:space="0" w:color="auto"/>
            </w:tcBorders>
            <w:vAlign w:val="center"/>
          </w:tcPr>
          <w:p w:rsidR="00376768" w:rsidRDefault="00376768">
            <w:pPr>
              <w:rPr>
                <w:rFonts w:ascii="Arial" w:eastAsia="Arial Unicode MS" w:hAnsi="Arial" w:cs="Arial"/>
                <w:sz w:val="16"/>
              </w:rPr>
            </w:pPr>
          </w:p>
        </w:tc>
        <w:tc>
          <w:tcPr>
            <w:tcW w:w="80" w:type="dxa"/>
            <w:tcBorders>
              <w:right w:val="single" w:sz="4" w:space="0" w:color="auto"/>
            </w:tcBorders>
          </w:tcPr>
          <w:p w:rsidR="00376768" w:rsidRDefault="00376768">
            <w:pP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rPr>
                <w:rFonts w:ascii="Arial" w:hAnsi="Arial" w:cs="Arial"/>
                <w:sz w:val="16"/>
                <w:szCs w:val="18"/>
              </w:rPr>
            </w:pPr>
          </w:p>
        </w:tc>
        <w:tc>
          <w:tcPr>
            <w:tcW w:w="866"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2/22/17</w:t>
            </w:r>
          </w:p>
        </w:tc>
        <w:tc>
          <w:tcPr>
            <w:tcW w:w="100"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8"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0"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6"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90"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3"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9"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18"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6"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9" w:type="dxa"/>
            <w:tcBorders>
              <w:top w:val="single" w:sz="4" w:space="0" w:color="auto"/>
              <w:bottom w:val="single" w:sz="4" w:space="0" w:color="auto"/>
            </w:tcBorders>
          </w:tcPr>
          <w:p w:rsidR="00376768" w:rsidRDefault="00376768">
            <w:pPr>
              <w:jc w:val="center"/>
              <w:rPr>
                <w:rFonts w:ascii="Arial" w:hAnsi="Arial" w:cs="Arial"/>
                <w:sz w:val="16"/>
                <w:szCs w:val="18"/>
              </w:rPr>
            </w:pPr>
          </w:p>
        </w:tc>
        <w:tc>
          <w:tcPr>
            <w:tcW w:w="926"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5,557</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6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752"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15,878</w:t>
            </w:r>
          </w:p>
        </w:tc>
        <w:tc>
          <w:tcPr>
            <w:tcW w:w="114"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68"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39,695</w:t>
            </w:r>
          </w:p>
        </w:tc>
        <w:tc>
          <w:tcPr>
            <w:tcW w:w="8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2"/>
              </w:rPr>
            </w:pPr>
          </w:p>
        </w:tc>
        <w:tc>
          <w:tcPr>
            <w:tcW w:w="7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2"/>
              </w:rPr>
            </w:pPr>
          </w:p>
        </w:tc>
        <w:tc>
          <w:tcPr>
            <w:tcW w:w="1114" w:type="dxa"/>
            <w:tcBorders>
              <w:top w:val="single" w:sz="4" w:space="0" w:color="auto"/>
              <w:bottom w:val="single" w:sz="4" w:space="0" w:color="auto"/>
            </w:tcBorders>
            <w:tcMar>
              <w:top w:w="0" w:type="dxa"/>
              <w:left w:w="0" w:type="dxa"/>
              <w:bottom w:w="0" w:type="dxa"/>
              <w:right w:w="0" w:type="dxa"/>
            </w:tcMar>
            <w:vAlign w:val="center"/>
          </w:tcPr>
          <w:p w:rsidR="00376768" w:rsidRDefault="00EC2B72">
            <w:pPr>
              <w:jc w:val="center"/>
              <w:rPr>
                <w:rFonts w:ascii="Arial" w:hAnsi="Arial" w:cs="Arial"/>
                <w:sz w:val="16"/>
                <w:szCs w:val="2"/>
              </w:rPr>
            </w:pPr>
            <w:r>
              <w:rPr>
                <w:rFonts w:ascii="Arial" w:hAnsi="Arial" w:cs="Arial"/>
                <w:sz w:val="16"/>
                <w:szCs w:val="2"/>
              </w:rPr>
              <w:t>​</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10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03"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214,353</w:t>
            </w:r>
          </w:p>
        </w:tc>
      </w:tr>
      <w:tr w:rsidR="00376768">
        <w:trPr>
          <w:cantSplit/>
        </w:trPr>
        <w:tc>
          <w:tcPr>
            <w:tcW w:w="1301" w:type="dxa"/>
            <w:vMerge/>
            <w:tcBorders>
              <w:left w:val="single" w:sz="4" w:space="0" w:color="auto"/>
              <w:bottom w:val="single" w:sz="4" w:space="0" w:color="auto"/>
            </w:tcBorders>
            <w:vAlign w:val="center"/>
          </w:tcPr>
          <w:p w:rsidR="00376768" w:rsidRDefault="00376768">
            <w:pPr>
              <w:rPr>
                <w:rFonts w:ascii="Arial" w:eastAsia="Arial Unicode MS" w:hAnsi="Arial" w:cs="Arial"/>
                <w:sz w:val="16"/>
              </w:rPr>
            </w:pPr>
          </w:p>
        </w:tc>
        <w:tc>
          <w:tcPr>
            <w:tcW w:w="80" w:type="dxa"/>
            <w:tcBorders>
              <w:bottom w:val="single" w:sz="4" w:space="0" w:color="auto"/>
              <w:right w:val="single" w:sz="4" w:space="0" w:color="auto"/>
            </w:tcBorders>
          </w:tcPr>
          <w:p w:rsidR="00376768" w:rsidRDefault="00376768">
            <w:pP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rPr>
                <w:rFonts w:ascii="Arial" w:hAnsi="Arial" w:cs="Arial"/>
                <w:sz w:val="16"/>
                <w:szCs w:val="18"/>
              </w:rPr>
            </w:pPr>
          </w:p>
        </w:tc>
        <w:tc>
          <w:tcPr>
            <w:tcW w:w="866" w:type="dxa"/>
            <w:tcBorders>
              <w:top w:val="single" w:sz="4" w:space="0" w:color="auto"/>
              <w:bottom w:val="single" w:sz="4" w:space="0" w:color="auto"/>
            </w:tcBorders>
            <w:vAlign w:val="center"/>
          </w:tcPr>
          <w:p w:rsidR="00376768" w:rsidRDefault="00EC2B72">
            <w:pPr>
              <w:jc w:val="center"/>
              <w:rPr>
                <w:rFonts w:ascii="Arial" w:hAnsi="Arial" w:cs="Arial"/>
                <w:sz w:val="16"/>
              </w:rPr>
            </w:pPr>
            <w:r>
              <w:rPr>
                <w:rFonts w:ascii="Arial" w:hAnsi="Arial" w:cs="Arial"/>
                <w:sz w:val="16"/>
                <w:szCs w:val="18"/>
              </w:rPr>
              <w:t>2/22/17</w:t>
            </w:r>
          </w:p>
        </w:tc>
        <w:tc>
          <w:tcPr>
            <w:tcW w:w="100"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8"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0"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6"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90"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3"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9"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18"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6"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9" w:type="dxa"/>
            <w:tcBorders>
              <w:top w:val="single" w:sz="4" w:space="0" w:color="auto"/>
              <w:bottom w:val="single" w:sz="4" w:space="0" w:color="auto"/>
            </w:tcBorders>
          </w:tcPr>
          <w:p w:rsidR="00376768" w:rsidRDefault="00376768">
            <w:pPr>
              <w:jc w:val="center"/>
              <w:rPr>
                <w:rFonts w:ascii="Arial" w:hAnsi="Arial" w:cs="Arial"/>
                <w:sz w:val="16"/>
                <w:szCs w:val="18"/>
              </w:rPr>
            </w:pPr>
          </w:p>
        </w:tc>
        <w:tc>
          <w:tcPr>
            <w:tcW w:w="926"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6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752"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114"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68"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1114"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5,293</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10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03"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71,456</w:t>
            </w:r>
          </w:p>
        </w:tc>
      </w:tr>
      <w:tr w:rsidR="00376768">
        <w:trPr>
          <w:trHeight w:val="120"/>
        </w:trPr>
        <w:tc>
          <w:tcPr>
            <w:tcW w:w="1301" w:type="dxa"/>
            <w:tcBorders>
              <w:top w:val="single" w:sz="4" w:space="0" w:color="auto"/>
              <w:left w:val="single" w:sz="4" w:space="0" w:color="auto"/>
              <w:bottom w:val="single" w:sz="4" w:space="0" w:color="auto"/>
            </w:tcBorders>
            <w:vAlign w:val="center"/>
          </w:tcPr>
          <w:p w:rsidR="00376768" w:rsidRDefault="00376768">
            <w:pPr>
              <w:rPr>
                <w:rFonts w:ascii="Arial" w:eastAsia="Arial Unicode MS" w:hAnsi="Arial" w:cs="Arial"/>
                <w:sz w:val="16"/>
              </w:rPr>
            </w:pPr>
          </w:p>
        </w:tc>
        <w:tc>
          <w:tcPr>
            <w:tcW w:w="80" w:type="dxa"/>
            <w:tcBorders>
              <w:top w:val="single" w:sz="4" w:space="0" w:color="auto"/>
              <w:bottom w:val="single" w:sz="4" w:space="0" w:color="auto"/>
              <w:right w:val="single" w:sz="4" w:space="0" w:color="auto"/>
            </w:tcBorders>
          </w:tcPr>
          <w:p w:rsidR="00376768" w:rsidRDefault="00376768">
            <w:pPr>
              <w:rPr>
                <w:rFonts w:ascii="Arial" w:eastAsia="Arial Unicode MS" w:hAnsi="Arial" w:cs="Arial"/>
                <w:sz w:val="16"/>
              </w:rPr>
            </w:pPr>
          </w:p>
        </w:tc>
        <w:tc>
          <w:tcPr>
            <w:tcW w:w="87" w:type="dxa"/>
            <w:tcBorders>
              <w:top w:val="single" w:sz="4" w:space="0" w:color="auto"/>
              <w:left w:val="single" w:sz="4" w:space="0" w:color="auto"/>
              <w:bottom w:val="single" w:sz="4" w:space="0" w:color="auto"/>
            </w:tcBorders>
          </w:tcPr>
          <w:p w:rsidR="00376768" w:rsidRDefault="00376768">
            <w:pPr>
              <w:rPr>
                <w:rFonts w:ascii="Arial" w:eastAsia="Arial Unicode MS" w:hAnsi="Arial" w:cs="Arial"/>
                <w:sz w:val="16"/>
              </w:rPr>
            </w:pPr>
          </w:p>
        </w:tc>
        <w:tc>
          <w:tcPr>
            <w:tcW w:w="866" w:type="dxa"/>
            <w:tcBorders>
              <w:top w:val="single" w:sz="4" w:space="0" w:color="auto"/>
              <w:bottom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c>
          <w:tcPr>
            <w:tcW w:w="100" w:type="dxa"/>
            <w:tcBorders>
              <w:top w:val="single" w:sz="4" w:space="0" w:color="auto"/>
              <w:bottom w:val="single" w:sz="4" w:space="0" w:color="auto"/>
              <w:right w:val="single" w:sz="4" w:space="0" w:color="auto"/>
            </w:tcBorders>
          </w:tcPr>
          <w:p w:rsidR="00376768" w:rsidRDefault="00376768">
            <w:pPr>
              <w:jc w:val="center"/>
              <w:rPr>
                <w:rFonts w:ascii="Arial" w:eastAsia="Arial Unicode MS" w:hAnsi="Arial" w:cs="Arial"/>
                <w:sz w:val="16"/>
              </w:rPr>
            </w:pPr>
          </w:p>
        </w:tc>
        <w:tc>
          <w:tcPr>
            <w:tcW w:w="88" w:type="dxa"/>
            <w:tcBorders>
              <w:top w:val="single" w:sz="4" w:space="0" w:color="auto"/>
              <w:left w:val="single" w:sz="4" w:space="0" w:color="auto"/>
              <w:bottom w:val="single" w:sz="4" w:space="0" w:color="auto"/>
            </w:tcBorders>
          </w:tcPr>
          <w:p w:rsidR="00376768" w:rsidRDefault="00376768">
            <w:pPr>
              <w:jc w:val="center"/>
              <w:rPr>
                <w:rFonts w:ascii="Arial" w:eastAsia="Arial Unicode MS" w:hAnsi="Arial" w:cs="Arial"/>
                <w:sz w:val="16"/>
              </w:rPr>
            </w:pPr>
          </w:p>
        </w:tc>
        <w:tc>
          <w:tcPr>
            <w:tcW w:w="840" w:type="dxa"/>
            <w:tcBorders>
              <w:top w:val="single" w:sz="4" w:space="0" w:color="auto"/>
              <w:bottom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c>
          <w:tcPr>
            <w:tcW w:w="86" w:type="dxa"/>
            <w:tcBorders>
              <w:top w:val="single" w:sz="4" w:space="0" w:color="auto"/>
              <w:bottom w:val="single" w:sz="4" w:space="0" w:color="auto"/>
              <w:right w:val="single" w:sz="4" w:space="0" w:color="auto"/>
            </w:tcBorders>
          </w:tcPr>
          <w:p w:rsidR="00376768" w:rsidRDefault="00376768">
            <w:pPr>
              <w:jc w:val="center"/>
              <w:rPr>
                <w:rFonts w:ascii="Arial" w:eastAsia="Arial Unicode MS" w:hAnsi="Arial" w:cs="Arial"/>
                <w:sz w:val="16"/>
              </w:rPr>
            </w:pPr>
          </w:p>
        </w:tc>
        <w:tc>
          <w:tcPr>
            <w:tcW w:w="90" w:type="dxa"/>
            <w:tcBorders>
              <w:top w:val="single" w:sz="4" w:space="0" w:color="auto"/>
              <w:left w:val="single" w:sz="4" w:space="0" w:color="auto"/>
              <w:bottom w:val="single" w:sz="4" w:space="0" w:color="auto"/>
            </w:tcBorders>
          </w:tcPr>
          <w:p w:rsidR="00376768" w:rsidRDefault="00376768">
            <w:pPr>
              <w:jc w:val="center"/>
              <w:rPr>
                <w:rFonts w:ascii="Arial" w:eastAsia="Arial Unicode MS" w:hAnsi="Arial" w:cs="Arial"/>
                <w:sz w:val="16"/>
              </w:rPr>
            </w:pPr>
          </w:p>
        </w:tc>
        <w:tc>
          <w:tcPr>
            <w:tcW w:w="843" w:type="dxa"/>
            <w:tcBorders>
              <w:top w:val="single" w:sz="4" w:space="0" w:color="auto"/>
              <w:bottom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c>
          <w:tcPr>
            <w:tcW w:w="89" w:type="dxa"/>
            <w:tcBorders>
              <w:top w:val="single" w:sz="4" w:space="0" w:color="auto"/>
              <w:bottom w:val="single" w:sz="4" w:space="0" w:color="auto"/>
              <w:right w:val="single" w:sz="4" w:space="0" w:color="auto"/>
            </w:tcBorders>
          </w:tcPr>
          <w:p w:rsidR="00376768" w:rsidRDefault="00376768">
            <w:pPr>
              <w:jc w:val="center"/>
              <w:rPr>
                <w:rFonts w:ascii="Arial" w:eastAsia="Arial Unicode MS" w:hAnsi="Arial" w:cs="Arial"/>
                <w:sz w:val="16"/>
              </w:rPr>
            </w:pPr>
          </w:p>
        </w:tc>
        <w:tc>
          <w:tcPr>
            <w:tcW w:w="87" w:type="dxa"/>
            <w:tcBorders>
              <w:top w:val="single" w:sz="4" w:space="0" w:color="auto"/>
              <w:left w:val="single" w:sz="4" w:space="0" w:color="auto"/>
              <w:bottom w:val="single" w:sz="4" w:space="0" w:color="auto"/>
            </w:tcBorders>
          </w:tcPr>
          <w:p w:rsidR="00376768" w:rsidRDefault="00376768">
            <w:pPr>
              <w:jc w:val="center"/>
              <w:rPr>
                <w:rFonts w:ascii="Arial" w:eastAsia="Arial Unicode MS" w:hAnsi="Arial" w:cs="Arial"/>
                <w:sz w:val="16"/>
              </w:rPr>
            </w:pPr>
          </w:p>
        </w:tc>
        <w:tc>
          <w:tcPr>
            <w:tcW w:w="918"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c>
          <w:tcPr>
            <w:tcW w:w="86" w:type="dxa"/>
            <w:tcBorders>
              <w:top w:val="single" w:sz="4" w:space="0" w:color="auto"/>
              <w:left w:val="single" w:sz="4" w:space="0" w:color="auto"/>
              <w:bottom w:val="single" w:sz="4" w:space="0" w:color="auto"/>
            </w:tcBorders>
          </w:tcPr>
          <w:p w:rsidR="00376768" w:rsidRDefault="00376768">
            <w:pPr>
              <w:jc w:val="center"/>
              <w:rPr>
                <w:rFonts w:ascii="Arial" w:eastAsia="Arial Unicode MS" w:hAnsi="Arial" w:cs="Arial"/>
                <w:sz w:val="16"/>
              </w:rPr>
            </w:pPr>
          </w:p>
        </w:tc>
        <w:tc>
          <w:tcPr>
            <w:tcW w:w="89" w:type="dxa"/>
            <w:tcBorders>
              <w:top w:val="single" w:sz="4" w:space="0" w:color="auto"/>
              <w:bottom w:val="single" w:sz="4" w:space="0" w:color="auto"/>
            </w:tcBorders>
          </w:tcPr>
          <w:p w:rsidR="00376768" w:rsidRDefault="00376768">
            <w:pPr>
              <w:jc w:val="center"/>
              <w:rPr>
                <w:rFonts w:ascii="Arial" w:eastAsia="Arial Unicode MS" w:hAnsi="Arial" w:cs="Arial"/>
                <w:sz w:val="16"/>
              </w:rPr>
            </w:pPr>
          </w:p>
        </w:tc>
        <w:tc>
          <w:tcPr>
            <w:tcW w:w="926" w:type="dxa"/>
            <w:tcBorders>
              <w:top w:val="single" w:sz="4" w:space="0" w:color="auto"/>
              <w:bottom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c>
          <w:tcPr>
            <w:tcW w:w="73" w:type="dxa"/>
            <w:tcBorders>
              <w:top w:val="single" w:sz="4" w:space="0" w:color="auto"/>
              <w:bottom w:val="single" w:sz="4" w:space="0" w:color="auto"/>
              <w:right w:val="single" w:sz="4" w:space="0" w:color="auto"/>
            </w:tcBorders>
          </w:tcPr>
          <w:p w:rsidR="00376768" w:rsidRDefault="00376768">
            <w:pPr>
              <w:jc w:val="center"/>
              <w:rPr>
                <w:rFonts w:ascii="Arial" w:eastAsia="Arial Unicode MS" w:hAnsi="Arial" w:cs="Arial"/>
                <w:sz w:val="16"/>
              </w:rPr>
            </w:pPr>
          </w:p>
        </w:tc>
        <w:tc>
          <w:tcPr>
            <w:tcW w:w="69" w:type="dxa"/>
            <w:tcBorders>
              <w:top w:val="single" w:sz="4" w:space="0" w:color="auto"/>
              <w:left w:val="single" w:sz="4" w:space="0" w:color="auto"/>
              <w:bottom w:val="single" w:sz="4" w:space="0" w:color="auto"/>
            </w:tcBorders>
          </w:tcPr>
          <w:p w:rsidR="00376768" w:rsidRDefault="00376768">
            <w:pPr>
              <w:jc w:val="center"/>
              <w:rPr>
                <w:rFonts w:ascii="Arial" w:eastAsia="Arial Unicode MS" w:hAnsi="Arial" w:cs="Arial"/>
                <w:sz w:val="16"/>
              </w:rPr>
            </w:pPr>
          </w:p>
        </w:tc>
        <w:tc>
          <w:tcPr>
            <w:tcW w:w="752" w:type="dxa"/>
            <w:tcBorders>
              <w:top w:val="single" w:sz="4" w:space="0" w:color="auto"/>
              <w:bottom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c>
          <w:tcPr>
            <w:tcW w:w="114" w:type="dxa"/>
            <w:tcBorders>
              <w:top w:val="single" w:sz="4" w:space="0" w:color="auto"/>
              <w:bottom w:val="single" w:sz="4" w:space="0" w:color="auto"/>
              <w:right w:val="single" w:sz="4" w:space="0" w:color="auto"/>
            </w:tcBorders>
          </w:tcPr>
          <w:p w:rsidR="00376768" w:rsidRDefault="00376768">
            <w:pPr>
              <w:jc w:val="center"/>
              <w:rPr>
                <w:rFonts w:ascii="Arial" w:eastAsia="Arial Unicode MS" w:hAnsi="Arial" w:cs="Arial"/>
                <w:sz w:val="16"/>
              </w:rPr>
            </w:pPr>
          </w:p>
        </w:tc>
        <w:tc>
          <w:tcPr>
            <w:tcW w:w="79" w:type="dxa"/>
            <w:tcBorders>
              <w:top w:val="single" w:sz="4" w:space="0" w:color="auto"/>
              <w:left w:val="single" w:sz="4" w:space="0" w:color="auto"/>
              <w:bottom w:val="single" w:sz="4" w:space="0" w:color="auto"/>
            </w:tcBorders>
          </w:tcPr>
          <w:p w:rsidR="00376768" w:rsidRDefault="00376768">
            <w:pPr>
              <w:jc w:val="center"/>
              <w:rPr>
                <w:rFonts w:ascii="Arial" w:eastAsia="Arial Unicode MS" w:hAnsi="Arial" w:cs="Arial"/>
                <w:sz w:val="16"/>
              </w:rPr>
            </w:pPr>
          </w:p>
        </w:tc>
        <w:tc>
          <w:tcPr>
            <w:tcW w:w="868" w:type="dxa"/>
            <w:tcBorders>
              <w:top w:val="single" w:sz="4" w:space="0" w:color="auto"/>
              <w:bottom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c>
          <w:tcPr>
            <w:tcW w:w="83" w:type="dxa"/>
            <w:tcBorders>
              <w:top w:val="single" w:sz="4" w:space="0" w:color="auto"/>
              <w:bottom w:val="single" w:sz="4" w:space="0" w:color="auto"/>
              <w:right w:val="single" w:sz="4" w:space="0" w:color="auto"/>
            </w:tcBorders>
          </w:tcPr>
          <w:p w:rsidR="00376768" w:rsidRDefault="00376768">
            <w:pPr>
              <w:jc w:val="center"/>
              <w:rPr>
                <w:rFonts w:ascii="Arial" w:eastAsia="Arial Unicode MS" w:hAnsi="Arial" w:cs="Arial"/>
                <w:sz w:val="16"/>
              </w:rPr>
            </w:pPr>
          </w:p>
        </w:tc>
        <w:tc>
          <w:tcPr>
            <w:tcW w:w="73" w:type="dxa"/>
            <w:tcBorders>
              <w:top w:val="single" w:sz="4" w:space="0" w:color="auto"/>
              <w:left w:val="single" w:sz="4" w:space="0" w:color="auto"/>
              <w:bottom w:val="single" w:sz="4" w:space="0" w:color="auto"/>
            </w:tcBorders>
          </w:tcPr>
          <w:p w:rsidR="00376768" w:rsidRDefault="00376768">
            <w:pPr>
              <w:jc w:val="center"/>
              <w:rPr>
                <w:rFonts w:ascii="Arial" w:eastAsia="Arial Unicode MS" w:hAnsi="Arial" w:cs="Arial"/>
                <w:sz w:val="16"/>
              </w:rPr>
            </w:pPr>
          </w:p>
        </w:tc>
        <w:tc>
          <w:tcPr>
            <w:tcW w:w="1114" w:type="dxa"/>
            <w:tcBorders>
              <w:top w:val="single" w:sz="4" w:space="0" w:color="auto"/>
              <w:bottom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c>
          <w:tcPr>
            <w:tcW w:w="73" w:type="dxa"/>
            <w:tcBorders>
              <w:top w:val="single" w:sz="4" w:space="0" w:color="auto"/>
              <w:bottom w:val="single" w:sz="4" w:space="0" w:color="auto"/>
              <w:right w:val="single" w:sz="4" w:space="0" w:color="auto"/>
            </w:tcBorders>
          </w:tcPr>
          <w:p w:rsidR="00376768" w:rsidRDefault="00376768">
            <w:pPr>
              <w:jc w:val="center"/>
              <w:rPr>
                <w:rFonts w:ascii="Arial" w:eastAsia="Arial Unicode MS" w:hAnsi="Arial" w:cs="Arial"/>
                <w:sz w:val="16"/>
              </w:rPr>
            </w:pPr>
          </w:p>
        </w:tc>
        <w:tc>
          <w:tcPr>
            <w:tcW w:w="103" w:type="dxa"/>
            <w:tcBorders>
              <w:top w:val="single" w:sz="4" w:space="0" w:color="auto"/>
              <w:left w:val="single" w:sz="4" w:space="0" w:color="auto"/>
              <w:bottom w:val="single" w:sz="4" w:space="0" w:color="auto"/>
            </w:tcBorders>
          </w:tcPr>
          <w:p w:rsidR="00376768" w:rsidRDefault="00376768">
            <w:pPr>
              <w:jc w:val="center"/>
              <w:rPr>
                <w:rFonts w:ascii="Arial" w:eastAsia="Arial Unicode MS" w:hAnsi="Arial" w:cs="Arial"/>
                <w:sz w:val="16"/>
              </w:rPr>
            </w:pPr>
          </w:p>
        </w:tc>
        <w:tc>
          <w:tcPr>
            <w:tcW w:w="903"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r>
      <w:tr w:rsidR="00376768">
        <w:trPr>
          <w:cantSplit/>
        </w:trPr>
        <w:tc>
          <w:tcPr>
            <w:tcW w:w="1301" w:type="dxa"/>
            <w:vMerge w:val="restart"/>
            <w:tcBorders>
              <w:top w:val="single" w:sz="4" w:space="0" w:color="auto"/>
              <w:left w:val="single" w:sz="4" w:space="0" w:color="auto"/>
            </w:tcBorders>
            <w:vAlign w:val="center"/>
          </w:tcPr>
          <w:p w:rsidR="00376768" w:rsidRDefault="00EC2B72">
            <w:pPr>
              <w:ind w:left="58"/>
              <w:rPr>
                <w:rFonts w:ascii="Arial" w:hAnsi="Arial" w:cs="Arial"/>
                <w:sz w:val="16"/>
              </w:rPr>
            </w:pPr>
            <w:r>
              <w:rPr>
                <w:rFonts w:ascii="Arial" w:hAnsi="Arial" w:cs="Arial"/>
                <w:sz w:val="16"/>
                <w:szCs w:val="18"/>
              </w:rPr>
              <w:t>Christopher T. Scanlon</w:t>
            </w:r>
            <w:r>
              <w:rPr>
                <w:rFonts w:ascii="Arial" w:hAnsi="Arial" w:cs="Arial"/>
                <w:sz w:val="16"/>
                <w:szCs w:val="14"/>
                <w:vertAlign w:val="superscript"/>
              </w:rPr>
              <w:t>(7)</w:t>
            </w:r>
            <w:r>
              <w:rPr>
                <w:rFonts w:ascii="Arial" w:hAnsi="Arial" w:cs="Arial"/>
                <w:spacing w:val="26"/>
                <w:sz w:val="16"/>
                <w:szCs w:val="18"/>
              </w:rPr>
              <w:t xml:space="preserve"> </w:t>
            </w:r>
          </w:p>
        </w:tc>
        <w:tc>
          <w:tcPr>
            <w:tcW w:w="80" w:type="dxa"/>
            <w:tcBorders>
              <w:top w:val="single" w:sz="4" w:space="0" w:color="auto"/>
              <w:right w:val="single" w:sz="4" w:space="0" w:color="auto"/>
            </w:tcBorders>
          </w:tcPr>
          <w:p w:rsidR="00376768" w:rsidRDefault="00376768">
            <w:pP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rPr>
                <w:rFonts w:ascii="Arial" w:hAnsi="Arial" w:cs="Arial"/>
                <w:sz w:val="16"/>
                <w:szCs w:val="18"/>
              </w:rPr>
            </w:pPr>
          </w:p>
        </w:tc>
        <w:tc>
          <w:tcPr>
            <w:tcW w:w="866"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100"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8"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0"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12,425</w:t>
            </w:r>
          </w:p>
        </w:tc>
        <w:tc>
          <w:tcPr>
            <w:tcW w:w="86"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90"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3"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67,163</w:t>
            </w:r>
          </w:p>
        </w:tc>
        <w:tc>
          <w:tcPr>
            <w:tcW w:w="89"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18"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134,326</w:t>
            </w:r>
          </w:p>
        </w:tc>
        <w:tc>
          <w:tcPr>
            <w:tcW w:w="86"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9" w:type="dxa"/>
            <w:tcBorders>
              <w:top w:val="single" w:sz="4" w:space="0" w:color="auto"/>
              <w:bottom w:val="single" w:sz="4" w:space="0" w:color="auto"/>
            </w:tcBorders>
          </w:tcPr>
          <w:p w:rsidR="00376768" w:rsidRDefault="00376768">
            <w:pPr>
              <w:jc w:val="center"/>
              <w:rPr>
                <w:rFonts w:ascii="Arial" w:hAnsi="Arial" w:cs="Arial"/>
                <w:sz w:val="16"/>
                <w:szCs w:val="18"/>
              </w:rPr>
            </w:pPr>
          </w:p>
        </w:tc>
        <w:tc>
          <w:tcPr>
            <w:tcW w:w="926"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6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752"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114"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68"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1114"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10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03"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r>
      <w:tr w:rsidR="00376768">
        <w:trPr>
          <w:cantSplit/>
        </w:trPr>
        <w:tc>
          <w:tcPr>
            <w:tcW w:w="1301" w:type="dxa"/>
            <w:vMerge/>
            <w:tcBorders>
              <w:left w:val="single" w:sz="4" w:space="0" w:color="auto"/>
            </w:tcBorders>
            <w:vAlign w:val="center"/>
          </w:tcPr>
          <w:p w:rsidR="00376768" w:rsidRDefault="00376768">
            <w:pPr>
              <w:rPr>
                <w:rFonts w:ascii="Arial" w:eastAsia="Arial Unicode MS" w:hAnsi="Arial" w:cs="Arial"/>
                <w:sz w:val="16"/>
              </w:rPr>
            </w:pPr>
          </w:p>
        </w:tc>
        <w:tc>
          <w:tcPr>
            <w:tcW w:w="80" w:type="dxa"/>
            <w:tcBorders>
              <w:right w:val="single" w:sz="4" w:space="0" w:color="auto"/>
            </w:tcBorders>
          </w:tcPr>
          <w:p w:rsidR="00376768" w:rsidRDefault="00376768">
            <w:pP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rPr>
                <w:rFonts w:ascii="Arial" w:hAnsi="Arial" w:cs="Arial"/>
                <w:sz w:val="16"/>
                <w:szCs w:val="18"/>
              </w:rPr>
            </w:pPr>
          </w:p>
        </w:tc>
        <w:tc>
          <w:tcPr>
            <w:tcW w:w="866" w:type="dxa"/>
            <w:tcBorders>
              <w:top w:val="single" w:sz="4" w:space="0" w:color="auto"/>
              <w:bottom w:val="single" w:sz="4" w:space="0" w:color="auto"/>
            </w:tcBorders>
            <w:vAlign w:val="center"/>
          </w:tcPr>
          <w:p w:rsidR="00376768" w:rsidRDefault="00EC2B72">
            <w:pPr>
              <w:jc w:val="center"/>
              <w:rPr>
                <w:rFonts w:ascii="Arial" w:hAnsi="Arial" w:cs="Arial"/>
                <w:sz w:val="16"/>
              </w:rPr>
            </w:pPr>
            <w:r>
              <w:rPr>
                <w:rFonts w:ascii="Arial" w:hAnsi="Arial" w:cs="Arial"/>
                <w:sz w:val="16"/>
                <w:szCs w:val="18"/>
              </w:rPr>
              <w:t>2/14/17</w:t>
            </w:r>
          </w:p>
        </w:tc>
        <w:tc>
          <w:tcPr>
            <w:tcW w:w="100"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8"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0"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6"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90"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3"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9"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18"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6"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9" w:type="dxa"/>
            <w:tcBorders>
              <w:top w:val="single" w:sz="4" w:space="0" w:color="auto"/>
              <w:bottom w:val="single" w:sz="4" w:space="0" w:color="auto"/>
            </w:tcBorders>
          </w:tcPr>
          <w:p w:rsidR="00376768" w:rsidRDefault="00376768">
            <w:pPr>
              <w:jc w:val="center"/>
              <w:rPr>
                <w:rFonts w:ascii="Arial" w:hAnsi="Arial" w:cs="Arial"/>
                <w:sz w:val="16"/>
                <w:szCs w:val="18"/>
              </w:rPr>
            </w:pPr>
          </w:p>
        </w:tc>
        <w:tc>
          <w:tcPr>
            <w:tcW w:w="926"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6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752"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114"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68"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1114"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8,000</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10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03"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112,800</w:t>
            </w:r>
          </w:p>
        </w:tc>
      </w:tr>
      <w:tr w:rsidR="00376768">
        <w:trPr>
          <w:cantSplit/>
        </w:trPr>
        <w:tc>
          <w:tcPr>
            <w:tcW w:w="1301" w:type="dxa"/>
            <w:vMerge/>
            <w:tcBorders>
              <w:left w:val="single" w:sz="4" w:space="0" w:color="auto"/>
            </w:tcBorders>
            <w:vAlign w:val="center"/>
          </w:tcPr>
          <w:p w:rsidR="00376768" w:rsidRDefault="00376768">
            <w:pPr>
              <w:rPr>
                <w:rFonts w:ascii="Arial" w:eastAsia="Arial Unicode MS" w:hAnsi="Arial" w:cs="Arial"/>
                <w:sz w:val="16"/>
              </w:rPr>
            </w:pPr>
          </w:p>
        </w:tc>
        <w:tc>
          <w:tcPr>
            <w:tcW w:w="80" w:type="dxa"/>
            <w:tcBorders>
              <w:right w:val="single" w:sz="4" w:space="0" w:color="auto"/>
            </w:tcBorders>
          </w:tcPr>
          <w:p w:rsidR="00376768" w:rsidRDefault="00376768">
            <w:pP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rPr>
                <w:rFonts w:ascii="Arial" w:hAnsi="Arial" w:cs="Arial"/>
                <w:sz w:val="16"/>
                <w:szCs w:val="18"/>
              </w:rPr>
            </w:pPr>
          </w:p>
        </w:tc>
        <w:tc>
          <w:tcPr>
            <w:tcW w:w="866" w:type="dxa"/>
            <w:tcBorders>
              <w:top w:val="single" w:sz="4" w:space="0" w:color="auto"/>
              <w:bottom w:val="single" w:sz="4" w:space="0" w:color="auto"/>
            </w:tcBorders>
            <w:vAlign w:val="center"/>
          </w:tcPr>
          <w:p w:rsidR="00376768" w:rsidRDefault="00EC2B72">
            <w:pPr>
              <w:jc w:val="center"/>
              <w:rPr>
                <w:rFonts w:ascii="Arial" w:hAnsi="Arial" w:cs="Arial"/>
                <w:sz w:val="16"/>
              </w:rPr>
            </w:pPr>
            <w:r>
              <w:rPr>
                <w:rFonts w:ascii="Arial" w:hAnsi="Arial" w:cs="Arial"/>
                <w:sz w:val="16"/>
                <w:szCs w:val="18"/>
              </w:rPr>
              <w:t>2/22/17</w:t>
            </w:r>
          </w:p>
        </w:tc>
        <w:tc>
          <w:tcPr>
            <w:tcW w:w="100"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8"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0"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6"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90"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3"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9"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18"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6"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9" w:type="dxa"/>
            <w:tcBorders>
              <w:top w:val="single" w:sz="4" w:space="0" w:color="auto"/>
              <w:bottom w:val="single" w:sz="4" w:space="0" w:color="auto"/>
            </w:tcBorders>
          </w:tcPr>
          <w:p w:rsidR="00376768" w:rsidRDefault="00376768">
            <w:pPr>
              <w:jc w:val="center"/>
              <w:rPr>
                <w:rFonts w:ascii="Arial" w:hAnsi="Arial" w:cs="Arial"/>
                <w:sz w:val="16"/>
                <w:szCs w:val="18"/>
              </w:rPr>
            </w:pPr>
          </w:p>
        </w:tc>
        <w:tc>
          <w:tcPr>
            <w:tcW w:w="926"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1,667</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6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752"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4,764</w:t>
            </w:r>
          </w:p>
        </w:tc>
        <w:tc>
          <w:tcPr>
            <w:tcW w:w="114"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68"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11,910</w:t>
            </w:r>
          </w:p>
        </w:tc>
        <w:tc>
          <w:tcPr>
            <w:tcW w:w="8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1114"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10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03"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64,314</w:t>
            </w:r>
          </w:p>
        </w:tc>
      </w:tr>
      <w:tr w:rsidR="00376768">
        <w:trPr>
          <w:cantSplit/>
        </w:trPr>
        <w:tc>
          <w:tcPr>
            <w:tcW w:w="1301" w:type="dxa"/>
            <w:vMerge/>
            <w:tcBorders>
              <w:left w:val="single" w:sz="4" w:space="0" w:color="auto"/>
              <w:bottom w:val="single" w:sz="4" w:space="0" w:color="auto"/>
            </w:tcBorders>
            <w:vAlign w:val="center"/>
          </w:tcPr>
          <w:p w:rsidR="00376768" w:rsidRDefault="00376768">
            <w:pPr>
              <w:rPr>
                <w:rFonts w:ascii="Arial" w:eastAsia="Arial Unicode MS" w:hAnsi="Arial" w:cs="Arial"/>
                <w:sz w:val="16"/>
              </w:rPr>
            </w:pPr>
          </w:p>
        </w:tc>
        <w:tc>
          <w:tcPr>
            <w:tcW w:w="80" w:type="dxa"/>
            <w:tcBorders>
              <w:bottom w:val="single" w:sz="4" w:space="0" w:color="auto"/>
              <w:right w:val="single" w:sz="4" w:space="0" w:color="auto"/>
            </w:tcBorders>
          </w:tcPr>
          <w:p w:rsidR="00376768" w:rsidRDefault="00376768">
            <w:pP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rPr>
                <w:rFonts w:ascii="Arial" w:hAnsi="Arial" w:cs="Arial"/>
                <w:sz w:val="16"/>
                <w:szCs w:val="18"/>
              </w:rPr>
            </w:pPr>
          </w:p>
        </w:tc>
        <w:tc>
          <w:tcPr>
            <w:tcW w:w="866" w:type="dxa"/>
            <w:tcBorders>
              <w:top w:val="single" w:sz="4" w:space="0" w:color="auto"/>
              <w:bottom w:val="single" w:sz="4" w:space="0" w:color="auto"/>
            </w:tcBorders>
            <w:vAlign w:val="center"/>
          </w:tcPr>
          <w:p w:rsidR="00376768" w:rsidRDefault="00EC2B72">
            <w:pPr>
              <w:jc w:val="center"/>
              <w:rPr>
                <w:rFonts w:ascii="Arial" w:hAnsi="Arial" w:cs="Arial"/>
                <w:sz w:val="16"/>
              </w:rPr>
            </w:pPr>
            <w:r>
              <w:rPr>
                <w:rFonts w:ascii="Arial" w:hAnsi="Arial" w:cs="Arial"/>
                <w:sz w:val="16"/>
                <w:szCs w:val="18"/>
              </w:rPr>
              <w:t>2/22/17</w:t>
            </w:r>
          </w:p>
        </w:tc>
        <w:tc>
          <w:tcPr>
            <w:tcW w:w="100"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8"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0"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6"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90"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3"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9"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18"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6"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9" w:type="dxa"/>
            <w:tcBorders>
              <w:top w:val="single" w:sz="4" w:space="0" w:color="auto"/>
              <w:bottom w:val="single" w:sz="4" w:space="0" w:color="auto"/>
            </w:tcBorders>
          </w:tcPr>
          <w:p w:rsidR="00376768" w:rsidRDefault="00376768">
            <w:pPr>
              <w:jc w:val="center"/>
              <w:rPr>
                <w:rFonts w:ascii="Arial" w:hAnsi="Arial" w:cs="Arial"/>
                <w:sz w:val="16"/>
                <w:szCs w:val="18"/>
              </w:rPr>
            </w:pPr>
          </w:p>
        </w:tc>
        <w:tc>
          <w:tcPr>
            <w:tcW w:w="926"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6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752"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114"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68"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1114"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1,588</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10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03"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21,438</w:t>
            </w:r>
          </w:p>
        </w:tc>
      </w:tr>
      <w:tr w:rsidR="00376768">
        <w:trPr>
          <w:trHeight w:val="120"/>
        </w:trPr>
        <w:tc>
          <w:tcPr>
            <w:tcW w:w="1301" w:type="dxa"/>
            <w:tcBorders>
              <w:top w:val="single" w:sz="4" w:space="0" w:color="auto"/>
              <w:left w:val="single" w:sz="4" w:space="0" w:color="auto"/>
              <w:bottom w:val="single" w:sz="4" w:space="0" w:color="auto"/>
            </w:tcBorders>
            <w:vAlign w:val="center"/>
          </w:tcPr>
          <w:p w:rsidR="00376768" w:rsidRDefault="00376768">
            <w:pPr>
              <w:rPr>
                <w:rFonts w:ascii="Arial" w:eastAsia="Arial Unicode MS" w:hAnsi="Arial" w:cs="Arial"/>
                <w:sz w:val="16"/>
              </w:rPr>
            </w:pPr>
          </w:p>
        </w:tc>
        <w:tc>
          <w:tcPr>
            <w:tcW w:w="80" w:type="dxa"/>
            <w:tcBorders>
              <w:top w:val="single" w:sz="4" w:space="0" w:color="auto"/>
              <w:bottom w:val="single" w:sz="4" w:space="0" w:color="auto"/>
              <w:right w:val="single" w:sz="4" w:space="0" w:color="auto"/>
            </w:tcBorders>
          </w:tcPr>
          <w:p w:rsidR="00376768" w:rsidRDefault="00376768">
            <w:pPr>
              <w:rPr>
                <w:rFonts w:ascii="Arial" w:eastAsia="Arial Unicode MS" w:hAnsi="Arial" w:cs="Arial"/>
                <w:sz w:val="16"/>
              </w:rPr>
            </w:pPr>
          </w:p>
        </w:tc>
        <w:tc>
          <w:tcPr>
            <w:tcW w:w="87" w:type="dxa"/>
            <w:tcBorders>
              <w:top w:val="single" w:sz="4" w:space="0" w:color="auto"/>
              <w:left w:val="single" w:sz="4" w:space="0" w:color="auto"/>
              <w:bottom w:val="single" w:sz="4" w:space="0" w:color="auto"/>
            </w:tcBorders>
          </w:tcPr>
          <w:p w:rsidR="00376768" w:rsidRDefault="00376768">
            <w:pPr>
              <w:rPr>
                <w:rFonts w:ascii="Arial" w:eastAsia="Arial Unicode MS" w:hAnsi="Arial" w:cs="Arial"/>
                <w:sz w:val="16"/>
              </w:rPr>
            </w:pPr>
          </w:p>
        </w:tc>
        <w:tc>
          <w:tcPr>
            <w:tcW w:w="866" w:type="dxa"/>
            <w:tcBorders>
              <w:top w:val="single" w:sz="4" w:space="0" w:color="auto"/>
              <w:bottom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c>
          <w:tcPr>
            <w:tcW w:w="100" w:type="dxa"/>
            <w:tcBorders>
              <w:top w:val="single" w:sz="4" w:space="0" w:color="auto"/>
              <w:bottom w:val="single" w:sz="4" w:space="0" w:color="auto"/>
              <w:right w:val="single" w:sz="4" w:space="0" w:color="auto"/>
            </w:tcBorders>
          </w:tcPr>
          <w:p w:rsidR="00376768" w:rsidRDefault="00376768">
            <w:pPr>
              <w:jc w:val="center"/>
              <w:rPr>
                <w:rFonts w:ascii="Arial" w:eastAsia="Arial Unicode MS" w:hAnsi="Arial" w:cs="Arial"/>
                <w:sz w:val="16"/>
              </w:rPr>
            </w:pPr>
          </w:p>
        </w:tc>
        <w:tc>
          <w:tcPr>
            <w:tcW w:w="88" w:type="dxa"/>
            <w:tcBorders>
              <w:top w:val="single" w:sz="4" w:space="0" w:color="auto"/>
              <w:left w:val="single" w:sz="4" w:space="0" w:color="auto"/>
              <w:bottom w:val="single" w:sz="4" w:space="0" w:color="auto"/>
            </w:tcBorders>
          </w:tcPr>
          <w:p w:rsidR="00376768" w:rsidRDefault="00376768">
            <w:pPr>
              <w:jc w:val="center"/>
              <w:rPr>
                <w:rFonts w:ascii="Arial" w:eastAsia="Arial Unicode MS" w:hAnsi="Arial" w:cs="Arial"/>
                <w:sz w:val="16"/>
              </w:rPr>
            </w:pPr>
          </w:p>
        </w:tc>
        <w:tc>
          <w:tcPr>
            <w:tcW w:w="840" w:type="dxa"/>
            <w:tcBorders>
              <w:top w:val="single" w:sz="4" w:space="0" w:color="auto"/>
              <w:bottom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c>
          <w:tcPr>
            <w:tcW w:w="86" w:type="dxa"/>
            <w:tcBorders>
              <w:top w:val="single" w:sz="4" w:space="0" w:color="auto"/>
              <w:bottom w:val="single" w:sz="4" w:space="0" w:color="auto"/>
              <w:right w:val="single" w:sz="4" w:space="0" w:color="auto"/>
            </w:tcBorders>
          </w:tcPr>
          <w:p w:rsidR="00376768" w:rsidRDefault="00376768">
            <w:pPr>
              <w:jc w:val="center"/>
              <w:rPr>
                <w:rFonts w:ascii="Arial" w:eastAsia="Arial Unicode MS" w:hAnsi="Arial" w:cs="Arial"/>
                <w:sz w:val="16"/>
              </w:rPr>
            </w:pPr>
          </w:p>
        </w:tc>
        <w:tc>
          <w:tcPr>
            <w:tcW w:w="90" w:type="dxa"/>
            <w:tcBorders>
              <w:top w:val="single" w:sz="4" w:space="0" w:color="auto"/>
              <w:left w:val="single" w:sz="4" w:space="0" w:color="auto"/>
              <w:bottom w:val="single" w:sz="4" w:space="0" w:color="auto"/>
            </w:tcBorders>
          </w:tcPr>
          <w:p w:rsidR="00376768" w:rsidRDefault="00376768">
            <w:pPr>
              <w:jc w:val="center"/>
              <w:rPr>
                <w:rFonts w:ascii="Arial" w:eastAsia="Arial Unicode MS" w:hAnsi="Arial" w:cs="Arial"/>
                <w:sz w:val="16"/>
              </w:rPr>
            </w:pPr>
          </w:p>
        </w:tc>
        <w:tc>
          <w:tcPr>
            <w:tcW w:w="843" w:type="dxa"/>
            <w:tcBorders>
              <w:top w:val="single" w:sz="4" w:space="0" w:color="auto"/>
              <w:bottom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c>
          <w:tcPr>
            <w:tcW w:w="89" w:type="dxa"/>
            <w:tcBorders>
              <w:top w:val="single" w:sz="4" w:space="0" w:color="auto"/>
              <w:bottom w:val="single" w:sz="4" w:space="0" w:color="auto"/>
              <w:right w:val="single" w:sz="4" w:space="0" w:color="auto"/>
            </w:tcBorders>
          </w:tcPr>
          <w:p w:rsidR="00376768" w:rsidRDefault="00376768">
            <w:pPr>
              <w:jc w:val="center"/>
              <w:rPr>
                <w:rFonts w:ascii="Arial" w:eastAsia="Arial Unicode MS" w:hAnsi="Arial" w:cs="Arial"/>
                <w:sz w:val="16"/>
              </w:rPr>
            </w:pPr>
          </w:p>
        </w:tc>
        <w:tc>
          <w:tcPr>
            <w:tcW w:w="87" w:type="dxa"/>
            <w:tcBorders>
              <w:top w:val="single" w:sz="4" w:space="0" w:color="auto"/>
              <w:left w:val="single" w:sz="4" w:space="0" w:color="auto"/>
              <w:bottom w:val="single" w:sz="4" w:space="0" w:color="auto"/>
            </w:tcBorders>
          </w:tcPr>
          <w:p w:rsidR="00376768" w:rsidRDefault="00376768">
            <w:pPr>
              <w:jc w:val="center"/>
              <w:rPr>
                <w:rFonts w:ascii="Arial" w:eastAsia="Arial Unicode MS" w:hAnsi="Arial" w:cs="Arial"/>
                <w:sz w:val="16"/>
              </w:rPr>
            </w:pPr>
          </w:p>
        </w:tc>
        <w:tc>
          <w:tcPr>
            <w:tcW w:w="918"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c>
          <w:tcPr>
            <w:tcW w:w="86" w:type="dxa"/>
            <w:tcBorders>
              <w:top w:val="single" w:sz="4" w:space="0" w:color="auto"/>
              <w:left w:val="single" w:sz="4" w:space="0" w:color="auto"/>
              <w:bottom w:val="single" w:sz="4" w:space="0" w:color="auto"/>
            </w:tcBorders>
          </w:tcPr>
          <w:p w:rsidR="00376768" w:rsidRDefault="00376768">
            <w:pPr>
              <w:jc w:val="center"/>
              <w:rPr>
                <w:rFonts w:ascii="Arial" w:eastAsia="Arial Unicode MS" w:hAnsi="Arial" w:cs="Arial"/>
                <w:sz w:val="16"/>
              </w:rPr>
            </w:pPr>
          </w:p>
        </w:tc>
        <w:tc>
          <w:tcPr>
            <w:tcW w:w="89" w:type="dxa"/>
            <w:tcBorders>
              <w:top w:val="single" w:sz="4" w:space="0" w:color="auto"/>
              <w:bottom w:val="single" w:sz="4" w:space="0" w:color="auto"/>
            </w:tcBorders>
          </w:tcPr>
          <w:p w:rsidR="00376768" w:rsidRDefault="00376768">
            <w:pPr>
              <w:jc w:val="center"/>
              <w:rPr>
                <w:rFonts w:ascii="Arial" w:eastAsia="Arial Unicode MS" w:hAnsi="Arial" w:cs="Arial"/>
                <w:sz w:val="16"/>
              </w:rPr>
            </w:pPr>
          </w:p>
        </w:tc>
        <w:tc>
          <w:tcPr>
            <w:tcW w:w="926" w:type="dxa"/>
            <w:tcBorders>
              <w:top w:val="single" w:sz="4" w:space="0" w:color="auto"/>
              <w:bottom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c>
          <w:tcPr>
            <w:tcW w:w="73" w:type="dxa"/>
            <w:tcBorders>
              <w:top w:val="single" w:sz="4" w:space="0" w:color="auto"/>
              <w:bottom w:val="single" w:sz="4" w:space="0" w:color="auto"/>
              <w:right w:val="single" w:sz="4" w:space="0" w:color="auto"/>
            </w:tcBorders>
          </w:tcPr>
          <w:p w:rsidR="00376768" w:rsidRDefault="00376768">
            <w:pPr>
              <w:jc w:val="center"/>
              <w:rPr>
                <w:rFonts w:ascii="Arial" w:eastAsia="Arial Unicode MS" w:hAnsi="Arial" w:cs="Arial"/>
                <w:sz w:val="16"/>
              </w:rPr>
            </w:pPr>
          </w:p>
        </w:tc>
        <w:tc>
          <w:tcPr>
            <w:tcW w:w="69" w:type="dxa"/>
            <w:tcBorders>
              <w:top w:val="single" w:sz="4" w:space="0" w:color="auto"/>
              <w:left w:val="single" w:sz="4" w:space="0" w:color="auto"/>
              <w:bottom w:val="single" w:sz="4" w:space="0" w:color="auto"/>
            </w:tcBorders>
          </w:tcPr>
          <w:p w:rsidR="00376768" w:rsidRDefault="00376768">
            <w:pPr>
              <w:jc w:val="center"/>
              <w:rPr>
                <w:rFonts w:ascii="Arial" w:eastAsia="Arial Unicode MS" w:hAnsi="Arial" w:cs="Arial"/>
                <w:sz w:val="16"/>
              </w:rPr>
            </w:pPr>
          </w:p>
        </w:tc>
        <w:tc>
          <w:tcPr>
            <w:tcW w:w="752" w:type="dxa"/>
            <w:tcBorders>
              <w:top w:val="single" w:sz="4" w:space="0" w:color="auto"/>
              <w:bottom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c>
          <w:tcPr>
            <w:tcW w:w="114" w:type="dxa"/>
            <w:tcBorders>
              <w:top w:val="single" w:sz="4" w:space="0" w:color="auto"/>
              <w:bottom w:val="single" w:sz="4" w:space="0" w:color="auto"/>
              <w:right w:val="single" w:sz="4" w:space="0" w:color="auto"/>
            </w:tcBorders>
          </w:tcPr>
          <w:p w:rsidR="00376768" w:rsidRDefault="00376768">
            <w:pPr>
              <w:jc w:val="center"/>
              <w:rPr>
                <w:rFonts w:ascii="Arial" w:eastAsia="Arial Unicode MS" w:hAnsi="Arial" w:cs="Arial"/>
                <w:sz w:val="16"/>
              </w:rPr>
            </w:pPr>
          </w:p>
        </w:tc>
        <w:tc>
          <w:tcPr>
            <w:tcW w:w="79" w:type="dxa"/>
            <w:tcBorders>
              <w:top w:val="single" w:sz="4" w:space="0" w:color="auto"/>
              <w:left w:val="single" w:sz="4" w:space="0" w:color="auto"/>
              <w:bottom w:val="single" w:sz="4" w:space="0" w:color="auto"/>
            </w:tcBorders>
          </w:tcPr>
          <w:p w:rsidR="00376768" w:rsidRDefault="00376768">
            <w:pPr>
              <w:jc w:val="center"/>
              <w:rPr>
                <w:rFonts w:ascii="Arial" w:eastAsia="Arial Unicode MS" w:hAnsi="Arial" w:cs="Arial"/>
                <w:sz w:val="16"/>
              </w:rPr>
            </w:pPr>
          </w:p>
        </w:tc>
        <w:tc>
          <w:tcPr>
            <w:tcW w:w="868" w:type="dxa"/>
            <w:tcBorders>
              <w:top w:val="single" w:sz="4" w:space="0" w:color="auto"/>
              <w:bottom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c>
          <w:tcPr>
            <w:tcW w:w="83" w:type="dxa"/>
            <w:tcBorders>
              <w:top w:val="single" w:sz="4" w:space="0" w:color="auto"/>
              <w:bottom w:val="single" w:sz="4" w:space="0" w:color="auto"/>
              <w:right w:val="single" w:sz="4" w:space="0" w:color="auto"/>
            </w:tcBorders>
          </w:tcPr>
          <w:p w:rsidR="00376768" w:rsidRDefault="00376768">
            <w:pPr>
              <w:jc w:val="center"/>
              <w:rPr>
                <w:rFonts w:ascii="Arial" w:eastAsia="Arial Unicode MS" w:hAnsi="Arial" w:cs="Arial"/>
                <w:sz w:val="16"/>
              </w:rPr>
            </w:pPr>
          </w:p>
        </w:tc>
        <w:tc>
          <w:tcPr>
            <w:tcW w:w="73" w:type="dxa"/>
            <w:tcBorders>
              <w:top w:val="single" w:sz="4" w:space="0" w:color="auto"/>
              <w:left w:val="single" w:sz="4" w:space="0" w:color="auto"/>
              <w:bottom w:val="single" w:sz="4" w:space="0" w:color="auto"/>
            </w:tcBorders>
          </w:tcPr>
          <w:p w:rsidR="00376768" w:rsidRDefault="00376768">
            <w:pPr>
              <w:jc w:val="center"/>
              <w:rPr>
                <w:rFonts w:ascii="Arial" w:eastAsia="Arial Unicode MS" w:hAnsi="Arial" w:cs="Arial"/>
                <w:sz w:val="16"/>
              </w:rPr>
            </w:pPr>
          </w:p>
        </w:tc>
        <w:tc>
          <w:tcPr>
            <w:tcW w:w="1114" w:type="dxa"/>
            <w:tcBorders>
              <w:top w:val="single" w:sz="4" w:space="0" w:color="auto"/>
              <w:bottom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c>
          <w:tcPr>
            <w:tcW w:w="73" w:type="dxa"/>
            <w:tcBorders>
              <w:top w:val="single" w:sz="4" w:space="0" w:color="auto"/>
              <w:bottom w:val="single" w:sz="4" w:space="0" w:color="auto"/>
              <w:right w:val="single" w:sz="4" w:space="0" w:color="auto"/>
            </w:tcBorders>
          </w:tcPr>
          <w:p w:rsidR="00376768" w:rsidRDefault="00376768">
            <w:pPr>
              <w:jc w:val="center"/>
              <w:rPr>
                <w:rFonts w:ascii="Arial" w:eastAsia="Arial Unicode MS" w:hAnsi="Arial" w:cs="Arial"/>
                <w:sz w:val="16"/>
              </w:rPr>
            </w:pPr>
          </w:p>
        </w:tc>
        <w:tc>
          <w:tcPr>
            <w:tcW w:w="103" w:type="dxa"/>
            <w:tcBorders>
              <w:top w:val="single" w:sz="4" w:space="0" w:color="auto"/>
              <w:left w:val="single" w:sz="4" w:space="0" w:color="auto"/>
              <w:bottom w:val="single" w:sz="4" w:space="0" w:color="auto"/>
            </w:tcBorders>
          </w:tcPr>
          <w:p w:rsidR="00376768" w:rsidRDefault="00376768">
            <w:pPr>
              <w:jc w:val="center"/>
              <w:rPr>
                <w:rFonts w:ascii="Arial" w:eastAsia="Arial Unicode MS" w:hAnsi="Arial" w:cs="Arial"/>
                <w:sz w:val="16"/>
              </w:rPr>
            </w:pPr>
          </w:p>
        </w:tc>
        <w:tc>
          <w:tcPr>
            <w:tcW w:w="903"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r>
      <w:tr w:rsidR="00376768">
        <w:trPr>
          <w:cantSplit/>
        </w:trPr>
        <w:tc>
          <w:tcPr>
            <w:tcW w:w="1301" w:type="dxa"/>
            <w:vMerge w:val="restart"/>
            <w:tcBorders>
              <w:top w:val="single" w:sz="4" w:space="0" w:color="auto"/>
              <w:left w:val="single" w:sz="4" w:space="0" w:color="auto"/>
            </w:tcBorders>
            <w:vAlign w:val="center"/>
          </w:tcPr>
          <w:p w:rsidR="00376768" w:rsidRDefault="00EC2B72">
            <w:pPr>
              <w:ind w:left="58"/>
              <w:rPr>
                <w:rFonts w:ascii="Arial" w:hAnsi="Arial" w:cs="Arial"/>
                <w:sz w:val="16"/>
              </w:rPr>
            </w:pPr>
            <w:r>
              <w:rPr>
                <w:rFonts w:ascii="Arial" w:hAnsi="Arial" w:cs="Arial"/>
                <w:sz w:val="16"/>
                <w:szCs w:val="18"/>
              </w:rPr>
              <w:t xml:space="preserve">John F. </w:t>
            </w:r>
            <w:proofErr w:type="spellStart"/>
            <w:r>
              <w:rPr>
                <w:rFonts w:ascii="Arial" w:hAnsi="Arial" w:cs="Arial"/>
                <w:sz w:val="16"/>
                <w:szCs w:val="18"/>
              </w:rPr>
              <w:t>Kasel</w:t>
            </w:r>
            <w:proofErr w:type="spellEnd"/>
          </w:p>
        </w:tc>
        <w:tc>
          <w:tcPr>
            <w:tcW w:w="80" w:type="dxa"/>
            <w:tcBorders>
              <w:top w:val="single" w:sz="4" w:space="0" w:color="auto"/>
              <w:right w:val="single" w:sz="4" w:space="0" w:color="auto"/>
            </w:tcBorders>
          </w:tcPr>
          <w:p w:rsidR="00376768" w:rsidRDefault="00376768">
            <w:pP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rPr>
                <w:rFonts w:ascii="Arial" w:hAnsi="Arial" w:cs="Arial"/>
                <w:sz w:val="16"/>
                <w:szCs w:val="18"/>
              </w:rPr>
            </w:pPr>
          </w:p>
        </w:tc>
        <w:tc>
          <w:tcPr>
            <w:tcW w:w="866"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100"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8"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0"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27,642</w:t>
            </w:r>
          </w:p>
        </w:tc>
        <w:tc>
          <w:tcPr>
            <w:tcW w:w="86"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90"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3"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153,567</w:t>
            </w:r>
          </w:p>
        </w:tc>
        <w:tc>
          <w:tcPr>
            <w:tcW w:w="89"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18"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307,134</w:t>
            </w:r>
          </w:p>
        </w:tc>
        <w:tc>
          <w:tcPr>
            <w:tcW w:w="86"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9" w:type="dxa"/>
            <w:tcBorders>
              <w:top w:val="single" w:sz="4" w:space="0" w:color="auto"/>
              <w:bottom w:val="single" w:sz="4" w:space="0" w:color="auto"/>
            </w:tcBorders>
          </w:tcPr>
          <w:p w:rsidR="00376768" w:rsidRDefault="00376768">
            <w:pPr>
              <w:jc w:val="center"/>
              <w:rPr>
                <w:rFonts w:ascii="Arial" w:hAnsi="Arial" w:cs="Arial"/>
                <w:sz w:val="16"/>
                <w:szCs w:val="18"/>
              </w:rPr>
            </w:pPr>
          </w:p>
        </w:tc>
        <w:tc>
          <w:tcPr>
            <w:tcW w:w="926"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6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752"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114"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68"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1114"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10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03"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r>
      <w:tr w:rsidR="00376768">
        <w:trPr>
          <w:cantSplit/>
        </w:trPr>
        <w:tc>
          <w:tcPr>
            <w:tcW w:w="1301" w:type="dxa"/>
            <w:vMerge/>
            <w:tcBorders>
              <w:left w:val="single" w:sz="4" w:space="0" w:color="auto"/>
            </w:tcBorders>
            <w:vAlign w:val="center"/>
          </w:tcPr>
          <w:p w:rsidR="00376768" w:rsidRDefault="00376768">
            <w:pPr>
              <w:rPr>
                <w:rFonts w:ascii="Arial" w:eastAsia="Arial Unicode MS" w:hAnsi="Arial" w:cs="Arial"/>
                <w:sz w:val="16"/>
              </w:rPr>
            </w:pPr>
          </w:p>
        </w:tc>
        <w:tc>
          <w:tcPr>
            <w:tcW w:w="80" w:type="dxa"/>
            <w:tcBorders>
              <w:right w:val="single" w:sz="4" w:space="0" w:color="auto"/>
            </w:tcBorders>
          </w:tcPr>
          <w:p w:rsidR="00376768" w:rsidRDefault="00376768">
            <w:pP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rPr>
                <w:rFonts w:ascii="Arial" w:hAnsi="Arial" w:cs="Arial"/>
                <w:sz w:val="16"/>
                <w:szCs w:val="18"/>
              </w:rPr>
            </w:pPr>
          </w:p>
        </w:tc>
        <w:tc>
          <w:tcPr>
            <w:tcW w:w="866" w:type="dxa"/>
            <w:tcBorders>
              <w:top w:val="single" w:sz="4" w:space="0" w:color="auto"/>
              <w:bottom w:val="single" w:sz="4" w:space="0" w:color="auto"/>
            </w:tcBorders>
            <w:vAlign w:val="center"/>
          </w:tcPr>
          <w:p w:rsidR="00376768" w:rsidRDefault="00EC2B72">
            <w:pPr>
              <w:jc w:val="center"/>
              <w:rPr>
                <w:rFonts w:ascii="Arial" w:hAnsi="Arial" w:cs="Arial"/>
                <w:sz w:val="16"/>
              </w:rPr>
            </w:pPr>
            <w:r>
              <w:rPr>
                <w:rFonts w:ascii="Arial" w:hAnsi="Arial" w:cs="Arial"/>
                <w:sz w:val="16"/>
                <w:szCs w:val="18"/>
              </w:rPr>
              <w:t>2/14/17</w:t>
            </w:r>
          </w:p>
        </w:tc>
        <w:tc>
          <w:tcPr>
            <w:tcW w:w="100"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8"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0"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6"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90"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3"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9"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18"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6"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9" w:type="dxa"/>
            <w:tcBorders>
              <w:top w:val="single" w:sz="4" w:space="0" w:color="auto"/>
              <w:bottom w:val="single" w:sz="4" w:space="0" w:color="auto"/>
            </w:tcBorders>
          </w:tcPr>
          <w:p w:rsidR="00376768" w:rsidRDefault="00376768">
            <w:pPr>
              <w:jc w:val="center"/>
              <w:rPr>
                <w:rFonts w:ascii="Arial" w:hAnsi="Arial" w:cs="Arial"/>
                <w:sz w:val="16"/>
                <w:szCs w:val="18"/>
              </w:rPr>
            </w:pPr>
          </w:p>
        </w:tc>
        <w:tc>
          <w:tcPr>
            <w:tcW w:w="926"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6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752"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114"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68"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1114"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15,000</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10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03"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211,500</w:t>
            </w:r>
          </w:p>
        </w:tc>
      </w:tr>
      <w:tr w:rsidR="00376768">
        <w:trPr>
          <w:cantSplit/>
        </w:trPr>
        <w:tc>
          <w:tcPr>
            <w:tcW w:w="1301" w:type="dxa"/>
            <w:vMerge/>
            <w:tcBorders>
              <w:left w:val="single" w:sz="4" w:space="0" w:color="auto"/>
            </w:tcBorders>
            <w:vAlign w:val="center"/>
          </w:tcPr>
          <w:p w:rsidR="00376768" w:rsidRDefault="00376768">
            <w:pPr>
              <w:rPr>
                <w:rFonts w:ascii="Arial" w:eastAsia="Arial Unicode MS" w:hAnsi="Arial" w:cs="Arial"/>
                <w:sz w:val="16"/>
              </w:rPr>
            </w:pPr>
          </w:p>
        </w:tc>
        <w:tc>
          <w:tcPr>
            <w:tcW w:w="80" w:type="dxa"/>
            <w:tcBorders>
              <w:right w:val="single" w:sz="4" w:space="0" w:color="auto"/>
            </w:tcBorders>
          </w:tcPr>
          <w:p w:rsidR="00376768" w:rsidRDefault="00376768">
            <w:pP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rPr>
                <w:rFonts w:ascii="Arial" w:hAnsi="Arial" w:cs="Arial"/>
                <w:sz w:val="16"/>
                <w:szCs w:val="18"/>
              </w:rPr>
            </w:pPr>
          </w:p>
        </w:tc>
        <w:tc>
          <w:tcPr>
            <w:tcW w:w="866" w:type="dxa"/>
            <w:tcBorders>
              <w:top w:val="single" w:sz="4" w:space="0" w:color="auto"/>
              <w:bottom w:val="single" w:sz="4" w:space="0" w:color="auto"/>
            </w:tcBorders>
            <w:vAlign w:val="center"/>
          </w:tcPr>
          <w:p w:rsidR="00376768" w:rsidRDefault="00EC2B72">
            <w:pPr>
              <w:jc w:val="center"/>
              <w:rPr>
                <w:rFonts w:ascii="Arial" w:hAnsi="Arial" w:cs="Arial"/>
                <w:sz w:val="16"/>
              </w:rPr>
            </w:pPr>
            <w:r>
              <w:rPr>
                <w:rFonts w:ascii="Arial" w:hAnsi="Arial" w:cs="Arial"/>
                <w:sz w:val="16"/>
                <w:szCs w:val="18"/>
              </w:rPr>
              <w:t>2/22/17</w:t>
            </w:r>
          </w:p>
        </w:tc>
        <w:tc>
          <w:tcPr>
            <w:tcW w:w="100"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8"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0"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6"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90"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3"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9"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18"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6"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9" w:type="dxa"/>
            <w:tcBorders>
              <w:top w:val="single" w:sz="4" w:space="0" w:color="auto"/>
              <w:bottom w:val="single" w:sz="4" w:space="0" w:color="auto"/>
            </w:tcBorders>
          </w:tcPr>
          <w:p w:rsidR="00376768" w:rsidRDefault="00376768">
            <w:pPr>
              <w:jc w:val="center"/>
              <w:rPr>
                <w:rFonts w:ascii="Arial" w:hAnsi="Arial" w:cs="Arial"/>
                <w:sz w:val="16"/>
                <w:szCs w:val="18"/>
              </w:rPr>
            </w:pPr>
          </w:p>
        </w:tc>
        <w:tc>
          <w:tcPr>
            <w:tcW w:w="926"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4,261</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6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752"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12,174</w:t>
            </w:r>
          </w:p>
        </w:tc>
        <w:tc>
          <w:tcPr>
            <w:tcW w:w="114"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68"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30,435</w:t>
            </w:r>
          </w:p>
        </w:tc>
        <w:tc>
          <w:tcPr>
            <w:tcW w:w="8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1114"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10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03"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164,349</w:t>
            </w:r>
          </w:p>
        </w:tc>
      </w:tr>
      <w:tr w:rsidR="00376768">
        <w:trPr>
          <w:cantSplit/>
        </w:trPr>
        <w:tc>
          <w:tcPr>
            <w:tcW w:w="1301" w:type="dxa"/>
            <w:vMerge/>
            <w:tcBorders>
              <w:left w:val="single" w:sz="4" w:space="0" w:color="auto"/>
              <w:bottom w:val="single" w:sz="4" w:space="0" w:color="auto"/>
            </w:tcBorders>
            <w:vAlign w:val="center"/>
          </w:tcPr>
          <w:p w:rsidR="00376768" w:rsidRDefault="00376768">
            <w:pPr>
              <w:rPr>
                <w:rFonts w:ascii="Arial" w:eastAsia="Arial Unicode MS" w:hAnsi="Arial" w:cs="Arial"/>
                <w:sz w:val="16"/>
              </w:rPr>
            </w:pPr>
          </w:p>
        </w:tc>
        <w:tc>
          <w:tcPr>
            <w:tcW w:w="80" w:type="dxa"/>
            <w:tcBorders>
              <w:bottom w:val="single" w:sz="4" w:space="0" w:color="auto"/>
              <w:right w:val="single" w:sz="4" w:space="0" w:color="auto"/>
            </w:tcBorders>
          </w:tcPr>
          <w:p w:rsidR="00376768" w:rsidRDefault="00376768">
            <w:pP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rPr>
                <w:rFonts w:ascii="Arial" w:hAnsi="Arial" w:cs="Arial"/>
                <w:sz w:val="16"/>
                <w:szCs w:val="18"/>
              </w:rPr>
            </w:pPr>
          </w:p>
        </w:tc>
        <w:tc>
          <w:tcPr>
            <w:tcW w:w="866" w:type="dxa"/>
            <w:tcBorders>
              <w:top w:val="single" w:sz="4" w:space="0" w:color="auto"/>
              <w:bottom w:val="single" w:sz="4" w:space="0" w:color="auto"/>
            </w:tcBorders>
            <w:vAlign w:val="center"/>
          </w:tcPr>
          <w:p w:rsidR="00376768" w:rsidRDefault="00EC2B72">
            <w:pPr>
              <w:jc w:val="center"/>
              <w:rPr>
                <w:rFonts w:ascii="Arial" w:hAnsi="Arial" w:cs="Arial"/>
                <w:sz w:val="16"/>
              </w:rPr>
            </w:pPr>
            <w:r>
              <w:rPr>
                <w:rFonts w:ascii="Arial" w:hAnsi="Arial" w:cs="Arial"/>
                <w:sz w:val="16"/>
                <w:szCs w:val="18"/>
              </w:rPr>
              <w:t>2/22/17</w:t>
            </w:r>
          </w:p>
        </w:tc>
        <w:tc>
          <w:tcPr>
            <w:tcW w:w="100"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8"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0"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6"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90"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3"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9"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18"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6"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9" w:type="dxa"/>
            <w:tcBorders>
              <w:top w:val="single" w:sz="4" w:space="0" w:color="auto"/>
              <w:bottom w:val="single" w:sz="4" w:space="0" w:color="auto"/>
            </w:tcBorders>
          </w:tcPr>
          <w:p w:rsidR="00376768" w:rsidRDefault="00376768">
            <w:pPr>
              <w:jc w:val="center"/>
              <w:rPr>
                <w:rFonts w:ascii="Arial" w:hAnsi="Arial" w:cs="Arial"/>
                <w:sz w:val="16"/>
                <w:szCs w:val="18"/>
              </w:rPr>
            </w:pPr>
          </w:p>
        </w:tc>
        <w:tc>
          <w:tcPr>
            <w:tcW w:w="926"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6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752"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114"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68"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1114"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4,058</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10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03"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54,783</w:t>
            </w:r>
          </w:p>
        </w:tc>
      </w:tr>
      <w:tr w:rsidR="00376768">
        <w:trPr>
          <w:trHeight w:val="120"/>
        </w:trPr>
        <w:tc>
          <w:tcPr>
            <w:tcW w:w="1301" w:type="dxa"/>
            <w:tcBorders>
              <w:top w:val="single" w:sz="4" w:space="0" w:color="auto"/>
              <w:left w:val="single" w:sz="4" w:space="0" w:color="auto"/>
              <w:bottom w:val="single" w:sz="4" w:space="0" w:color="auto"/>
            </w:tcBorders>
            <w:vAlign w:val="center"/>
          </w:tcPr>
          <w:p w:rsidR="00376768" w:rsidRDefault="00376768">
            <w:pPr>
              <w:rPr>
                <w:rFonts w:ascii="Arial" w:eastAsia="Arial Unicode MS" w:hAnsi="Arial" w:cs="Arial"/>
                <w:sz w:val="16"/>
              </w:rPr>
            </w:pPr>
          </w:p>
        </w:tc>
        <w:tc>
          <w:tcPr>
            <w:tcW w:w="80" w:type="dxa"/>
            <w:tcBorders>
              <w:top w:val="single" w:sz="4" w:space="0" w:color="auto"/>
              <w:bottom w:val="single" w:sz="4" w:space="0" w:color="auto"/>
              <w:right w:val="single" w:sz="4" w:space="0" w:color="auto"/>
            </w:tcBorders>
          </w:tcPr>
          <w:p w:rsidR="00376768" w:rsidRDefault="00376768">
            <w:pPr>
              <w:rPr>
                <w:rFonts w:ascii="Arial" w:eastAsia="Arial Unicode MS" w:hAnsi="Arial" w:cs="Arial"/>
                <w:sz w:val="16"/>
              </w:rPr>
            </w:pPr>
          </w:p>
        </w:tc>
        <w:tc>
          <w:tcPr>
            <w:tcW w:w="87" w:type="dxa"/>
            <w:tcBorders>
              <w:top w:val="single" w:sz="4" w:space="0" w:color="auto"/>
              <w:left w:val="single" w:sz="4" w:space="0" w:color="auto"/>
              <w:bottom w:val="single" w:sz="4" w:space="0" w:color="auto"/>
            </w:tcBorders>
          </w:tcPr>
          <w:p w:rsidR="00376768" w:rsidRDefault="00376768">
            <w:pPr>
              <w:rPr>
                <w:rFonts w:ascii="Arial" w:eastAsia="Arial Unicode MS" w:hAnsi="Arial" w:cs="Arial"/>
                <w:sz w:val="16"/>
              </w:rPr>
            </w:pPr>
          </w:p>
        </w:tc>
        <w:tc>
          <w:tcPr>
            <w:tcW w:w="866" w:type="dxa"/>
            <w:tcBorders>
              <w:top w:val="single" w:sz="4" w:space="0" w:color="auto"/>
              <w:bottom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c>
          <w:tcPr>
            <w:tcW w:w="100" w:type="dxa"/>
            <w:tcBorders>
              <w:top w:val="single" w:sz="4" w:space="0" w:color="auto"/>
              <w:bottom w:val="single" w:sz="4" w:space="0" w:color="auto"/>
              <w:right w:val="single" w:sz="4" w:space="0" w:color="auto"/>
            </w:tcBorders>
          </w:tcPr>
          <w:p w:rsidR="00376768" w:rsidRDefault="00376768">
            <w:pPr>
              <w:jc w:val="center"/>
              <w:rPr>
                <w:rFonts w:ascii="Arial" w:eastAsia="Arial Unicode MS" w:hAnsi="Arial" w:cs="Arial"/>
                <w:sz w:val="16"/>
              </w:rPr>
            </w:pPr>
          </w:p>
        </w:tc>
        <w:tc>
          <w:tcPr>
            <w:tcW w:w="88" w:type="dxa"/>
            <w:tcBorders>
              <w:top w:val="single" w:sz="4" w:space="0" w:color="auto"/>
              <w:left w:val="single" w:sz="4" w:space="0" w:color="auto"/>
              <w:bottom w:val="single" w:sz="4" w:space="0" w:color="auto"/>
            </w:tcBorders>
          </w:tcPr>
          <w:p w:rsidR="00376768" w:rsidRDefault="00376768">
            <w:pPr>
              <w:jc w:val="center"/>
              <w:rPr>
                <w:rFonts w:ascii="Arial" w:eastAsia="Arial Unicode MS" w:hAnsi="Arial" w:cs="Arial"/>
                <w:sz w:val="16"/>
              </w:rPr>
            </w:pPr>
          </w:p>
        </w:tc>
        <w:tc>
          <w:tcPr>
            <w:tcW w:w="840" w:type="dxa"/>
            <w:tcBorders>
              <w:top w:val="single" w:sz="4" w:space="0" w:color="auto"/>
              <w:bottom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c>
          <w:tcPr>
            <w:tcW w:w="86" w:type="dxa"/>
            <w:tcBorders>
              <w:top w:val="single" w:sz="4" w:space="0" w:color="auto"/>
              <w:bottom w:val="single" w:sz="4" w:space="0" w:color="auto"/>
              <w:right w:val="single" w:sz="4" w:space="0" w:color="auto"/>
            </w:tcBorders>
          </w:tcPr>
          <w:p w:rsidR="00376768" w:rsidRDefault="00376768">
            <w:pPr>
              <w:jc w:val="center"/>
              <w:rPr>
                <w:rFonts w:ascii="Arial" w:eastAsia="Arial Unicode MS" w:hAnsi="Arial" w:cs="Arial"/>
                <w:sz w:val="16"/>
              </w:rPr>
            </w:pPr>
          </w:p>
        </w:tc>
        <w:tc>
          <w:tcPr>
            <w:tcW w:w="90" w:type="dxa"/>
            <w:tcBorders>
              <w:top w:val="single" w:sz="4" w:space="0" w:color="auto"/>
              <w:left w:val="single" w:sz="4" w:space="0" w:color="auto"/>
              <w:bottom w:val="single" w:sz="4" w:space="0" w:color="auto"/>
            </w:tcBorders>
          </w:tcPr>
          <w:p w:rsidR="00376768" w:rsidRDefault="00376768">
            <w:pPr>
              <w:jc w:val="center"/>
              <w:rPr>
                <w:rFonts w:ascii="Arial" w:eastAsia="Arial Unicode MS" w:hAnsi="Arial" w:cs="Arial"/>
                <w:sz w:val="16"/>
              </w:rPr>
            </w:pPr>
          </w:p>
        </w:tc>
        <w:tc>
          <w:tcPr>
            <w:tcW w:w="843" w:type="dxa"/>
            <w:tcBorders>
              <w:top w:val="single" w:sz="4" w:space="0" w:color="auto"/>
              <w:bottom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c>
          <w:tcPr>
            <w:tcW w:w="89" w:type="dxa"/>
            <w:tcBorders>
              <w:top w:val="single" w:sz="4" w:space="0" w:color="auto"/>
              <w:bottom w:val="single" w:sz="4" w:space="0" w:color="auto"/>
              <w:right w:val="single" w:sz="4" w:space="0" w:color="auto"/>
            </w:tcBorders>
          </w:tcPr>
          <w:p w:rsidR="00376768" w:rsidRDefault="00376768">
            <w:pPr>
              <w:jc w:val="center"/>
              <w:rPr>
                <w:rFonts w:ascii="Arial" w:eastAsia="Arial Unicode MS" w:hAnsi="Arial" w:cs="Arial"/>
                <w:sz w:val="16"/>
              </w:rPr>
            </w:pPr>
          </w:p>
        </w:tc>
        <w:tc>
          <w:tcPr>
            <w:tcW w:w="87" w:type="dxa"/>
            <w:tcBorders>
              <w:top w:val="single" w:sz="4" w:space="0" w:color="auto"/>
              <w:left w:val="single" w:sz="4" w:space="0" w:color="auto"/>
              <w:bottom w:val="single" w:sz="4" w:space="0" w:color="auto"/>
            </w:tcBorders>
          </w:tcPr>
          <w:p w:rsidR="00376768" w:rsidRDefault="00376768">
            <w:pPr>
              <w:jc w:val="center"/>
              <w:rPr>
                <w:rFonts w:ascii="Arial" w:eastAsia="Arial Unicode MS" w:hAnsi="Arial" w:cs="Arial"/>
                <w:sz w:val="16"/>
              </w:rPr>
            </w:pPr>
          </w:p>
        </w:tc>
        <w:tc>
          <w:tcPr>
            <w:tcW w:w="918"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c>
          <w:tcPr>
            <w:tcW w:w="86" w:type="dxa"/>
            <w:tcBorders>
              <w:top w:val="single" w:sz="4" w:space="0" w:color="auto"/>
              <w:left w:val="single" w:sz="4" w:space="0" w:color="auto"/>
              <w:bottom w:val="single" w:sz="4" w:space="0" w:color="auto"/>
            </w:tcBorders>
          </w:tcPr>
          <w:p w:rsidR="00376768" w:rsidRDefault="00376768">
            <w:pPr>
              <w:jc w:val="center"/>
              <w:rPr>
                <w:rFonts w:ascii="Arial" w:eastAsia="Arial Unicode MS" w:hAnsi="Arial" w:cs="Arial"/>
                <w:sz w:val="16"/>
              </w:rPr>
            </w:pPr>
          </w:p>
        </w:tc>
        <w:tc>
          <w:tcPr>
            <w:tcW w:w="89" w:type="dxa"/>
            <w:tcBorders>
              <w:top w:val="single" w:sz="4" w:space="0" w:color="auto"/>
              <w:bottom w:val="single" w:sz="4" w:space="0" w:color="auto"/>
            </w:tcBorders>
          </w:tcPr>
          <w:p w:rsidR="00376768" w:rsidRDefault="00376768">
            <w:pPr>
              <w:jc w:val="center"/>
              <w:rPr>
                <w:rFonts w:ascii="Arial" w:eastAsia="Arial Unicode MS" w:hAnsi="Arial" w:cs="Arial"/>
                <w:sz w:val="16"/>
              </w:rPr>
            </w:pPr>
          </w:p>
        </w:tc>
        <w:tc>
          <w:tcPr>
            <w:tcW w:w="926" w:type="dxa"/>
            <w:tcBorders>
              <w:top w:val="single" w:sz="4" w:space="0" w:color="auto"/>
              <w:bottom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c>
          <w:tcPr>
            <w:tcW w:w="73" w:type="dxa"/>
            <w:tcBorders>
              <w:top w:val="single" w:sz="4" w:space="0" w:color="auto"/>
              <w:bottom w:val="single" w:sz="4" w:space="0" w:color="auto"/>
              <w:right w:val="single" w:sz="4" w:space="0" w:color="auto"/>
            </w:tcBorders>
          </w:tcPr>
          <w:p w:rsidR="00376768" w:rsidRDefault="00376768">
            <w:pPr>
              <w:jc w:val="center"/>
              <w:rPr>
                <w:rFonts w:ascii="Arial" w:eastAsia="Arial Unicode MS" w:hAnsi="Arial" w:cs="Arial"/>
                <w:sz w:val="16"/>
              </w:rPr>
            </w:pPr>
          </w:p>
        </w:tc>
        <w:tc>
          <w:tcPr>
            <w:tcW w:w="69" w:type="dxa"/>
            <w:tcBorders>
              <w:top w:val="single" w:sz="4" w:space="0" w:color="auto"/>
              <w:left w:val="single" w:sz="4" w:space="0" w:color="auto"/>
              <w:bottom w:val="single" w:sz="4" w:space="0" w:color="auto"/>
            </w:tcBorders>
          </w:tcPr>
          <w:p w:rsidR="00376768" w:rsidRDefault="00376768">
            <w:pPr>
              <w:jc w:val="center"/>
              <w:rPr>
                <w:rFonts w:ascii="Arial" w:eastAsia="Arial Unicode MS" w:hAnsi="Arial" w:cs="Arial"/>
                <w:sz w:val="16"/>
              </w:rPr>
            </w:pPr>
          </w:p>
        </w:tc>
        <w:tc>
          <w:tcPr>
            <w:tcW w:w="752" w:type="dxa"/>
            <w:tcBorders>
              <w:top w:val="single" w:sz="4" w:space="0" w:color="auto"/>
              <w:bottom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c>
          <w:tcPr>
            <w:tcW w:w="114" w:type="dxa"/>
            <w:tcBorders>
              <w:top w:val="single" w:sz="4" w:space="0" w:color="auto"/>
              <w:bottom w:val="single" w:sz="4" w:space="0" w:color="auto"/>
              <w:right w:val="single" w:sz="4" w:space="0" w:color="auto"/>
            </w:tcBorders>
          </w:tcPr>
          <w:p w:rsidR="00376768" w:rsidRDefault="00376768">
            <w:pPr>
              <w:jc w:val="center"/>
              <w:rPr>
                <w:rFonts w:ascii="Arial" w:eastAsia="Arial Unicode MS" w:hAnsi="Arial" w:cs="Arial"/>
                <w:sz w:val="16"/>
              </w:rPr>
            </w:pPr>
          </w:p>
        </w:tc>
        <w:tc>
          <w:tcPr>
            <w:tcW w:w="79" w:type="dxa"/>
            <w:tcBorders>
              <w:top w:val="single" w:sz="4" w:space="0" w:color="auto"/>
              <w:left w:val="single" w:sz="4" w:space="0" w:color="auto"/>
              <w:bottom w:val="single" w:sz="4" w:space="0" w:color="auto"/>
            </w:tcBorders>
          </w:tcPr>
          <w:p w:rsidR="00376768" w:rsidRDefault="00376768">
            <w:pPr>
              <w:jc w:val="center"/>
              <w:rPr>
                <w:rFonts w:ascii="Arial" w:eastAsia="Arial Unicode MS" w:hAnsi="Arial" w:cs="Arial"/>
                <w:sz w:val="16"/>
              </w:rPr>
            </w:pPr>
          </w:p>
        </w:tc>
        <w:tc>
          <w:tcPr>
            <w:tcW w:w="868" w:type="dxa"/>
            <w:tcBorders>
              <w:top w:val="single" w:sz="4" w:space="0" w:color="auto"/>
              <w:bottom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c>
          <w:tcPr>
            <w:tcW w:w="83" w:type="dxa"/>
            <w:tcBorders>
              <w:top w:val="single" w:sz="4" w:space="0" w:color="auto"/>
              <w:bottom w:val="single" w:sz="4" w:space="0" w:color="auto"/>
              <w:right w:val="single" w:sz="4" w:space="0" w:color="auto"/>
            </w:tcBorders>
          </w:tcPr>
          <w:p w:rsidR="00376768" w:rsidRDefault="00376768">
            <w:pPr>
              <w:jc w:val="center"/>
              <w:rPr>
                <w:rFonts w:ascii="Arial" w:eastAsia="Arial Unicode MS" w:hAnsi="Arial" w:cs="Arial"/>
                <w:sz w:val="16"/>
              </w:rPr>
            </w:pPr>
          </w:p>
        </w:tc>
        <w:tc>
          <w:tcPr>
            <w:tcW w:w="73" w:type="dxa"/>
            <w:tcBorders>
              <w:top w:val="single" w:sz="4" w:space="0" w:color="auto"/>
              <w:left w:val="single" w:sz="4" w:space="0" w:color="auto"/>
              <w:bottom w:val="single" w:sz="4" w:space="0" w:color="auto"/>
            </w:tcBorders>
          </w:tcPr>
          <w:p w:rsidR="00376768" w:rsidRDefault="00376768">
            <w:pPr>
              <w:jc w:val="center"/>
              <w:rPr>
                <w:rFonts w:ascii="Arial" w:eastAsia="Arial Unicode MS" w:hAnsi="Arial" w:cs="Arial"/>
                <w:sz w:val="16"/>
              </w:rPr>
            </w:pPr>
          </w:p>
        </w:tc>
        <w:tc>
          <w:tcPr>
            <w:tcW w:w="1114" w:type="dxa"/>
            <w:tcBorders>
              <w:top w:val="single" w:sz="4" w:space="0" w:color="auto"/>
              <w:bottom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c>
          <w:tcPr>
            <w:tcW w:w="73" w:type="dxa"/>
            <w:tcBorders>
              <w:top w:val="single" w:sz="4" w:space="0" w:color="auto"/>
              <w:bottom w:val="single" w:sz="4" w:space="0" w:color="auto"/>
              <w:right w:val="single" w:sz="4" w:space="0" w:color="auto"/>
            </w:tcBorders>
          </w:tcPr>
          <w:p w:rsidR="00376768" w:rsidRDefault="00376768">
            <w:pPr>
              <w:jc w:val="center"/>
              <w:rPr>
                <w:rFonts w:ascii="Arial" w:eastAsia="Arial Unicode MS" w:hAnsi="Arial" w:cs="Arial"/>
                <w:sz w:val="16"/>
              </w:rPr>
            </w:pPr>
          </w:p>
        </w:tc>
        <w:tc>
          <w:tcPr>
            <w:tcW w:w="103" w:type="dxa"/>
            <w:tcBorders>
              <w:top w:val="single" w:sz="4" w:space="0" w:color="auto"/>
              <w:left w:val="single" w:sz="4" w:space="0" w:color="auto"/>
              <w:bottom w:val="single" w:sz="4" w:space="0" w:color="auto"/>
            </w:tcBorders>
          </w:tcPr>
          <w:p w:rsidR="00376768" w:rsidRDefault="00376768">
            <w:pPr>
              <w:jc w:val="center"/>
              <w:rPr>
                <w:rFonts w:ascii="Arial" w:eastAsia="Arial Unicode MS" w:hAnsi="Arial" w:cs="Arial"/>
                <w:sz w:val="16"/>
              </w:rPr>
            </w:pPr>
          </w:p>
        </w:tc>
        <w:tc>
          <w:tcPr>
            <w:tcW w:w="903"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r>
      <w:tr w:rsidR="00376768">
        <w:trPr>
          <w:cantSplit/>
        </w:trPr>
        <w:tc>
          <w:tcPr>
            <w:tcW w:w="1301" w:type="dxa"/>
            <w:vMerge w:val="restart"/>
            <w:tcBorders>
              <w:top w:val="single" w:sz="4" w:space="0" w:color="auto"/>
              <w:left w:val="single" w:sz="4" w:space="0" w:color="auto"/>
            </w:tcBorders>
            <w:vAlign w:val="center"/>
          </w:tcPr>
          <w:p w:rsidR="00376768" w:rsidRDefault="00EC2B72">
            <w:pPr>
              <w:ind w:left="58"/>
              <w:rPr>
                <w:rFonts w:ascii="Arial" w:hAnsi="Arial" w:cs="Arial"/>
                <w:sz w:val="16"/>
              </w:rPr>
            </w:pPr>
            <w:r>
              <w:rPr>
                <w:rFonts w:ascii="Arial" w:hAnsi="Arial" w:cs="Arial"/>
                <w:sz w:val="16"/>
                <w:szCs w:val="18"/>
              </w:rPr>
              <w:t xml:space="preserve">Patrick J. </w:t>
            </w:r>
            <w:proofErr w:type="spellStart"/>
            <w:r>
              <w:rPr>
                <w:rFonts w:ascii="Arial" w:hAnsi="Arial" w:cs="Arial"/>
                <w:sz w:val="16"/>
                <w:szCs w:val="18"/>
              </w:rPr>
              <w:t>Guinee</w:t>
            </w:r>
            <w:proofErr w:type="spellEnd"/>
          </w:p>
        </w:tc>
        <w:tc>
          <w:tcPr>
            <w:tcW w:w="80" w:type="dxa"/>
            <w:tcBorders>
              <w:top w:val="single" w:sz="4" w:space="0" w:color="auto"/>
              <w:right w:val="single" w:sz="4" w:space="0" w:color="auto"/>
            </w:tcBorders>
          </w:tcPr>
          <w:p w:rsidR="00376768" w:rsidRDefault="00376768">
            <w:pP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rPr>
                <w:rFonts w:ascii="Arial" w:hAnsi="Arial" w:cs="Arial"/>
                <w:sz w:val="16"/>
                <w:szCs w:val="18"/>
              </w:rPr>
            </w:pPr>
          </w:p>
        </w:tc>
        <w:tc>
          <w:tcPr>
            <w:tcW w:w="866"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100"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8"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0"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23,264</w:t>
            </w:r>
          </w:p>
        </w:tc>
        <w:tc>
          <w:tcPr>
            <w:tcW w:w="86"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90"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3"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125,753</w:t>
            </w:r>
          </w:p>
        </w:tc>
        <w:tc>
          <w:tcPr>
            <w:tcW w:w="89"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18"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251,506</w:t>
            </w:r>
          </w:p>
        </w:tc>
        <w:tc>
          <w:tcPr>
            <w:tcW w:w="86"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9" w:type="dxa"/>
            <w:tcBorders>
              <w:top w:val="single" w:sz="4" w:space="0" w:color="auto"/>
              <w:bottom w:val="single" w:sz="4" w:space="0" w:color="auto"/>
            </w:tcBorders>
          </w:tcPr>
          <w:p w:rsidR="00376768" w:rsidRDefault="00376768">
            <w:pPr>
              <w:jc w:val="center"/>
              <w:rPr>
                <w:rFonts w:ascii="Arial" w:hAnsi="Arial" w:cs="Arial"/>
                <w:sz w:val="16"/>
                <w:szCs w:val="18"/>
              </w:rPr>
            </w:pPr>
          </w:p>
        </w:tc>
        <w:tc>
          <w:tcPr>
            <w:tcW w:w="926"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6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752"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114"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68"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1114"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10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03"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r>
      <w:tr w:rsidR="00376768">
        <w:trPr>
          <w:cantSplit/>
        </w:trPr>
        <w:tc>
          <w:tcPr>
            <w:tcW w:w="1301" w:type="dxa"/>
            <w:vMerge/>
            <w:tcBorders>
              <w:left w:val="single" w:sz="4" w:space="0" w:color="auto"/>
            </w:tcBorders>
            <w:vAlign w:val="center"/>
          </w:tcPr>
          <w:p w:rsidR="00376768" w:rsidRDefault="00376768">
            <w:pPr>
              <w:rPr>
                <w:rFonts w:ascii="Arial" w:eastAsia="Arial Unicode MS" w:hAnsi="Arial" w:cs="Arial"/>
                <w:sz w:val="16"/>
              </w:rPr>
            </w:pPr>
          </w:p>
        </w:tc>
        <w:tc>
          <w:tcPr>
            <w:tcW w:w="80" w:type="dxa"/>
            <w:tcBorders>
              <w:right w:val="single" w:sz="4" w:space="0" w:color="auto"/>
            </w:tcBorders>
          </w:tcPr>
          <w:p w:rsidR="00376768" w:rsidRDefault="00376768">
            <w:pP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rPr>
                <w:rFonts w:ascii="Arial" w:hAnsi="Arial" w:cs="Arial"/>
                <w:sz w:val="16"/>
                <w:szCs w:val="18"/>
              </w:rPr>
            </w:pPr>
          </w:p>
        </w:tc>
        <w:tc>
          <w:tcPr>
            <w:tcW w:w="866" w:type="dxa"/>
            <w:tcBorders>
              <w:top w:val="single" w:sz="4" w:space="0" w:color="auto"/>
              <w:bottom w:val="single" w:sz="4" w:space="0" w:color="auto"/>
            </w:tcBorders>
            <w:vAlign w:val="center"/>
          </w:tcPr>
          <w:p w:rsidR="00376768" w:rsidRDefault="00EC2B72">
            <w:pPr>
              <w:jc w:val="center"/>
              <w:rPr>
                <w:rFonts w:ascii="Arial" w:hAnsi="Arial" w:cs="Arial"/>
                <w:sz w:val="16"/>
              </w:rPr>
            </w:pPr>
            <w:r>
              <w:rPr>
                <w:rFonts w:ascii="Arial" w:hAnsi="Arial" w:cs="Arial"/>
                <w:sz w:val="16"/>
                <w:szCs w:val="18"/>
              </w:rPr>
              <w:t>2/14/17</w:t>
            </w:r>
          </w:p>
        </w:tc>
        <w:tc>
          <w:tcPr>
            <w:tcW w:w="100"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8"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0"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6"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90"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3"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9"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18"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6"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9" w:type="dxa"/>
            <w:tcBorders>
              <w:top w:val="single" w:sz="4" w:space="0" w:color="auto"/>
              <w:bottom w:val="single" w:sz="4" w:space="0" w:color="auto"/>
            </w:tcBorders>
          </w:tcPr>
          <w:p w:rsidR="00376768" w:rsidRDefault="00376768">
            <w:pPr>
              <w:jc w:val="center"/>
              <w:rPr>
                <w:rFonts w:ascii="Arial" w:hAnsi="Arial" w:cs="Arial"/>
                <w:sz w:val="16"/>
                <w:szCs w:val="18"/>
              </w:rPr>
            </w:pPr>
          </w:p>
        </w:tc>
        <w:tc>
          <w:tcPr>
            <w:tcW w:w="926"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6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752"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114"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68"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1114"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15,000</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10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03"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211,500</w:t>
            </w:r>
          </w:p>
        </w:tc>
      </w:tr>
      <w:tr w:rsidR="00376768">
        <w:trPr>
          <w:cantSplit/>
        </w:trPr>
        <w:tc>
          <w:tcPr>
            <w:tcW w:w="1301" w:type="dxa"/>
            <w:vMerge/>
            <w:tcBorders>
              <w:left w:val="single" w:sz="4" w:space="0" w:color="auto"/>
            </w:tcBorders>
            <w:vAlign w:val="center"/>
          </w:tcPr>
          <w:p w:rsidR="00376768" w:rsidRDefault="00376768">
            <w:pPr>
              <w:rPr>
                <w:rFonts w:ascii="Arial" w:eastAsia="Arial Unicode MS" w:hAnsi="Arial" w:cs="Arial"/>
                <w:sz w:val="16"/>
              </w:rPr>
            </w:pPr>
          </w:p>
        </w:tc>
        <w:tc>
          <w:tcPr>
            <w:tcW w:w="80" w:type="dxa"/>
            <w:tcBorders>
              <w:right w:val="single" w:sz="4" w:space="0" w:color="auto"/>
            </w:tcBorders>
          </w:tcPr>
          <w:p w:rsidR="00376768" w:rsidRDefault="00376768">
            <w:pP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rPr>
                <w:rFonts w:ascii="Arial" w:hAnsi="Arial" w:cs="Arial"/>
                <w:sz w:val="16"/>
                <w:szCs w:val="18"/>
              </w:rPr>
            </w:pPr>
          </w:p>
        </w:tc>
        <w:tc>
          <w:tcPr>
            <w:tcW w:w="866" w:type="dxa"/>
            <w:tcBorders>
              <w:top w:val="single" w:sz="4" w:space="0" w:color="auto"/>
              <w:bottom w:val="single" w:sz="4" w:space="0" w:color="auto"/>
            </w:tcBorders>
            <w:vAlign w:val="center"/>
          </w:tcPr>
          <w:p w:rsidR="00376768" w:rsidRDefault="00EC2B72">
            <w:pPr>
              <w:jc w:val="center"/>
              <w:rPr>
                <w:rFonts w:ascii="Arial" w:hAnsi="Arial" w:cs="Arial"/>
                <w:sz w:val="16"/>
              </w:rPr>
            </w:pPr>
            <w:r>
              <w:rPr>
                <w:rFonts w:ascii="Arial" w:hAnsi="Arial" w:cs="Arial"/>
                <w:sz w:val="16"/>
                <w:szCs w:val="18"/>
              </w:rPr>
              <w:t>2/22/17</w:t>
            </w:r>
          </w:p>
        </w:tc>
        <w:tc>
          <w:tcPr>
            <w:tcW w:w="100"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8"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0"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6"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90"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3"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9"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18"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6"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9" w:type="dxa"/>
            <w:tcBorders>
              <w:top w:val="single" w:sz="4" w:space="0" w:color="auto"/>
              <w:bottom w:val="single" w:sz="4" w:space="0" w:color="auto"/>
            </w:tcBorders>
          </w:tcPr>
          <w:p w:rsidR="00376768" w:rsidRDefault="00376768">
            <w:pPr>
              <w:jc w:val="center"/>
              <w:rPr>
                <w:rFonts w:ascii="Arial" w:hAnsi="Arial" w:cs="Arial"/>
                <w:sz w:val="16"/>
                <w:szCs w:val="18"/>
              </w:rPr>
            </w:pPr>
          </w:p>
        </w:tc>
        <w:tc>
          <w:tcPr>
            <w:tcW w:w="926"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2,964</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6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752"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8,468</w:t>
            </w:r>
          </w:p>
        </w:tc>
        <w:tc>
          <w:tcPr>
            <w:tcW w:w="114"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68"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21,170</w:t>
            </w:r>
          </w:p>
        </w:tc>
        <w:tc>
          <w:tcPr>
            <w:tcW w:w="8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1114"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10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03"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114,318</w:t>
            </w:r>
          </w:p>
        </w:tc>
      </w:tr>
      <w:tr w:rsidR="00376768">
        <w:trPr>
          <w:cantSplit/>
        </w:trPr>
        <w:tc>
          <w:tcPr>
            <w:tcW w:w="1301" w:type="dxa"/>
            <w:vMerge/>
            <w:tcBorders>
              <w:left w:val="single" w:sz="4" w:space="0" w:color="auto"/>
              <w:bottom w:val="single" w:sz="4" w:space="0" w:color="auto"/>
            </w:tcBorders>
            <w:vAlign w:val="center"/>
          </w:tcPr>
          <w:p w:rsidR="00376768" w:rsidRDefault="00376768">
            <w:pPr>
              <w:rPr>
                <w:rFonts w:ascii="Arial" w:eastAsia="Arial Unicode MS" w:hAnsi="Arial" w:cs="Arial"/>
                <w:sz w:val="16"/>
              </w:rPr>
            </w:pPr>
          </w:p>
        </w:tc>
        <w:tc>
          <w:tcPr>
            <w:tcW w:w="80" w:type="dxa"/>
            <w:tcBorders>
              <w:bottom w:val="single" w:sz="4" w:space="0" w:color="auto"/>
              <w:right w:val="single" w:sz="4" w:space="0" w:color="auto"/>
            </w:tcBorders>
          </w:tcPr>
          <w:p w:rsidR="00376768" w:rsidRDefault="00376768">
            <w:pP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rPr>
                <w:rFonts w:ascii="Arial" w:hAnsi="Arial" w:cs="Arial"/>
                <w:sz w:val="16"/>
                <w:szCs w:val="18"/>
              </w:rPr>
            </w:pPr>
          </w:p>
        </w:tc>
        <w:tc>
          <w:tcPr>
            <w:tcW w:w="866" w:type="dxa"/>
            <w:tcBorders>
              <w:top w:val="single" w:sz="4" w:space="0" w:color="auto"/>
              <w:bottom w:val="single" w:sz="4" w:space="0" w:color="auto"/>
            </w:tcBorders>
            <w:vAlign w:val="center"/>
          </w:tcPr>
          <w:p w:rsidR="00376768" w:rsidRDefault="00EC2B72">
            <w:pPr>
              <w:jc w:val="center"/>
              <w:rPr>
                <w:rFonts w:ascii="Arial" w:hAnsi="Arial" w:cs="Arial"/>
                <w:sz w:val="16"/>
              </w:rPr>
            </w:pPr>
            <w:r>
              <w:rPr>
                <w:rFonts w:ascii="Arial" w:hAnsi="Arial" w:cs="Arial"/>
                <w:sz w:val="16"/>
                <w:szCs w:val="18"/>
              </w:rPr>
              <w:t>2/22/17</w:t>
            </w:r>
          </w:p>
        </w:tc>
        <w:tc>
          <w:tcPr>
            <w:tcW w:w="100"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8"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0" w:type="dxa"/>
            <w:tcBorders>
              <w:top w:val="single" w:sz="4" w:space="0" w:color="auto"/>
              <w:bottom w:val="single" w:sz="4" w:space="0" w:color="auto"/>
            </w:tcBorders>
            <w:vAlign w:val="center"/>
          </w:tcPr>
          <w:p w:rsidR="00376768" w:rsidRDefault="00EC2B72">
            <w:pPr>
              <w:jc w:val="center"/>
              <w:rPr>
                <w:rFonts w:ascii="Arial" w:hAnsi="Arial" w:cs="Arial"/>
                <w:sz w:val="16"/>
              </w:rPr>
            </w:pPr>
            <w:r>
              <w:rPr>
                <w:rFonts w:ascii="Arial" w:hAnsi="Arial" w:cs="Arial"/>
                <w:sz w:val="16"/>
                <w:szCs w:val="18"/>
              </w:rPr>
              <w:t>---</w:t>
            </w:r>
          </w:p>
        </w:tc>
        <w:tc>
          <w:tcPr>
            <w:tcW w:w="86"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90"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3" w:type="dxa"/>
            <w:tcBorders>
              <w:top w:val="single" w:sz="4" w:space="0" w:color="auto"/>
              <w:bottom w:val="single" w:sz="4" w:space="0" w:color="auto"/>
            </w:tcBorders>
            <w:vAlign w:val="center"/>
          </w:tcPr>
          <w:p w:rsidR="00376768" w:rsidRDefault="00EC2B72">
            <w:pPr>
              <w:jc w:val="center"/>
              <w:rPr>
                <w:rFonts w:ascii="Arial" w:hAnsi="Arial" w:cs="Arial"/>
                <w:sz w:val="16"/>
              </w:rPr>
            </w:pPr>
            <w:r>
              <w:rPr>
                <w:rFonts w:ascii="Arial" w:hAnsi="Arial" w:cs="Arial"/>
                <w:sz w:val="16"/>
                <w:szCs w:val="18"/>
              </w:rPr>
              <w:t>---</w:t>
            </w:r>
          </w:p>
        </w:tc>
        <w:tc>
          <w:tcPr>
            <w:tcW w:w="89"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18" w:type="dxa"/>
            <w:tcBorders>
              <w:top w:val="single" w:sz="4" w:space="0" w:color="auto"/>
              <w:bottom w:val="single" w:sz="4" w:space="0" w:color="auto"/>
              <w:right w:val="single" w:sz="4" w:space="0" w:color="auto"/>
            </w:tcBorders>
            <w:vAlign w:val="center"/>
          </w:tcPr>
          <w:p w:rsidR="00376768" w:rsidRDefault="00EC2B72">
            <w:pPr>
              <w:jc w:val="center"/>
              <w:rPr>
                <w:rFonts w:ascii="Arial" w:hAnsi="Arial" w:cs="Arial"/>
                <w:sz w:val="16"/>
              </w:rPr>
            </w:pPr>
            <w:r>
              <w:rPr>
                <w:rFonts w:ascii="Arial" w:hAnsi="Arial" w:cs="Arial"/>
                <w:sz w:val="16"/>
                <w:szCs w:val="18"/>
              </w:rPr>
              <w:t>---</w:t>
            </w:r>
          </w:p>
        </w:tc>
        <w:tc>
          <w:tcPr>
            <w:tcW w:w="86"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2"/>
              </w:rPr>
            </w:pPr>
          </w:p>
        </w:tc>
        <w:tc>
          <w:tcPr>
            <w:tcW w:w="89" w:type="dxa"/>
            <w:tcBorders>
              <w:top w:val="single" w:sz="4" w:space="0" w:color="auto"/>
              <w:bottom w:val="single" w:sz="4" w:space="0" w:color="auto"/>
            </w:tcBorders>
          </w:tcPr>
          <w:p w:rsidR="00376768" w:rsidRDefault="00376768">
            <w:pPr>
              <w:jc w:val="center"/>
              <w:rPr>
                <w:rFonts w:ascii="Arial" w:hAnsi="Arial" w:cs="Arial"/>
                <w:sz w:val="16"/>
                <w:szCs w:val="2"/>
              </w:rPr>
            </w:pPr>
          </w:p>
        </w:tc>
        <w:tc>
          <w:tcPr>
            <w:tcW w:w="926" w:type="dxa"/>
            <w:tcBorders>
              <w:top w:val="single" w:sz="4" w:space="0" w:color="auto"/>
              <w:bottom w:val="single" w:sz="4" w:space="0" w:color="auto"/>
            </w:tcBorders>
            <w:vAlign w:val="center"/>
          </w:tcPr>
          <w:p w:rsidR="00376768" w:rsidRDefault="00EC2B72">
            <w:pPr>
              <w:jc w:val="center"/>
              <w:rPr>
                <w:rFonts w:ascii="Arial" w:hAnsi="Arial" w:cs="Arial"/>
                <w:sz w:val="16"/>
                <w:szCs w:val="2"/>
              </w:rPr>
            </w:pPr>
            <w:r>
              <w:rPr>
                <w:rFonts w:ascii="Arial" w:hAnsi="Arial" w:cs="Arial"/>
                <w:sz w:val="16"/>
                <w:szCs w:val="2"/>
              </w:rPr>
              <w:t>​</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2"/>
              </w:rPr>
            </w:pPr>
          </w:p>
        </w:tc>
        <w:tc>
          <w:tcPr>
            <w:tcW w:w="6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2"/>
              </w:rPr>
            </w:pPr>
          </w:p>
        </w:tc>
        <w:tc>
          <w:tcPr>
            <w:tcW w:w="752" w:type="dxa"/>
            <w:tcBorders>
              <w:top w:val="single" w:sz="4" w:space="0" w:color="auto"/>
              <w:bottom w:val="single" w:sz="4" w:space="0" w:color="auto"/>
            </w:tcBorders>
            <w:vAlign w:val="center"/>
          </w:tcPr>
          <w:p w:rsidR="00376768" w:rsidRDefault="00EC2B72">
            <w:pPr>
              <w:jc w:val="center"/>
              <w:rPr>
                <w:rFonts w:ascii="Arial" w:hAnsi="Arial" w:cs="Arial"/>
                <w:sz w:val="16"/>
                <w:szCs w:val="2"/>
              </w:rPr>
            </w:pPr>
            <w:r>
              <w:rPr>
                <w:rFonts w:ascii="Arial" w:hAnsi="Arial" w:cs="Arial"/>
                <w:sz w:val="16"/>
                <w:szCs w:val="2"/>
              </w:rPr>
              <w:t>​</w:t>
            </w:r>
          </w:p>
        </w:tc>
        <w:tc>
          <w:tcPr>
            <w:tcW w:w="114"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2"/>
              </w:rPr>
            </w:pPr>
          </w:p>
        </w:tc>
        <w:tc>
          <w:tcPr>
            <w:tcW w:w="7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2"/>
              </w:rPr>
            </w:pPr>
          </w:p>
        </w:tc>
        <w:tc>
          <w:tcPr>
            <w:tcW w:w="868" w:type="dxa"/>
            <w:tcBorders>
              <w:top w:val="single" w:sz="4" w:space="0" w:color="auto"/>
              <w:bottom w:val="single" w:sz="4" w:space="0" w:color="auto"/>
            </w:tcBorders>
            <w:vAlign w:val="center"/>
          </w:tcPr>
          <w:p w:rsidR="00376768" w:rsidRDefault="00EC2B72">
            <w:pPr>
              <w:jc w:val="center"/>
              <w:rPr>
                <w:rFonts w:ascii="Arial" w:hAnsi="Arial" w:cs="Arial"/>
                <w:sz w:val="16"/>
                <w:szCs w:val="2"/>
              </w:rPr>
            </w:pPr>
            <w:r>
              <w:rPr>
                <w:rFonts w:ascii="Arial" w:hAnsi="Arial" w:cs="Arial"/>
                <w:sz w:val="16"/>
                <w:szCs w:val="2"/>
              </w:rPr>
              <w:t>​</w:t>
            </w:r>
          </w:p>
        </w:tc>
        <w:tc>
          <w:tcPr>
            <w:tcW w:w="8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1114"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2,823</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10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03" w:type="dxa"/>
            <w:tcBorders>
              <w:top w:val="single" w:sz="4" w:space="0" w:color="auto"/>
              <w:bottom w:val="single" w:sz="4" w:space="0" w:color="auto"/>
              <w:right w:val="single" w:sz="4" w:space="0" w:color="auto"/>
            </w:tcBorders>
            <w:tcMar>
              <w:top w:w="30" w:type="dxa"/>
              <w:left w:w="0" w:type="dxa"/>
              <w:bottom w:w="30" w:type="dxa"/>
              <w:right w:w="0" w:type="dxa"/>
            </w:tcMar>
            <w:vAlign w:val="center"/>
          </w:tcPr>
          <w:p w:rsidR="00376768" w:rsidRDefault="00EC2B72">
            <w:pPr>
              <w:jc w:val="center"/>
              <w:rPr>
                <w:rFonts w:ascii="Arial" w:hAnsi="Arial" w:cs="Arial"/>
                <w:sz w:val="16"/>
              </w:rPr>
            </w:pPr>
            <w:r>
              <w:rPr>
                <w:rFonts w:ascii="Arial" w:hAnsi="Arial" w:cs="Arial"/>
                <w:sz w:val="16"/>
                <w:szCs w:val="18"/>
              </w:rPr>
              <w:t>38,111</w:t>
            </w:r>
          </w:p>
        </w:tc>
      </w:tr>
      <w:tr w:rsidR="00376768">
        <w:trPr>
          <w:trHeight w:val="120"/>
        </w:trPr>
        <w:tc>
          <w:tcPr>
            <w:tcW w:w="1301" w:type="dxa"/>
            <w:tcBorders>
              <w:top w:val="single" w:sz="4" w:space="0" w:color="auto"/>
              <w:left w:val="single" w:sz="4" w:space="0" w:color="auto"/>
              <w:bottom w:val="single" w:sz="4" w:space="0" w:color="auto"/>
            </w:tcBorders>
            <w:vAlign w:val="center"/>
          </w:tcPr>
          <w:p w:rsidR="00376768" w:rsidRDefault="00376768">
            <w:pPr>
              <w:rPr>
                <w:rFonts w:ascii="Arial" w:eastAsia="Arial Unicode MS" w:hAnsi="Arial" w:cs="Arial"/>
                <w:sz w:val="16"/>
              </w:rPr>
            </w:pPr>
          </w:p>
        </w:tc>
        <w:tc>
          <w:tcPr>
            <w:tcW w:w="80" w:type="dxa"/>
            <w:tcBorders>
              <w:top w:val="single" w:sz="4" w:space="0" w:color="auto"/>
              <w:bottom w:val="single" w:sz="4" w:space="0" w:color="auto"/>
              <w:right w:val="single" w:sz="4" w:space="0" w:color="auto"/>
            </w:tcBorders>
          </w:tcPr>
          <w:p w:rsidR="00376768" w:rsidRDefault="00376768">
            <w:pPr>
              <w:rPr>
                <w:rFonts w:ascii="Arial" w:eastAsia="Arial Unicode MS" w:hAnsi="Arial" w:cs="Arial"/>
                <w:sz w:val="16"/>
              </w:rPr>
            </w:pPr>
          </w:p>
        </w:tc>
        <w:tc>
          <w:tcPr>
            <w:tcW w:w="87" w:type="dxa"/>
            <w:tcBorders>
              <w:top w:val="single" w:sz="4" w:space="0" w:color="auto"/>
              <w:left w:val="single" w:sz="4" w:space="0" w:color="auto"/>
              <w:bottom w:val="single" w:sz="4" w:space="0" w:color="auto"/>
            </w:tcBorders>
          </w:tcPr>
          <w:p w:rsidR="00376768" w:rsidRDefault="00376768">
            <w:pPr>
              <w:rPr>
                <w:rFonts w:ascii="Arial" w:eastAsia="Arial Unicode MS" w:hAnsi="Arial" w:cs="Arial"/>
                <w:sz w:val="16"/>
              </w:rPr>
            </w:pPr>
          </w:p>
        </w:tc>
        <w:tc>
          <w:tcPr>
            <w:tcW w:w="866" w:type="dxa"/>
            <w:tcBorders>
              <w:top w:val="single" w:sz="4" w:space="0" w:color="auto"/>
              <w:bottom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c>
          <w:tcPr>
            <w:tcW w:w="100" w:type="dxa"/>
            <w:tcBorders>
              <w:top w:val="single" w:sz="4" w:space="0" w:color="auto"/>
              <w:bottom w:val="single" w:sz="4" w:space="0" w:color="auto"/>
              <w:right w:val="single" w:sz="4" w:space="0" w:color="auto"/>
            </w:tcBorders>
          </w:tcPr>
          <w:p w:rsidR="00376768" w:rsidRDefault="00376768">
            <w:pPr>
              <w:jc w:val="center"/>
              <w:rPr>
                <w:rFonts w:ascii="Arial" w:eastAsia="Arial Unicode MS" w:hAnsi="Arial" w:cs="Arial"/>
                <w:sz w:val="16"/>
              </w:rPr>
            </w:pPr>
          </w:p>
        </w:tc>
        <w:tc>
          <w:tcPr>
            <w:tcW w:w="88" w:type="dxa"/>
            <w:tcBorders>
              <w:top w:val="single" w:sz="4" w:space="0" w:color="auto"/>
              <w:left w:val="single" w:sz="4" w:space="0" w:color="auto"/>
              <w:bottom w:val="single" w:sz="4" w:space="0" w:color="auto"/>
            </w:tcBorders>
          </w:tcPr>
          <w:p w:rsidR="00376768" w:rsidRDefault="00376768">
            <w:pPr>
              <w:jc w:val="center"/>
              <w:rPr>
                <w:rFonts w:ascii="Arial" w:eastAsia="Arial Unicode MS" w:hAnsi="Arial" w:cs="Arial"/>
                <w:sz w:val="16"/>
              </w:rPr>
            </w:pPr>
          </w:p>
        </w:tc>
        <w:tc>
          <w:tcPr>
            <w:tcW w:w="840" w:type="dxa"/>
            <w:tcBorders>
              <w:top w:val="single" w:sz="4" w:space="0" w:color="auto"/>
              <w:bottom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c>
          <w:tcPr>
            <w:tcW w:w="86" w:type="dxa"/>
            <w:tcBorders>
              <w:top w:val="single" w:sz="4" w:space="0" w:color="auto"/>
              <w:bottom w:val="single" w:sz="4" w:space="0" w:color="auto"/>
              <w:right w:val="single" w:sz="4" w:space="0" w:color="auto"/>
            </w:tcBorders>
          </w:tcPr>
          <w:p w:rsidR="00376768" w:rsidRDefault="00376768">
            <w:pPr>
              <w:jc w:val="center"/>
              <w:rPr>
                <w:rFonts w:ascii="Arial" w:eastAsia="Arial Unicode MS" w:hAnsi="Arial" w:cs="Arial"/>
                <w:sz w:val="16"/>
              </w:rPr>
            </w:pPr>
          </w:p>
        </w:tc>
        <w:tc>
          <w:tcPr>
            <w:tcW w:w="90" w:type="dxa"/>
            <w:tcBorders>
              <w:top w:val="single" w:sz="4" w:space="0" w:color="auto"/>
              <w:left w:val="single" w:sz="4" w:space="0" w:color="auto"/>
              <w:bottom w:val="single" w:sz="4" w:space="0" w:color="auto"/>
            </w:tcBorders>
          </w:tcPr>
          <w:p w:rsidR="00376768" w:rsidRDefault="00376768">
            <w:pPr>
              <w:jc w:val="center"/>
              <w:rPr>
                <w:rFonts w:ascii="Arial" w:eastAsia="Arial Unicode MS" w:hAnsi="Arial" w:cs="Arial"/>
                <w:sz w:val="16"/>
              </w:rPr>
            </w:pPr>
          </w:p>
        </w:tc>
        <w:tc>
          <w:tcPr>
            <w:tcW w:w="843" w:type="dxa"/>
            <w:tcBorders>
              <w:top w:val="single" w:sz="4" w:space="0" w:color="auto"/>
              <w:bottom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c>
          <w:tcPr>
            <w:tcW w:w="89" w:type="dxa"/>
            <w:tcBorders>
              <w:top w:val="single" w:sz="4" w:space="0" w:color="auto"/>
              <w:bottom w:val="single" w:sz="4" w:space="0" w:color="auto"/>
              <w:right w:val="single" w:sz="4" w:space="0" w:color="auto"/>
            </w:tcBorders>
          </w:tcPr>
          <w:p w:rsidR="00376768" w:rsidRDefault="00376768">
            <w:pPr>
              <w:jc w:val="center"/>
              <w:rPr>
                <w:rFonts w:ascii="Arial" w:eastAsia="Arial Unicode MS" w:hAnsi="Arial" w:cs="Arial"/>
                <w:sz w:val="16"/>
              </w:rPr>
            </w:pPr>
          </w:p>
        </w:tc>
        <w:tc>
          <w:tcPr>
            <w:tcW w:w="87" w:type="dxa"/>
            <w:tcBorders>
              <w:top w:val="single" w:sz="4" w:space="0" w:color="auto"/>
              <w:left w:val="single" w:sz="4" w:space="0" w:color="auto"/>
              <w:bottom w:val="single" w:sz="4" w:space="0" w:color="auto"/>
            </w:tcBorders>
          </w:tcPr>
          <w:p w:rsidR="00376768" w:rsidRDefault="00376768">
            <w:pPr>
              <w:jc w:val="center"/>
              <w:rPr>
                <w:rFonts w:ascii="Arial" w:eastAsia="Arial Unicode MS" w:hAnsi="Arial" w:cs="Arial"/>
                <w:sz w:val="16"/>
              </w:rPr>
            </w:pPr>
          </w:p>
        </w:tc>
        <w:tc>
          <w:tcPr>
            <w:tcW w:w="918"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c>
          <w:tcPr>
            <w:tcW w:w="86" w:type="dxa"/>
            <w:tcBorders>
              <w:top w:val="single" w:sz="4" w:space="0" w:color="auto"/>
              <w:left w:val="single" w:sz="4" w:space="0" w:color="auto"/>
              <w:bottom w:val="single" w:sz="4" w:space="0" w:color="auto"/>
            </w:tcBorders>
          </w:tcPr>
          <w:p w:rsidR="00376768" w:rsidRDefault="00376768">
            <w:pPr>
              <w:jc w:val="center"/>
              <w:rPr>
                <w:rFonts w:ascii="Arial" w:eastAsia="Arial Unicode MS" w:hAnsi="Arial" w:cs="Arial"/>
                <w:sz w:val="16"/>
              </w:rPr>
            </w:pPr>
          </w:p>
        </w:tc>
        <w:tc>
          <w:tcPr>
            <w:tcW w:w="89" w:type="dxa"/>
            <w:tcBorders>
              <w:top w:val="single" w:sz="4" w:space="0" w:color="auto"/>
              <w:bottom w:val="single" w:sz="4" w:space="0" w:color="auto"/>
            </w:tcBorders>
          </w:tcPr>
          <w:p w:rsidR="00376768" w:rsidRDefault="00376768">
            <w:pPr>
              <w:jc w:val="center"/>
              <w:rPr>
                <w:rFonts w:ascii="Arial" w:eastAsia="Arial Unicode MS" w:hAnsi="Arial" w:cs="Arial"/>
                <w:sz w:val="16"/>
              </w:rPr>
            </w:pPr>
          </w:p>
        </w:tc>
        <w:tc>
          <w:tcPr>
            <w:tcW w:w="926" w:type="dxa"/>
            <w:tcBorders>
              <w:top w:val="single" w:sz="4" w:space="0" w:color="auto"/>
              <w:bottom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c>
          <w:tcPr>
            <w:tcW w:w="73" w:type="dxa"/>
            <w:tcBorders>
              <w:top w:val="single" w:sz="4" w:space="0" w:color="auto"/>
              <w:bottom w:val="single" w:sz="4" w:space="0" w:color="auto"/>
              <w:right w:val="single" w:sz="4" w:space="0" w:color="auto"/>
            </w:tcBorders>
          </w:tcPr>
          <w:p w:rsidR="00376768" w:rsidRDefault="00376768">
            <w:pPr>
              <w:jc w:val="center"/>
              <w:rPr>
                <w:rFonts w:ascii="Arial" w:eastAsia="Arial Unicode MS" w:hAnsi="Arial" w:cs="Arial"/>
                <w:sz w:val="16"/>
              </w:rPr>
            </w:pPr>
          </w:p>
        </w:tc>
        <w:tc>
          <w:tcPr>
            <w:tcW w:w="69" w:type="dxa"/>
            <w:tcBorders>
              <w:top w:val="single" w:sz="4" w:space="0" w:color="auto"/>
              <w:left w:val="single" w:sz="4" w:space="0" w:color="auto"/>
              <w:bottom w:val="single" w:sz="4" w:space="0" w:color="auto"/>
            </w:tcBorders>
          </w:tcPr>
          <w:p w:rsidR="00376768" w:rsidRDefault="00376768">
            <w:pPr>
              <w:jc w:val="center"/>
              <w:rPr>
                <w:rFonts w:ascii="Arial" w:eastAsia="Arial Unicode MS" w:hAnsi="Arial" w:cs="Arial"/>
                <w:sz w:val="16"/>
              </w:rPr>
            </w:pPr>
          </w:p>
        </w:tc>
        <w:tc>
          <w:tcPr>
            <w:tcW w:w="752" w:type="dxa"/>
            <w:tcBorders>
              <w:top w:val="single" w:sz="4" w:space="0" w:color="auto"/>
              <w:bottom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c>
          <w:tcPr>
            <w:tcW w:w="114" w:type="dxa"/>
            <w:tcBorders>
              <w:top w:val="single" w:sz="4" w:space="0" w:color="auto"/>
              <w:bottom w:val="single" w:sz="4" w:space="0" w:color="auto"/>
              <w:right w:val="single" w:sz="4" w:space="0" w:color="auto"/>
            </w:tcBorders>
          </w:tcPr>
          <w:p w:rsidR="00376768" w:rsidRDefault="00376768">
            <w:pPr>
              <w:jc w:val="center"/>
              <w:rPr>
                <w:rFonts w:ascii="Arial" w:eastAsia="Arial Unicode MS" w:hAnsi="Arial" w:cs="Arial"/>
                <w:sz w:val="16"/>
              </w:rPr>
            </w:pPr>
          </w:p>
        </w:tc>
        <w:tc>
          <w:tcPr>
            <w:tcW w:w="79" w:type="dxa"/>
            <w:tcBorders>
              <w:top w:val="single" w:sz="4" w:space="0" w:color="auto"/>
              <w:left w:val="single" w:sz="4" w:space="0" w:color="auto"/>
              <w:bottom w:val="single" w:sz="4" w:space="0" w:color="auto"/>
            </w:tcBorders>
          </w:tcPr>
          <w:p w:rsidR="00376768" w:rsidRDefault="00376768">
            <w:pPr>
              <w:jc w:val="center"/>
              <w:rPr>
                <w:rFonts w:ascii="Arial" w:eastAsia="Arial Unicode MS" w:hAnsi="Arial" w:cs="Arial"/>
                <w:sz w:val="16"/>
              </w:rPr>
            </w:pPr>
          </w:p>
        </w:tc>
        <w:tc>
          <w:tcPr>
            <w:tcW w:w="868" w:type="dxa"/>
            <w:tcBorders>
              <w:top w:val="single" w:sz="4" w:space="0" w:color="auto"/>
              <w:bottom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c>
          <w:tcPr>
            <w:tcW w:w="83" w:type="dxa"/>
            <w:tcBorders>
              <w:top w:val="single" w:sz="4" w:space="0" w:color="auto"/>
              <w:bottom w:val="single" w:sz="4" w:space="0" w:color="auto"/>
              <w:right w:val="single" w:sz="4" w:space="0" w:color="auto"/>
            </w:tcBorders>
          </w:tcPr>
          <w:p w:rsidR="00376768" w:rsidRDefault="00376768">
            <w:pPr>
              <w:jc w:val="center"/>
              <w:rPr>
                <w:rFonts w:ascii="Arial" w:eastAsia="Arial Unicode MS" w:hAnsi="Arial" w:cs="Arial"/>
                <w:sz w:val="16"/>
              </w:rPr>
            </w:pPr>
          </w:p>
        </w:tc>
        <w:tc>
          <w:tcPr>
            <w:tcW w:w="73" w:type="dxa"/>
            <w:tcBorders>
              <w:top w:val="single" w:sz="4" w:space="0" w:color="auto"/>
              <w:left w:val="single" w:sz="4" w:space="0" w:color="auto"/>
              <w:bottom w:val="single" w:sz="4" w:space="0" w:color="auto"/>
            </w:tcBorders>
          </w:tcPr>
          <w:p w:rsidR="00376768" w:rsidRDefault="00376768">
            <w:pPr>
              <w:jc w:val="center"/>
              <w:rPr>
                <w:rFonts w:ascii="Arial" w:eastAsia="Arial Unicode MS" w:hAnsi="Arial" w:cs="Arial"/>
                <w:sz w:val="16"/>
              </w:rPr>
            </w:pPr>
          </w:p>
        </w:tc>
        <w:tc>
          <w:tcPr>
            <w:tcW w:w="1114" w:type="dxa"/>
            <w:tcBorders>
              <w:top w:val="single" w:sz="4" w:space="0" w:color="auto"/>
              <w:bottom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c>
          <w:tcPr>
            <w:tcW w:w="73" w:type="dxa"/>
            <w:tcBorders>
              <w:top w:val="single" w:sz="4" w:space="0" w:color="auto"/>
              <w:bottom w:val="single" w:sz="4" w:space="0" w:color="auto"/>
              <w:right w:val="single" w:sz="4" w:space="0" w:color="auto"/>
            </w:tcBorders>
          </w:tcPr>
          <w:p w:rsidR="00376768" w:rsidRDefault="00376768">
            <w:pPr>
              <w:jc w:val="center"/>
              <w:rPr>
                <w:rFonts w:ascii="Arial" w:eastAsia="Arial Unicode MS" w:hAnsi="Arial" w:cs="Arial"/>
                <w:sz w:val="16"/>
              </w:rPr>
            </w:pPr>
          </w:p>
        </w:tc>
        <w:tc>
          <w:tcPr>
            <w:tcW w:w="103" w:type="dxa"/>
            <w:tcBorders>
              <w:top w:val="single" w:sz="4" w:space="0" w:color="auto"/>
              <w:left w:val="single" w:sz="4" w:space="0" w:color="auto"/>
              <w:bottom w:val="single" w:sz="4" w:space="0" w:color="auto"/>
            </w:tcBorders>
          </w:tcPr>
          <w:p w:rsidR="00376768" w:rsidRDefault="00376768">
            <w:pPr>
              <w:jc w:val="center"/>
              <w:rPr>
                <w:rFonts w:ascii="Arial" w:eastAsia="Arial Unicode MS" w:hAnsi="Arial" w:cs="Arial"/>
                <w:sz w:val="16"/>
              </w:rPr>
            </w:pPr>
          </w:p>
        </w:tc>
        <w:tc>
          <w:tcPr>
            <w:tcW w:w="903"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376768" w:rsidRDefault="00376768">
            <w:pPr>
              <w:jc w:val="center"/>
              <w:rPr>
                <w:rFonts w:ascii="Arial" w:eastAsia="Arial Unicode MS" w:hAnsi="Arial" w:cs="Arial"/>
                <w:sz w:val="16"/>
              </w:rPr>
            </w:pPr>
          </w:p>
        </w:tc>
      </w:tr>
      <w:tr w:rsidR="00376768">
        <w:trPr>
          <w:cantSplit/>
        </w:trPr>
        <w:tc>
          <w:tcPr>
            <w:tcW w:w="1301" w:type="dxa"/>
            <w:vMerge w:val="restart"/>
            <w:tcBorders>
              <w:top w:val="single" w:sz="4" w:space="0" w:color="auto"/>
              <w:left w:val="single" w:sz="4" w:space="0" w:color="auto"/>
            </w:tcBorders>
            <w:vAlign w:val="center"/>
          </w:tcPr>
          <w:p w:rsidR="00376768" w:rsidRDefault="00EC2B72">
            <w:pPr>
              <w:ind w:left="58"/>
              <w:rPr>
                <w:rFonts w:ascii="Arial" w:hAnsi="Arial" w:cs="Arial"/>
                <w:sz w:val="16"/>
              </w:rPr>
            </w:pPr>
            <w:r>
              <w:rPr>
                <w:rFonts w:ascii="Arial" w:hAnsi="Arial" w:cs="Arial"/>
                <w:sz w:val="16"/>
                <w:szCs w:val="18"/>
              </w:rPr>
              <w:t>Brian H. Kelly</w:t>
            </w:r>
          </w:p>
        </w:tc>
        <w:tc>
          <w:tcPr>
            <w:tcW w:w="80" w:type="dxa"/>
            <w:tcBorders>
              <w:top w:val="single" w:sz="4" w:space="0" w:color="auto"/>
              <w:right w:val="single" w:sz="4" w:space="0" w:color="auto"/>
            </w:tcBorders>
          </w:tcPr>
          <w:p w:rsidR="00376768" w:rsidRDefault="00376768">
            <w:pP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rPr>
                <w:rFonts w:ascii="Arial" w:hAnsi="Arial" w:cs="Arial"/>
                <w:sz w:val="16"/>
                <w:szCs w:val="18"/>
              </w:rPr>
            </w:pPr>
          </w:p>
        </w:tc>
        <w:tc>
          <w:tcPr>
            <w:tcW w:w="866"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100"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8"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0"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18,207</w:t>
            </w:r>
          </w:p>
        </w:tc>
        <w:tc>
          <w:tcPr>
            <w:tcW w:w="86"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90"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3"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98,416</w:t>
            </w:r>
          </w:p>
        </w:tc>
        <w:tc>
          <w:tcPr>
            <w:tcW w:w="89"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18"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196,832</w:t>
            </w:r>
          </w:p>
        </w:tc>
        <w:tc>
          <w:tcPr>
            <w:tcW w:w="86"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9" w:type="dxa"/>
            <w:tcBorders>
              <w:top w:val="single" w:sz="4" w:space="0" w:color="auto"/>
              <w:bottom w:val="single" w:sz="4" w:space="0" w:color="auto"/>
            </w:tcBorders>
          </w:tcPr>
          <w:p w:rsidR="00376768" w:rsidRDefault="00376768">
            <w:pPr>
              <w:jc w:val="center"/>
              <w:rPr>
                <w:rFonts w:ascii="Arial" w:hAnsi="Arial" w:cs="Arial"/>
                <w:sz w:val="16"/>
                <w:szCs w:val="18"/>
              </w:rPr>
            </w:pPr>
          </w:p>
        </w:tc>
        <w:tc>
          <w:tcPr>
            <w:tcW w:w="926"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6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752"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114"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68"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1114"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10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03"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r>
      <w:tr w:rsidR="00376768">
        <w:trPr>
          <w:cantSplit/>
        </w:trPr>
        <w:tc>
          <w:tcPr>
            <w:tcW w:w="1301" w:type="dxa"/>
            <w:vMerge/>
            <w:tcBorders>
              <w:left w:val="single" w:sz="4" w:space="0" w:color="auto"/>
            </w:tcBorders>
            <w:vAlign w:val="center"/>
          </w:tcPr>
          <w:p w:rsidR="00376768" w:rsidRDefault="00376768">
            <w:pPr>
              <w:rPr>
                <w:rFonts w:ascii="Arial" w:eastAsia="Arial Unicode MS" w:hAnsi="Arial" w:cs="Arial"/>
                <w:sz w:val="16"/>
              </w:rPr>
            </w:pPr>
          </w:p>
        </w:tc>
        <w:tc>
          <w:tcPr>
            <w:tcW w:w="80" w:type="dxa"/>
            <w:tcBorders>
              <w:right w:val="single" w:sz="4" w:space="0" w:color="auto"/>
            </w:tcBorders>
          </w:tcPr>
          <w:p w:rsidR="00376768" w:rsidRDefault="00376768">
            <w:pP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rPr>
                <w:rFonts w:ascii="Arial" w:hAnsi="Arial" w:cs="Arial"/>
                <w:sz w:val="16"/>
                <w:szCs w:val="18"/>
              </w:rPr>
            </w:pPr>
          </w:p>
        </w:tc>
        <w:tc>
          <w:tcPr>
            <w:tcW w:w="866" w:type="dxa"/>
            <w:tcBorders>
              <w:top w:val="single" w:sz="4" w:space="0" w:color="auto"/>
              <w:bottom w:val="single" w:sz="4" w:space="0" w:color="auto"/>
            </w:tcBorders>
            <w:vAlign w:val="center"/>
          </w:tcPr>
          <w:p w:rsidR="00376768" w:rsidRDefault="00EC2B72">
            <w:pPr>
              <w:jc w:val="center"/>
              <w:rPr>
                <w:rFonts w:ascii="Arial" w:hAnsi="Arial" w:cs="Arial"/>
                <w:sz w:val="16"/>
              </w:rPr>
            </w:pPr>
            <w:r>
              <w:rPr>
                <w:rFonts w:ascii="Arial" w:hAnsi="Arial" w:cs="Arial"/>
                <w:sz w:val="16"/>
                <w:szCs w:val="18"/>
              </w:rPr>
              <w:t>2/14/17</w:t>
            </w:r>
          </w:p>
        </w:tc>
        <w:tc>
          <w:tcPr>
            <w:tcW w:w="100"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8"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0"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6"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90"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3"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9"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18"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6"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9" w:type="dxa"/>
            <w:tcBorders>
              <w:top w:val="single" w:sz="4" w:space="0" w:color="auto"/>
              <w:bottom w:val="single" w:sz="4" w:space="0" w:color="auto"/>
            </w:tcBorders>
          </w:tcPr>
          <w:p w:rsidR="00376768" w:rsidRDefault="00376768">
            <w:pPr>
              <w:jc w:val="center"/>
              <w:rPr>
                <w:rFonts w:ascii="Arial" w:hAnsi="Arial" w:cs="Arial"/>
                <w:sz w:val="16"/>
                <w:szCs w:val="18"/>
              </w:rPr>
            </w:pPr>
          </w:p>
        </w:tc>
        <w:tc>
          <w:tcPr>
            <w:tcW w:w="926"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6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752"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114"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68"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1114"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15,000</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10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03"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211,500</w:t>
            </w:r>
          </w:p>
        </w:tc>
      </w:tr>
      <w:tr w:rsidR="00376768">
        <w:trPr>
          <w:cantSplit/>
        </w:trPr>
        <w:tc>
          <w:tcPr>
            <w:tcW w:w="1301" w:type="dxa"/>
            <w:vMerge/>
            <w:tcBorders>
              <w:left w:val="single" w:sz="4" w:space="0" w:color="auto"/>
            </w:tcBorders>
            <w:vAlign w:val="center"/>
          </w:tcPr>
          <w:p w:rsidR="00376768" w:rsidRDefault="00376768">
            <w:pPr>
              <w:rPr>
                <w:rFonts w:ascii="Arial" w:eastAsia="Arial Unicode MS" w:hAnsi="Arial" w:cs="Arial"/>
                <w:sz w:val="16"/>
              </w:rPr>
            </w:pPr>
          </w:p>
        </w:tc>
        <w:tc>
          <w:tcPr>
            <w:tcW w:w="80" w:type="dxa"/>
            <w:tcBorders>
              <w:right w:val="single" w:sz="4" w:space="0" w:color="auto"/>
            </w:tcBorders>
          </w:tcPr>
          <w:p w:rsidR="00376768" w:rsidRDefault="00376768">
            <w:pP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rPr>
                <w:rFonts w:ascii="Arial" w:hAnsi="Arial" w:cs="Arial"/>
                <w:sz w:val="16"/>
                <w:szCs w:val="18"/>
              </w:rPr>
            </w:pPr>
          </w:p>
        </w:tc>
        <w:tc>
          <w:tcPr>
            <w:tcW w:w="866" w:type="dxa"/>
            <w:tcBorders>
              <w:top w:val="single" w:sz="4" w:space="0" w:color="auto"/>
              <w:bottom w:val="single" w:sz="4" w:space="0" w:color="auto"/>
            </w:tcBorders>
            <w:vAlign w:val="center"/>
          </w:tcPr>
          <w:p w:rsidR="00376768" w:rsidRDefault="00EC2B72">
            <w:pPr>
              <w:jc w:val="center"/>
              <w:rPr>
                <w:rFonts w:ascii="Arial" w:hAnsi="Arial" w:cs="Arial"/>
                <w:sz w:val="16"/>
              </w:rPr>
            </w:pPr>
            <w:r>
              <w:rPr>
                <w:rFonts w:ascii="Arial" w:hAnsi="Arial" w:cs="Arial"/>
                <w:sz w:val="16"/>
                <w:szCs w:val="18"/>
              </w:rPr>
              <w:t>2/22/17</w:t>
            </w:r>
          </w:p>
        </w:tc>
        <w:tc>
          <w:tcPr>
            <w:tcW w:w="100"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8"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0"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6"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90"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3"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9"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18"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6"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9" w:type="dxa"/>
            <w:tcBorders>
              <w:top w:val="single" w:sz="4" w:space="0" w:color="auto"/>
              <w:bottom w:val="single" w:sz="4" w:space="0" w:color="auto"/>
            </w:tcBorders>
          </w:tcPr>
          <w:p w:rsidR="00376768" w:rsidRDefault="00376768">
            <w:pPr>
              <w:jc w:val="center"/>
              <w:rPr>
                <w:rFonts w:ascii="Arial" w:hAnsi="Arial" w:cs="Arial"/>
                <w:sz w:val="16"/>
                <w:szCs w:val="18"/>
              </w:rPr>
            </w:pPr>
          </w:p>
        </w:tc>
        <w:tc>
          <w:tcPr>
            <w:tcW w:w="926"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2,779</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6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752"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7,940</w:t>
            </w:r>
          </w:p>
        </w:tc>
        <w:tc>
          <w:tcPr>
            <w:tcW w:w="114"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68"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19,850</w:t>
            </w:r>
          </w:p>
        </w:tc>
        <w:tc>
          <w:tcPr>
            <w:tcW w:w="8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1114"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10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03"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107,190</w:t>
            </w:r>
          </w:p>
        </w:tc>
      </w:tr>
      <w:tr w:rsidR="00376768">
        <w:trPr>
          <w:cantSplit/>
        </w:trPr>
        <w:tc>
          <w:tcPr>
            <w:tcW w:w="1301" w:type="dxa"/>
            <w:vMerge/>
            <w:tcBorders>
              <w:left w:val="single" w:sz="4" w:space="0" w:color="auto"/>
              <w:bottom w:val="single" w:sz="4" w:space="0" w:color="auto"/>
            </w:tcBorders>
            <w:vAlign w:val="center"/>
          </w:tcPr>
          <w:p w:rsidR="00376768" w:rsidRDefault="00376768">
            <w:pPr>
              <w:rPr>
                <w:rFonts w:ascii="Arial" w:eastAsia="Arial Unicode MS" w:hAnsi="Arial" w:cs="Arial"/>
                <w:sz w:val="16"/>
              </w:rPr>
            </w:pPr>
          </w:p>
        </w:tc>
        <w:tc>
          <w:tcPr>
            <w:tcW w:w="80" w:type="dxa"/>
            <w:tcBorders>
              <w:bottom w:val="single" w:sz="4" w:space="0" w:color="auto"/>
              <w:right w:val="single" w:sz="4" w:space="0" w:color="auto"/>
            </w:tcBorders>
          </w:tcPr>
          <w:p w:rsidR="00376768" w:rsidRDefault="00376768">
            <w:pP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rPr>
                <w:rFonts w:ascii="Arial" w:hAnsi="Arial" w:cs="Arial"/>
                <w:sz w:val="16"/>
                <w:szCs w:val="18"/>
              </w:rPr>
            </w:pPr>
          </w:p>
        </w:tc>
        <w:tc>
          <w:tcPr>
            <w:tcW w:w="866" w:type="dxa"/>
            <w:tcBorders>
              <w:top w:val="single" w:sz="4" w:space="0" w:color="auto"/>
              <w:bottom w:val="single" w:sz="4" w:space="0" w:color="auto"/>
            </w:tcBorders>
            <w:vAlign w:val="center"/>
          </w:tcPr>
          <w:p w:rsidR="00376768" w:rsidRDefault="00EC2B72">
            <w:pPr>
              <w:jc w:val="center"/>
              <w:rPr>
                <w:rFonts w:ascii="Arial" w:hAnsi="Arial" w:cs="Arial"/>
                <w:sz w:val="16"/>
              </w:rPr>
            </w:pPr>
            <w:r>
              <w:rPr>
                <w:rFonts w:ascii="Arial" w:hAnsi="Arial" w:cs="Arial"/>
                <w:sz w:val="16"/>
                <w:szCs w:val="18"/>
              </w:rPr>
              <w:t>2/22/17</w:t>
            </w:r>
          </w:p>
        </w:tc>
        <w:tc>
          <w:tcPr>
            <w:tcW w:w="100"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8"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0"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6"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90"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3"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9"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18"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6"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9" w:type="dxa"/>
            <w:tcBorders>
              <w:top w:val="single" w:sz="4" w:space="0" w:color="auto"/>
              <w:bottom w:val="single" w:sz="4" w:space="0" w:color="auto"/>
            </w:tcBorders>
          </w:tcPr>
          <w:p w:rsidR="00376768" w:rsidRDefault="00376768">
            <w:pPr>
              <w:jc w:val="center"/>
              <w:rPr>
                <w:rFonts w:ascii="Arial" w:hAnsi="Arial" w:cs="Arial"/>
                <w:sz w:val="16"/>
                <w:szCs w:val="18"/>
              </w:rPr>
            </w:pPr>
          </w:p>
        </w:tc>
        <w:tc>
          <w:tcPr>
            <w:tcW w:w="926"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6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752"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114"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68"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w:t>
            </w:r>
          </w:p>
        </w:tc>
        <w:tc>
          <w:tcPr>
            <w:tcW w:w="8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1114" w:type="dxa"/>
            <w:tcBorders>
              <w:top w:val="single" w:sz="4" w:space="0" w:color="auto"/>
              <w:bottom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2,646</w:t>
            </w: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10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03"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EC2B72">
            <w:pPr>
              <w:jc w:val="center"/>
              <w:rPr>
                <w:rFonts w:ascii="Arial" w:hAnsi="Arial" w:cs="Arial"/>
                <w:sz w:val="16"/>
              </w:rPr>
            </w:pPr>
            <w:r>
              <w:rPr>
                <w:rFonts w:ascii="Arial" w:hAnsi="Arial" w:cs="Arial"/>
                <w:sz w:val="16"/>
                <w:szCs w:val="18"/>
              </w:rPr>
              <w:t>35,721</w:t>
            </w:r>
          </w:p>
        </w:tc>
      </w:tr>
      <w:tr w:rsidR="00376768">
        <w:trPr>
          <w:cantSplit/>
        </w:trPr>
        <w:tc>
          <w:tcPr>
            <w:tcW w:w="1301" w:type="dxa"/>
            <w:tcBorders>
              <w:top w:val="single" w:sz="4" w:space="0" w:color="auto"/>
              <w:left w:val="single" w:sz="4" w:space="0" w:color="auto"/>
              <w:bottom w:val="single" w:sz="4" w:space="0" w:color="auto"/>
            </w:tcBorders>
            <w:vAlign w:val="center"/>
          </w:tcPr>
          <w:p w:rsidR="00376768" w:rsidRDefault="00376768">
            <w:pPr>
              <w:rPr>
                <w:rFonts w:ascii="Arial" w:eastAsia="Arial Unicode MS" w:hAnsi="Arial" w:cs="Arial"/>
                <w:sz w:val="16"/>
              </w:rPr>
            </w:pPr>
          </w:p>
        </w:tc>
        <w:tc>
          <w:tcPr>
            <w:tcW w:w="80" w:type="dxa"/>
            <w:tcBorders>
              <w:top w:val="single" w:sz="4" w:space="0" w:color="auto"/>
              <w:bottom w:val="single" w:sz="4" w:space="0" w:color="auto"/>
              <w:right w:val="single" w:sz="4" w:space="0" w:color="auto"/>
            </w:tcBorders>
          </w:tcPr>
          <w:p w:rsidR="00376768" w:rsidRDefault="00376768">
            <w:pP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rPr>
                <w:rFonts w:ascii="Arial" w:hAnsi="Arial" w:cs="Arial"/>
                <w:sz w:val="16"/>
                <w:szCs w:val="18"/>
              </w:rPr>
            </w:pPr>
          </w:p>
        </w:tc>
        <w:tc>
          <w:tcPr>
            <w:tcW w:w="866" w:type="dxa"/>
            <w:tcBorders>
              <w:top w:val="single" w:sz="4" w:space="0" w:color="auto"/>
              <w:bottom w:val="single" w:sz="4" w:space="0" w:color="auto"/>
            </w:tcBorders>
            <w:vAlign w:val="center"/>
          </w:tcPr>
          <w:p w:rsidR="00376768" w:rsidRDefault="00376768">
            <w:pPr>
              <w:jc w:val="center"/>
              <w:rPr>
                <w:rFonts w:ascii="Arial" w:hAnsi="Arial" w:cs="Arial"/>
                <w:sz w:val="16"/>
                <w:szCs w:val="18"/>
              </w:rPr>
            </w:pPr>
          </w:p>
        </w:tc>
        <w:tc>
          <w:tcPr>
            <w:tcW w:w="100"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8"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0" w:type="dxa"/>
            <w:tcBorders>
              <w:top w:val="single" w:sz="4" w:space="0" w:color="auto"/>
              <w:bottom w:val="single" w:sz="4" w:space="0" w:color="auto"/>
            </w:tcBorders>
            <w:tcMar>
              <w:top w:w="30" w:type="dxa"/>
              <w:left w:w="60" w:type="dxa"/>
              <w:bottom w:w="30" w:type="dxa"/>
              <w:right w:w="60" w:type="dxa"/>
            </w:tcMar>
            <w:vAlign w:val="center"/>
          </w:tcPr>
          <w:p w:rsidR="00376768" w:rsidRDefault="00376768">
            <w:pPr>
              <w:jc w:val="center"/>
              <w:rPr>
                <w:rFonts w:ascii="Arial" w:hAnsi="Arial" w:cs="Arial"/>
                <w:sz w:val="16"/>
                <w:szCs w:val="18"/>
              </w:rPr>
            </w:pPr>
          </w:p>
        </w:tc>
        <w:tc>
          <w:tcPr>
            <w:tcW w:w="86"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90"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43" w:type="dxa"/>
            <w:tcBorders>
              <w:top w:val="single" w:sz="4" w:space="0" w:color="auto"/>
              <w:bottom w:val="single" w:sz="4" w:space="0" w:color="auto"/>
            </w:tcBorders>
            <w:tcMar>
              <w:top w:w="30" w:type="dxa"/>
              <w:left w:w="60" w:type="dxa"/>
              <w:bottom w:w="30" w:type="dxa"/>
              <w:right w:w="60" w:type="dxa"/>
            </w:tcMar>
            <w:vAlign w:val="center"/>
          </w:tcPr>
          <w:p w:rsidR="00376768" w:rsidRDefault="00376768">
            <w:pPr>
              <w:jc w:val="center"/>
              <w:rPr>
                <w:rFonts w:ascii="Arial" w:hAnsi="Arial" w:cs="Arial"/>
                <w:sz w:val="16"/>
                <w:szCs w:val="18"/>
              </w:rPr>
            </w:pPr>
          </w:p>
        </w:tc>
        <w:tc>
          <w:tcPr>
            <w:tcW w:w="89"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87"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18"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376768">
            <w:pPr>
              <w:jc w:val="center"/>
              <w:rPr>
                <w:rFonts w:ascii="Arial" w:hAnsi="Arial" w:cs="Arial"/>
                <w:sz w:val="16"/>
                <w:szCs w:val="18"/>
              </w:rPr>
            </w:pPr>
          </w:p>
        </w:tc>
        <w:tc>
          <w:tcPr>
            <w:tcW w:w="86"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9" w:type="dxa"/>
            <w:tcBorders>
              <w:top w:val="single" w:sz="4" w:space="0" w:color="auto"/>
              <w:bottom w:val="single" w:sz="4" w:space="0" w:color="auto"/>
            </w:tcBorders>
          </w:tcPr>
          <w:p w:rsidR="00376768" w:rsidRDefault="00376768">
            <w:pPr>
              <w:jc w:val="center"/>
              <w:rPr>
                <w:rFonts w:ascii="Arial" w:hAnsi="Arial" w:cs="Arial"/>
                <w:sz w:val="16"/>
                <w:szCs w:val="18"/>
              </w:rPr>
            </w:pPr>
          </w:p>
        </w:tc>
        <w:tc>
          <w:tcPr>
            <w:tcW w:w="926" w:type="dxa"/>
            <w:tcBorders>
              <w:top w:val="single" w:sz="4" w:space="0" w:color="auto"/>
              <w:bottom w:val="single" w:sz="4" w:space="0" w:color="auto"/>
            </w:tcBorders>
            <w:tcMar>
              <w:top w:w="30" w:type="dxa"/>
              <w:left w:w="60" w:type="dxa"/>
              <w:bottom w:w="30" w:type="dxa"/>
              <w:right w:w="60" w:type="dxa"/>
            </w:tcMar>
            <w:vAlign w:val="center"/>
          </w:tcPr>
          <w:p w:rsidR="00376768" w:rsidRDefault="00376768">
            <w:pPr>
              <w:jc w:val="center"/>
              <w:rPr>
                <w:rFonts w:ascii="Arial" w:hAnsi="Arial" w:cs="Arial"/>
                <w:sz w:val="16"/>
                <w:szCs w:val="18"/>
              </w:rPr>
            </w:pP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6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752" w:type="dxa"/>
            <w:tcBorders>
              <w:top w:val="single" w:sz="4" w:space="0" w:color="auto"/>
              <w:bottom w:val="single" w:sz="4" w:space="0" w:color="auto"/>
            </w:tcBorders>
            <w:tcMar>
              <w:top w:w="30" w:type="dxa"/>
              <w:left w:w="60" w:type="dxa"/>
              <w:bottom w:w="30" w:type="dxa"/>
              <w:right w:w="60" w:type="dxa"/>
            </w:tcMar>
            <w:vAlign w:val="center"/>
          </w:tcPr>
          <w:p w:rsidR="00376768" w:rsidRDefault="00376768">
            <w:pPr>
              <w:jc w:val="center"/>
              <w:rPr>
                <w:rFonts w:ascii="Arial" w:hAnsi="Arial" w:cs="Arial"/>
                <w:sz w:val="16"/>
                <w:szCs w:val="18"/>
              </w:rPr>
            </w:pPr>
          </w:p>
        </w:tc>
        <w:tc>
          <w:tcPr>
            <w:tcW w:w="114"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9"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868" w:type="dxa"/>
            <w:tcBorders>
              <w:top w:val="single" w:sz="4" w:space="0" w:color="auto"/>
              <w:bottom w:val="single" w:sz="4" w:space="0" w:color="auto"/>
            </w:tcBorders>
            <w:tcMar>
              <w:top w:w="30" w:type="dxa"/>
              <w:left w:w="60" w:type="dxa"/>
              <w:bottom w:w="30" w:type="dxa"/>
              <w:right w:w="60" w:type="dxa"/>
            </w:tcMar>
            <w:vAlign w:val="center"/>
          </w:tcPr>
          <w:p w:rsidR="00376768" w:rsidRDefault="00376768">
            <w:pPr>
              <w:jc w:val="center"/>
              <w:rPr>
                <w:rFonts w:ascii="Arial" w:hAnsi="Arial" w:cs="Arial"/>
                <w:sz w:val="16"/>
                <w:szCs w:val="18"/>
              </w:rPr>
            </w:pPr>
          </w:p>
        </w:tc>
        <w:tc>
          <w:tcPr>
            <w:tcW w:w="8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7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1114" w:type="dxa"/>
            <w:tcBorders>
              <w:top w:val="single" w:sz="4" w:space="0" w:color="auto"/>
              <w:bottom w:val="single" w:sz="4" w:space="0" w:color="auto"/>
            </w:tcBorders>
            <w:tcMar>
              <w:top w:w="30" w:type="dxa"/>
              <w:left w:w="60" w:type="dxa"/>
              <w:bottom w:w="30" w:type="dxa"/>
              <w:right w:w="60" w:type="dxa"/>
            </w:tcMar>
            <w:vAlign w:val="center"/>
          </w:tcPr>
          <w:p w:rsidR="00376768" w:rsidRDefault="00376768">
            <w:pPr>
              <w:jc w:val="center"/>
              <w:rPr>
                <w:rFonts w:ascii="Arial" w:hAnsi="Arial" w:cs="Arial"/>
                <w:sz w:val="16"/>
                <w:szCs w:val="18"/>
              </w:rPr>
            </w:pPr>
          </w:p>
        </w:tc>
        <w:tc>
          <w:tcPr>
            <w:tcW w:w="73" w:type="dxa"/>
            <w:tcBorders>
              <w:top w:val="single" w:sz="4" w:space="0" w:color="auto"/>
              <w:bottom w:val="single" w:sz="4" w:space="0" w:color="auto"/>
              <w:right w:val="single" w:sz="4" w:space="0" w:color="auto"/>
            </w:tcBorders>
          </w:tcPr>
          <w:p w:rsidR="00376768" w:rsidRDefault="00376768">
            <w:pPr>
              <w:jc w:val="center"/>
              <w:rPr>
                <w:rFonts w:ascii="Arial" w:hAnsi="Arial" w:cs="Arial"/>
                <w:sz w:val="16"/>
                <w:szCs w:val="18"/>
              </w:rPr>
            </w:pPr>
          </w:p>
        </w:tc>
        <w:tc>
          <w:tcPr>
            <w:tcW w:w="103" w:type="dxa"/>
            <w:tcBorders>
              <w:top w:val="single" w:sz="4" w:space="0" w:color="auto"/>
              <w:left w:val="single" w:sz="4" w:space="0" w:color="auto"/>
              <w:bottom w:val="single" w:sz="4" w:space="0" w:color="auto"/>
            </w:tcBorders>
          </w:tcPr>
          <w:p w:rsidR="00376768" w:rsidRDefault="00376768">
            <w:pPr>
              <w:jc w:val="center"/>
              <w:rPr>
                <w:rFonts w:ascii="Arial" w:hAnsi="Arial" w:cs="Arial"/>
                <w:sz w:val="16"/>
                <w:szCs w:val="18"/>
              </w:rPr>
            </w:pPr>
          </w:p>
        </w:tc>
        <w:tc>
          <w:tcPr>
            <w:tcW w:w="903" w:type="dxa"/>
            <w:tcBorders>
              <w:top w:val="single" w:sz="4" w:space="0" w:color="auto"/>
              <w:bottom w:val="single" w:sz="4" w:space="0" w:color="auto"/>
              <w:right w:val="single" w:sz="4" w:space="0" w:color="auto"/>
            </w:tcBorders>
            <w:tcMar>
              <w:top w:w="30" w:type="dxa"/>
              <w:left w:w="60" w:type="dxa"/>
              <w:bottom w:w="30" w:type="dxa"/>
              <w:right w:w="60" w:type="dxa"/>
            </w:tcMar>
            <w:vAlign w:val="center"/>
          </w:tcPr>
          <w:p w:rsidR="00376768" w:rsidRDefault="00376768">
            <w:pPr>
              <w:jc w:val="center"/>
              <w:rPr>
                <w:rFonts w:ascii="Arial" w:hAnsi="Arial" w:cs="Arial"/>
                <w:sz w:val="16"/>
                <w:szCs w:val="18"/>
              </w:rPr>
            </w:pPr>
          </w:p>
        </w:tc>
      </w:tr>
    </w:tbl>
    <w:p w:rsidR="00376768" w:rsidRDefault="00376768">
      <w:pPr>
        <w:spacing w:before="160"/>
        <w:rPr>
          <w:rFonts w:ascii="Arial" w:hAnsi="Arial" w:cs="Arial"/>
          <w:sz w:val="2"/>
        </w:rPr>
      </w:pPr>
    </w:p>
    <w:tbl>
      <w:tblPr>
        <w:tblW w:w="1000" w:type="pct"/>
        <w:tblLayout w:type="fixed"/>
        <w:tblCellMar>
          <w:left w:w="0" w:type="dxa"/>
          <w:right w:w="0" w:type="dxa"/>
        </w:tblCellMar>
        <w:tblLook w:val="0000" w:firstRow="0" w:lastRow="0" w:firstColumn="0" w:lastColumn="0" w:noHBand="0" w:noVBand="0"/>
      </w:tblPr>
      <w:tblGrid>
        <w:gridCol w:w="2160"/>
      </w:tblGrid>
      <w:tr w:rsidR="00376768">
        <w:tc>
          <w:tcPr>
            <w:tcW w:w="5000" w:type="pct"/>
            <w:tcBorders>
              <w:bottom w:val="single" w:sz="4" w:space="0" w:color="auto"/>
            </w:tcBorders>
          </w:tcPr>
          <w:p w:rsidR="00376768" w:rsidRDefault="00376768">
            <w:pPr>
              <w:rPr>
                <w:rFonts w:ascii="Arial" w:hAnsi="Arial" w:cs="Arial"/>
                <w:sz w:val="2"/>
              </w:rPr>
            </w:pPr>
          </w:p>
        </w:tc>
      </w:tr>
    </w:tbl>
    <w:p w:rsidR="00376768" w:rsidRDefault="00EC2B72">
      <w:pPr>
        <w:spacing w:before="120"/>
        <w:ind w:left="360" w:hanging="360"/>
        <w:jc w:val="both"/>
        <w:rPr>
          <w:rFonts w:ascii="Arial" w:hAnsi="Arial" w:cs="Arial"/>
          <w:sz w:val="15"/>
        </w:rPr>
      </w:pPr>
      <w:r>
        <w:rPr>
          <w:rFonts w:ascii="Arial" w:hAnsi="Arial" w:cs="Arial"/>
          <w:sz w:val="15"/>
          <w:szCs w:val="12"/>
          <w:vertAlign w:val="superscript"/>
        </w:rPr>
        <w:t>(1)</w:t>
      </w:r>
      <w:r>
        <w:rPr>
          <w:rFonts w:ascii="Arial" w:hAnsi="Arial" w:cs="Arial"/>
          <w:sz w:val="15"/>
          <w:szCs w:val="12"/>
          <w:vertAlign w:val="superscript"/>
        </w:rPr>
        <w:tab/>
      </w:r>
      <w:r>
        <w:rPr>
          <w:rFonts w:ascii="Arial" w:hAnsi="Arial" w:cs="Arial"/>
          <w:sz w:val="15"/>
          <w:szCs w:val="16"/>
        </w:rPr>
        <w:t>These grants reflect awards issued under the Annual Plan as discussed on pages 40-43. Amounts actually paid under this plan to NEOs for 2017 are included in the Non-Equity Incentive Plan Compensation column of the Summary Compensation Table.</w:t>
      </w:r>
    </w:p>
    <w:p w:rsidR="00376768" w:rsidRDefault="00EC2B72">
      <w:pPr>
        <w:spacing w:before="120"/>
        <w:ind w:left="360" w:hanging="360"/>
        <w:jc w:val="both"/>
        <w:rPr>
          <w:rFonts w:ascii="Arial" w:hAnsi="Arial" w:cs="Arial"/>
          <w:sz w:val="15"/>
        </w:rPr>
      </w:pPr>
      <w:r>
        <w:rPr>
          <w:rFonts w:ascii="Arial" w:hAnsi="Arial" w:cs="Arial"/>
          <w:sz w:val="15"/>
          <w:szCs w:val="12"/>
          <w:vertAlign w:val="superscript"/>
        </w:rPr>
        <w:t>(2)</w:t>
      </w:r>
      <w:r>
        <w:rPr>
          <w:rFonts w:ascii="Arial" w:hAnsi="Arial" w:cs="Arial"/>
          <w:sz w:val="15"/>
          <w:szCs w:val="12"/>
          <w:vertAlign w:val="superscript"/>
        </w:rPr>
        <w:tab/>
      </w:r>
      <w:r>
        <w:rPr>
          <w:rFonts w:ascii="Arial" w:hAnsi="Arial" w:cs="Arial"/>
          <w:sz w:val="15"/>
          <w:szCs w:val="16"/>
        </w:rPr>
        <w:t>These grants reflect awards of PSUs granted under the LTIP and the Company’s 2006 Omnibus Incentive Plan, as amended and restated, as discussed on pages 43-45.</w:t>
      </w:r>
    </w:p>
    <w:p w:rsidR="00376768" w:rsidRDefault="00EC2B72">
      <w:pPr>
        <w:spacing w:before="120"/>
        <w:ind w:left="360" w:hanging="360"/>
        <w:jc w:val="both"/>
        <w:rPr>
          <w:rFonts w:ascii="Arial" w:hAnsi="Arial" w:cs="Arial"/>
          <w:sz w:val="15"/>
        </w:rPr>
      </w:pPr>
      <w:r>
        <w:rPr>
          <w:rFonts w:ascii="Arial" w:hAnsi="Arial" w:cs="Arial"/>
          <w:sz w:val="15"/>
          <w:szCs w:val="12"/>
          <w:vertAlign w:val="superscript"/>
        </w:rPr>
        <w:t>(3)</w:t>
      </w:r>
      <w:r>
        <w:rPr>
          <w:rFonts w:ascii="Arial" w:hAnsi="Arial" w:cs="Arial"/>
          <w:sz w:val="15"/>
          <w:szCs w:val="12"/>
          <w:vertAlign w:val="superscript"/>
        </w:rPr>
        <w:tab/>
      </w:r>
      <w:r>
        <w:rPr>
          <w:rFonts w:ascii="Arial" w:hAnsi="Arial" w:cs="Arial"/>
          <w:sz w:val="15"/>
          <w:szCs w:val="16"/>
        </w:rPr>
        <w:t>This column includes restricted stock awards under the LTIP and the Company’s 2006 Omnibus Incentive Plan, as amended and restated, for 2017 as discussed on pages 43-46.</w:t>
      </w:r>
    </w:p>
    <w:p w:rsidR="00376768" w:rsidRDefault="00EC2B72">
      <w:pPr>
        <w:spacing w:before="120"/>
        <w:ind w:left="360" w:hanging="360"/>
        <w:jc w:val="both"/>
        <w:rPr>
          <w:rFonts w:ascii="Arial" w:hAnsi="Arial" w:cs="Arial"/>
          <w:sz w:val="15"/>
        </w:rPr>
      </w:pPr>
      <w:r>
        <w:rPr>
          <w:rFonts w:ascii="Arial" w:hAnsi="Arial" w:cs="Arial"/>
          <w:sz w:val="15"/>
          <w:szCs w:val="12"/>
          <w:vertAlign w:val="superscript"/>
        </w:rPr>
        <w:t>(4)</w:t>
      </w:r>
      <w:r>
        <w:rPr>
          <w:rFonts w:ascii="Arial" w:hAnsi="Arial" w:cs="Arial"/>
          <w:sz w:val="15"/>
          <w:szCs w:val="12"/>
          <w:vertAlign w:val="superscript"/>
        </w:rPr>
        <w:tab/>
      </w:r>
      <w:r>
        <w:rPr>
          <w:rFonts w:ascii="Arial" w:hAnsi="Arial" w:cs="Arial"/>
          <w:sz w:val="15"/>
          <w:szCs w:val="16"/>
        </w:rPr>
        <w:t xml:space="preserve">This column also includes special retention restricted stock awards granted to Messrs. Russo, Scanlon, </w:t>
      </w:r>
      <w:proofErr w:type="spellStart"/>
      <w:r>
        <w:rPr>
          <w:rFonts w:ascii="Arial" w:hAnsi="Arial" w:cs="Arial"/>
          <w:sz w:val="15"/>
          <w:szCs w:val="16"/>
        </w:rPr>
        <w:t>Kasel</w:t>
      </w:r>
      <w:proofErr w:type="spellEnd"/>
      <w:r>
        <w:rPr>
          <w:rFonts w:ascii="Arial" w:hAnsi="Arial" w:cs="Arial"/>
          <w:sz w:val="15"/>
          <w:szCs w:val="16"/>
        </w:rPr>
        <w:t xml:space="preserve">, </w:t>
      </w:r>
      <w:proofErr w:type="spellStart"/>
      <w:r>
        <w:rPr>
          <w:rFonts w:ascii="Arial" w:hAnsi="Arial" w:cs="Arial"/>
          <w:sz w:val="15"/>
          <w:szCs w:val="16"/>
        </w:rPr>
        <w:t>Guinee</w:t>
      </w:r>
      <w:proofErr w:type="spellEnd"/>
      <w:r>
        <w:rPr>
          <w:rFonts w:ascii="Arial" w:hAnsi="Arial" w:cs="Arial"/>
          <w:sz w:val="15"/>
          <w:szCs w:val="16"/>
        </w:rPr>
        <w:t>, and Kelly on February 14, 2017.</w:t>
      </w:r>
    </w:p>
    <w:p w:rsidR="00376768" w:rsidRDefault="00EC2B72">
      <w:pPr>
        <w:spacing w:before="120"/>
        <w:ind w:left="360" w:hanging="360"/>
        <w:jc w:val="both"/>
        <w:rPr>
          <w:rFonts w:ascii="Arial" w:hAnsi="Arial" w:cs="Arial"/>
          <w:sz w:val="15"/>
        </w:rPr>
      </w:pPr>
      <w:r>
        <w:rPr>
          <w:rFonts w:ascii="Arial" w:hAnsi="Arial" w:cs="Arial"/>
          <w:sz w:val="15"/>
          <w:szCs w:val="12"/>
          <w:vertAlign w:val="superscript"/>
        </w:rPr>
        <w:t>(5)</w:t>
      </w:r>
      <w:r>
        <w:rPr>
          <w:rFonts w:ascii="Arial" w:hAnsi="Arial" w:cs="Arial"/>
          <w:sz w:val="15"/>
          <w:szCs w:val="12"/>
          <w:vertAlign w:val="superscript"/>
        </w:rPr>
        <w:tab/>
      </w:r>
      <w:r>
        <w:rPr>
          <w:rFonts w:ascii="Arial" w:hAnsi="Arial" w:cs="Arial"/>
          <w:sz w:val="15"/>
          <w:szCs w:val="16"/>
        </w:rPr>
        <w:t>This column reflects grant date fair value of PSU and restricted stock awards determined in accordance with ASC 718. For a discussion of the valuation assumptions, see Note 15 of the Company’s Consolidated Financial Statements in the Company’s Annual Report on Form 10-K for the year ended December 31, 2017.</w:t>
      </w:r>
    </w:p>
    <w:p w:rsidR="00376768" w:rsidRDefault="00EC2B72">
      <w:pPr>
        <w:spacing w:before="120"/>
        <w:ind w:left="360" w:hanging="360"/>
        <w:jc w:val="both"/>
        <w:rPr>
          <w:rFonts w:ascii="Arial" w:hAnsi="Arial" w:cs="Arial"/>
          <w:sz w:val="15"/>
        </w:rPr>
      </w:pPr>
      <w:r>
        <w:rPr>
          <w:rFonts w:ascii="Arial" w:hAnsi="Arial" w:cs="Arial"/>
          <w:sz w:val="15"/>
          <w:szCs w:val="12"/>
          <w:vertAlign w:val="superscript"/>
        </w:rPr>
        <w:t>(6)</w:t>
      </w:r>
      <w:r>
        <w:rPr>
          <w:rFonts w:ascii="Arial" w:hAnsi="Arial" w:cs="Arial"/>
          <w:sz w:val="15"/>
          <w:szCs w:val="12"/>
          <w:vertAlign w:val="superscript"/>
        </w:rPr>
        <w:tab/>
      </w:r>
      <w:r>
        <w:rPr>
          <w:rFonts w:ascii="Arial" w:hAnsi="Arial" w:cs="Arial"/>
          <w:sz w:val="15"/>
          <w:szCs w:val="16"/>
        </w:rPr>
        <w:t>Due to Mr. Russo’s termination date, he did not receive a payout under the Annual Plan.</w:t>
      </w:r>
    </w:p>
    <w:p w:rsidR="00376768" w:rsidRDefault="00EC2B72">
      <w:pPr>
        <w:spacing w:before="120"/>
        <w:ind w:left="360" w:hanging="360"/>
        <w:jc w:val="both"/>
        <w:rPr>
          <w:rFonts w:ascii="Arial" w:hAnsi="Arial" w:cs="Arial"/>
          <w:sz w:val="15"/>
        </w:rPr>
      </w:pPr>
      <w:r>
        <w:rPr>
          <w:rFonts w:ascii="Arial" w:hAnsi="Arial" w:cs="Arial"/>
          <w:sz w:val="15"/>
          <w:szCs w:val="12"/>
          <w:vertAlign w:val="superscript"/>
        </w:rPr>
        <w:t>(7)</w:t>
      </w:r>
      <w:r>
        <w:rPr>
          <w:rFonts w:ascii="Arial" w:hAnsi="Arial" w:cs="Arial"/>
          <w:sz w:val="15"/>
          <w:szCs w:val="12"/>
          <w:vertAlign w:val="superscript"/>
        </w:rPr>
        <w:tab/>
      </w:r>
      <w:r>
        <w:rPr>
          <w:rFonts w:ascii="Arial" w:hAnsi="Arial" w:cs="Arial"/>
          <w:sz w:val="15"/>
          <w:szCs w:val="16"/>
        </w:rPr>
        <w:t>Due to termination of employment, Messrs. Russo and Scanlon forfeited their PSU and restricted stock awards.</w:t>
      </w:r>
    </w:p>
    <w:p w:rsidR="00376768" w:rsidRDefault="00EC2B72">
      <w:pPr>
        <w:spacing w:before="120"/>
        <w:ind w:left="360"/>
        <w:jc w:val="both"/>
        <w:rPr>
          <w:rFonts w:ascii="Arial" w:hAnsi="Arial" w:cs="Arial"/>
          <w:sz w:val="15"/>
        </w:rPr>
      </w:pPr>
      <w:r>
        <w:rPr>
          <w:rFonts w:ascii="Arial" w:hAnsi="Arial" w:cs="Arial"/>
          <w:sz w:val="15"/>
          <w:szCs w:val="16"/>
        </w:rPr>
        <w:t>Please see the “Compensation Discussion and Analysis” section of this Proxy Statement for a description of our plans and other compensatory arrangements with our NEOs that are reported in the Summary Compensation Table and Grants of Plan-Based Awards Table.</w:t>
      </w:r>
    </w:p>
    <w:p w:rsidR="00376768" w:rsidRDefault="00EC2B72">
      <w:pPr>
        <w:jc w:val="center"/>
        <w:rPr>
          <w:rFonts w:ascii="Arial" w:hAnsi="Arial" w:cs="Arial"/>
          <w:b/>
          <w:bCs/>
        </w:rPr>
      </w:pPr>
      <w:r>
        <w:rPr>
          <w:rFonts w:ascii="Arial" w:hAnsi="Arial" w:cs="Arial"/>
          <w:b/>
          <w:bCs/>
        </w:rPr>
        <w:br w:type="page"/>
      </w:r>
      <w:r>
        <w:rPr>
          <w:rFonts w:ascii="Arial" w:hAnsi="Arial" w:cs="Arial"/>
          <w:b/>
          <w:bCs/>
        </w:rPr>
        <w:lastRenderedPageBreak/>
        <w:t>O</w:t>
      </w:r>
      <w:bookmarkStart w:id="34" w:name="a034_v1"/>
      <w:bookmarkEnd w:id="34"/>
      <w:r>
        <w:rPr>
          <w:rFonts w:ascii="Arial" w:hAnsi="Arial" w:cs="Arial"/>
          <w:b/>
          <w:bCs/>
        </w:rPr>
        <w:t>UTSTANDING EQUITY AWARDS AT 2017 FISCAL YEAR-END</w:t>
      </w:r>
    </w:p>
    <w:p w:rsidR="00376768" w:rsidRDefault="00EC2B72">
      <w:pPr>
        <w:spacing w:before="160"/>
        <w:ind w:firstLine="360"/>
        <w:jc w:val="both"/>
        <w:rPr>
          <w:rFonts w:ascii="Arial" w:hAnsi="Arial" w:cs="Arial"/>
        </w:rPr>
      </w:pPr>
      <w:r>
        <w:rPr>
          <w:rFonts w:ascii="Arial" w:hAnsi="Arial" w:cs="Arial"/>
          <w:szCs w:val="20"/>
        </w:rPr>
        <w:t xml:space="preserve">Our NEOs held no outstanding stock options at fiscal </w:t>
      </w:r>
      <w:proofErr w:type="spellStart"/>
      <w:r>
        <w:rPr>
          <w:rFonts w:ascii="Arial" w:hAnsi="Arial" w:cs="Arial"/>
          <w:szCs w:val="20"/>
        </w:rPr>
        <w:t>year end</w:t>
      </w:r>
      <w:proofErr w:type="spellEnd"/>
      <w:r>
        <w:rPr>
          <w:rFonts w:ascii="Arial" w:hAnsi="Arial" w:cs="Arial"/>
          <w:szCs w:val="20"/>
        </w:rPr>
        <w:t>. The following table sets forth information regarding unvested stock awards awarded to the NEOs as of December 31, 2017:</w:t>
      </w:r>
    </w:p>
    <w:tbl>
      <w:tblPr>
        <w:tblW w:w="4995" w:type="pct"/>
        <w:tblInd w:w="30" w:type="dxa"/>
        <w:tblBorders>
          <w:top w:val="single" w:sz="2" w:space="0" w:color="auto"/>
          <w:bottom w:val="single" w:sz="2" w:space="0" w:color="auto"/>
          <w:insideH w:val="single" w:sz="2" w:space="0" w:color="auto"/>
        </w:tblBorders>
        <w:tblLayout w:type="fixed"/>
        <w:tblCellMar>
          <w:left w:w="0" w:type="dxa"/>
          <w:right w:w="0" w:type="dxa"/>
        </w:tblCellMar>
        <w:tblLook w:val="0000" w:firstRow="0" w:lastRow="0" w:firstColumn="0" w:lastColumn="0" w:noHBand="0" w:noVBand="0"/>
      </w:tblPr>
      <w:tblGrid>
        <w:gridCol w:w="2448"/>
        <w:gridCol w:w="104"/>
        <w:gridCol w:w="104"/>
        <w:gridCol w:w="101"/>
        <w:gridCol w:w="104"/>
        <w:gridCol w:w="1031"/>
        <w:gridCol w:w="257"/>
        <w:gridCol w:w="106"/>
        <w:gridCol w:w="106"/>
        <w:gridCol w:w="101"/>
        <w:gridCol w:w="101"/>
        <w:gridCol w:w="1141"/>
        <w:gridCol w:w="270"/>
        <w:gridCol w:w="106"/>
        <w:gridCol w:w="106"/>
        <w:gridCol w:w="101"/>
        <w:gridCol w:w="101"/>
        <w:gridCol w:w="1398"/>
        <w:gridCol w:w="669"/>
        <w:gridCol w:w="106"/>
        <w:gridCol w:w="106"/>
        <w:gridCol w:w="101"/>
        <w:gridCol w:w="101"/>
        <w:gridCol w:w="1163"/>
        <w:gridCol w:w="686"/>
        <w:gridCol w:w="71"/>
      </w:tblGrid>
      <w:tr w:rsidR="00376768">
        <w:tc>
          <w:tcPr>
            <w:tcW w:w="1134" w:type="pct"/>
            <w:tcBorders>
              <w:top w:val="nil"/>
              <w:left w:val="nil"/>
              <w:bottom w:val="nil"/>
            </w:tcBorders>
            <w:vAlign w:val="bottom"/>
          </w:tcPr>
          <w:p w:rsidR="00376768" w:rsidRDefault="00376768">
            <w:pPr>
              <w:rPr>
                <w:rFonts w:ascii="Arial" w:hAnsi="Arial" w:cs="Arial"/>
                <w:sz w:val="16"/>
                <w:szCs w:val="18"/>
              </w:rPr>
            </w:pPr>
          </w:p>
        </w:tc>
        <w:tc>
          <w:tcPr>
            <w:tcW w:w="48" w:type="pct"/>
            <w:tcBorders>
              <w:top w:val="nil"/>
              <w:bottom w:val="nil"/>
            </w:tcBorders>
            <w:vAlign w:val="bottom"/>
          </w:tcPr>
          <w:p w:rsidR="00376768" w:rsidRDefault="00376768">
            <w:pPr>
              <w:rPr>
                <w:rFonts w:ascii="Arial" w:hAnsi="Arial" w:cs="Arial"/>
                <w:sz w:val="16"/>
                <w:szCs w:val="18"/>
              </w:rPr>
            </w:pPr>
          </w:p>
        </w:tc>
        <w:tc>
          <w:tcPr>
            <w:tcW w:w="48" w:type="pct"/>
            <w:tcBorders>
              <w:top w:val="nil"/>
              <w:bottom w:val="nil"/>
            </w:tcBorders>
            <w:vAlign w:val="bottom"/>
          </w:tcPr>
          <w:p w:rsidR="00376768" w:rsidRDefault="00376768">
            <w:pPr>
              <w:rPr>
                <w:rFonts w:ascii="Arial" w:hAnsi="Arial" w:cs="Arial"/>
                <w:sz w:val="16"/>
                <w:szCs w:val="18"/>
              </w:rPr>
            </w:pPr>
          </w:p>
        </w:tc>
        <w:tc>
          <w:tcPr>
            <w:tcW w:w="47" w:type="pct"/>
            <w:tcBorders>
              <w:top w:val="nil"/>
              <w:bottom w:val="single" w:sz="2" w:space="0" w:color="auto"/>
            </w:tcBorders>
            <w:vAlign w:val="bottom"/>
          </w:tcPr>
          <w:p w:rsidR="00376768" w:rsidRDefault="00376768">
            <w:pPr>
              <w:rPr>
                <w:rFonts w:ascii="Arial" w:hAnsi="Arial" w:cs="Arial"/>
                <w:sz w:val="16"/>
                <w:szCs w:val="18"/>
              </w:rPr>
            </w:pPr>
          </w:p>
        </w:tc>
        <w:tc>
          <w:tcPr>
            <w:tcW w:w="48" w:type="pct"/>
            <w:tcBorders>
              <w:top w:val="nil"/>
              <w:bottom w:val="single" w:sz="2" w:space="0" w:color="auto"/>
            </w:tcBorders>
            <w:vAlign w:val="bottom"/>
          </w:tcPr>
          <w:p w:rsidR="00376768" w:rsidRDefault="00376768">
            <w:pPr>
              <w:rPr>
                <w:rFonts w:ascii="Arial" w:hAnsi="Arial" w:cs="Arial"/>
                <w:sz w:val="16"/>
                <w:szCs w:val="18"/>
              </w:rPr>
            </w:pPr>
          </w:p>
        </w:tc>
        <w:tc>
          <w:tcPr>
            <w:tcW w:w="478" w:type="pct"/>
            <w:tcBorders>
              <w:top w:val="nil"/>
              <w:bottom w:val="single" w:sz="2" w:space="0" w:color="auto"/>
            </w:tcBorders>
            <w:vAlign w:val="bottom"/>
          </w:tcPr>
          <w:p w:rsidR="00376768" w:rsidRDefault="00376768">
            <w:pPr>
              <w:jc w:val="center"/>
              <w:rPr>
                <w:rFonts w:ascii="Arial" w:hAnsi="Arial" w:cs="Arial"/>
                <w:sz w:val="16"/>
                <w:szCs w:val="18"/>
              </w:rPr>
            </w:pPr>
          </w:p>
        </w:tc>
        <w:tc>
          <w:tcPr>
            <w:tcW w:w="118" w:type="pct"/>
            <w:tcBorders>
              <w:top w:val="nil"/>
              <w:bottom w:val="single" w:sz="2" w:space="0" w:color="auto"/>
            </w:tcBorders>
            <w:vAlign w:val="bottom"/>
          </w:tcPr>
          <w:p w:rsidR="00376768" w:rsidRDefault="00376768">
            <w:pPr>
              <w:rPr>
                <w:rFonts w:ascii="Arial" w:hAnsi="Arial" w:cs="Arial"/>
                <w:sz w:val="16"/>
                <w:szCs w:val="18"/>
              </w:rPr>
            </w:pPr>
          </w:p>
        </w:tc>
        <w:tc>
          <w:tcPr>
            <w:tcW w:w="98" w:type="pct"/>
            <w:gridSpan w:val="2"/>
            <w:tcBorders>
              <w:top w:val="nil"/>
              <w:bottom w:val="single" w:sz="2" w:space="0" w:color="auto"/>
            </w:tcBorders>
            <w:vAlign w:val="bottom"/>
          </w:tcPr>
          <w:p w:rsidR="00376768" w:rsidRDefault="00376768">
            <w:pPr>
              <w:rPr>
                <w:rFonts w:ascii="Arial" w:hAnsi="Arial" w:cs="Arial"/>
                <w:sz w:val="16"/>
                <w:szCs w:val="18"/>
              </w:rPr>
            </w:pPr>
          </w:p>
        </w:tc>
        <w:tc>
          <w:tcPr>
            <w:tcW w:w="47" w:type="pct"/>
            <w:tcBorders>
              <w:top w:val="nil"/>
              <w:bottom w:val="single" w:sz="2" w:space="0" w:color="auto"/>
            </w:tcBorders>
            <w:vAlign w:val="bottom"/>
          </w:tcPr>
          <w:p w:rsidR="00376768" w:rsidRDefault="00376768">
            <w:pPr>
              <w:rPr>
                <w:rFonts w:ascii="Arial" w:hAnsi="Arial" w:cs="Arial"/>
                <w:sz w:val="16"/>
                <w:szCs w:val="18"/>
              </w:rPr>
            </w:pPr>
          </w:p>
        </w:tc>
        <w:tc>
          <w:tcPr>
            <w:tcW w:w="47" w:type="pct"/>
            <w:tcBorders>
              <w:top w:val="nil"/>
              <w:bottom w:val="single" w:sz="2" w:space="0" w:color="auto"/>
            </w:tcBorders>
            <w:vAlign w:val="bottom"/>
          </w:tcPr>
          <w:p w:rsidR="00376768" w:rsidRDefault="00376768">
            <w:pPr>
              <w:rPr>
                <w:rFonts w:ascii="Arial" w:hAnsi="Arial" w:cs="Arial"/>
                <w:sz w:val="16"/>
                <w:szCs w:val="18"/>
              </w:rPr>
            </w:pPr>
          </w:p>
        </w:tc>
        <w:tc>
          <w:tcPr>
            <w:tcW w:w="529" w:type="pct"/>
            <w:tcBorders>
              <w:top w:val="nil"/>
              <w:bottom w:val="single" w:sz="2" w:space="0" w:color="auto"/>
            </w:tcBorders>
            <w:vAlign w:val="bottom"/>
          </w:tcPr>
          <w:p w:rsidR="00376768" w:rsidRDefault="00376768">
            <w:pPr>
              <w:jc w:val="center"/>
              <w:rPr>
                <w:rFonts w:ascii="Arial" w:hAnsi="Arial" w:cs="Arial"/>
                <w:sz w:val="16"/>
                <w:szCs w:val="18"/>
              </w:rPr>
            </w:pPr>
          </w:p>
        </w:tc>
        <w:tc>
          <w:tcPr>
            <w:tcW w:w="124" w:type="pct"/>
            <w:tcBorders>
              <w:top w:val="nil"/>
              <w:bottom w:val="single" w:sz="2" w:space="0" w:color="auto"/>
            </w:tcBorders>
            <w:vAlign w:val="bottom"/>
          </w:tcPr>
          <w:p w:rsidR="00376768" w:rsidRDefault="00376768">
            <w:pPr>
              <w:rPr>
                <w:rFonts w:ascii="Arial" w:hAnsi="Arial" w:cs="Arial"/>
                <w:sz w:val="16"/>
                <w:szCs w:val="18"/>
              </w:rPr>
            </w:pPr>
          </w:p>
        </w:tc>
        <w:tc>
          <w:tcPr>
            <w:tcW w:w="98" w:type="pct"/>
            <w:gridSpan w:val="2"/>
            <w:tcBorders>
              <w:top w:val="nil"/>
              <w:bottom w:val="single" w:sz="2" w:space="0" w:color="auto"/>
            </w:tcBorders>
            <w:vAlign w:val="bottom"/>
          </w:tcPr>
          <w:p w:rsidR="00376768" w:rsidRDefault="00376768">
            <w:pPr>
              <w:rPr>
                <w:rFonts w:ascii="Arial" w:hAnsi="Arial" w:cs="Arial"/>
                <w:sz w:val="16"/>
                <w:szCs w:val="18"/>
              </w:rPr>
            </w:pPr>
          </w:p>
        </w:tc>
        <w:tc>
          <w:tcPr>
            <w:tcW w:w="47" w:type="pct"/>
            <w:tcBorders>
              <w:top w:val="nil"/>
              <w:bottom w:val="single" w:sz="2" w:space="0" w:color="auto"/>
            </w:tcBorders>
            <w:vAlign w:val="bottom"/>
          </w:tcPr>
          <w:p w:rsidR="00376768" w:rsidRDefault="00376768">
            <w:pPr>
              <w:rPr>
                <w:rFonts w:ascii="Arial" w:hAnsi="Arial" w:cs="Arial"/>
                <w:sz w:val="16"/>
                <w:szCs w:val="18"/>
              </w:rPr>
            </w:pPr>
          </w:p>
        </w:tc>
        <w:tc>
          <w:tcPr>
            <w:tcW w:w="47" w:type="pct"/>
            <w:tcBorders>
              <w:top w:val="nil"/>
              <w:bottom w:val="single" w:sz="2" w:space="0" w:color="auto"/>
            </w:tcBorders>
            <w:vAlign w:val="bottom"/>
          </w:tcPr>
          <w:p w:rsidR="00376768" w:rsidRDefault="00376768">
            <w:pPr>
              <w:rPr>
                <w:rFonts w:ascii="Arial" w:hAnsi="Arial" w:cs="Arial"/>
                <w:sz w:val="16"/>
                <w:szCs w:val="18"/>
              </w:rPr>
            </w:pPr>
          </w:p>
        </w:tc>
        <w:tc>
          <w:tcPr>
            <w:tcW w:w="648" w:type="pct"/>
            <w:tcBorders>
              <w:top w:val="nil"/>
              <w:bottom w:val="single" w:sz="2" w:space="0" w:color="auto"/>
            </w:tcBorders>
            <w:vAlign w:val="bottom"/>
          </w:tcPr>
          <w:p w:rsidR="00376768" w:rsidRDefault="00376768">
            <w:pPr>
              <w:jc w:val="right"/>
              <w:rPr>
                <w:rFonts w:ascii="Arial" w:hAnsi="Arial" w:cs="Arial"/>
                <w:sz w:val="16"/>
                <w:szCs w:val="18"/>
              </w:rPr>
            </w:pPr>
          </w:p>
        </w:tc>
        <w:tc>
          <w:tcPr>
            <w:tcW w:w="310" w:type="pct"/>
            <w:tcBorders>
              <w:top w:val="nil"/>
              <w:bottom w:val="single" w:sz="2" w:space="0" w:color="auto"/>
            </w:tcBorders>
            <w:vAlign w:val="bottom"/>
          </w:tcPr>
          <w:p w:rsidR="00376768" w:rsidRDefault="00376768">
            <w:pPr>
              <w:rPr>
                <w:rFonts w:ascii="Arial" w:hAnsi="Arial" w:cs="Arial"/>
                <w:sz w:val="16"/>
                <w:szCs w:val="18"/>
              </w:rPr>
            </w:pPr>
          </w:p>
        </w:tc>
        <w:tc>
          <w:tcPr>
            <w:tcW w:w="98" w:type="pct"/>
            <w:gridSpan w:val="2"/>
            <w:tcBorders>
              <w:top w:val="nil"/>
              <w:bottom w:val="single" w:sz="2" w:space="0" w:color="auto"/>
            </w:tcBorders>
            <w:vAlign w:val="bottom"/>
          </w:tcPr>
          <w:p w:rsidR="00376768" w:rsidRDefault="00376768">
            <w:pPr>
              <w:rPr>
                <w:rFonts w:ascii="Arial" w:hAnsi="Arial" w:cs="Arial"/>
                <w:sz w:val="16"/>
                <w:szCs w:val="18"/>
              </w:rPr>
            </w:pPr>
          </w:p>
        </w:tc>
        <w:tc>
          <w:tcPr>
            <w:tcW w:w="47" w:type="pct"/>
            <w:tcBorders>
              <w:top w:val="nil"/>
              <w:bottom w:val="single" w:sz="2" w:space="0" w:color="auto"/>
            </w:tcBorders>
            <w:vAlign w:val="bottom"/>
          </w:tcPr>
          <w:p w:rsidR="00376768" w:rsidRDefault="00376768">
            <w:pPr>
              <w:rPr>
                <w:rFonts w:ascii="Arial" w:hAnsi="Arial" w:cs="Arial"/>
                <w:sz w:val="16"/>
                <w:szCs w:val="18"/>
              </w:rPr>
            </w:pPr>
          </w:p>
        </w:tc>
        <w:tc>
          <w:tcPr>
            <w:tcW w:w="47" w:type="pct"/>
            <w:tcBorders>
              <w:top w:val="nil"/>
              <w:bottom w:val="single" w:sz="2" w:space="0" w:color="auto"/>
            </w:tcBorders>
            <w:vAlign w:val="bottom"/>
          </w:tcPr>
          <w:p w:rsidR="00376768" w:rsidRDefault="00376768">
            <w:pPr>
              <w:rPr>
                <w:rFonts w:ascii="Arial" w:hAnsi="Arial" w:cs="Arial"/>
                <w:sz w:val="16"/>
                <w:szCs w:val="18"/>
              </w:rPr>
            </w:pPr>
          </w:p>
        </w:tc>
        <w:tc>
          <w:tcPr>
            <w:tcW w:w="539" w:type="pct"/>
            <w:tcBorders>
              <w:top w:val="nil"/>
              <w:bottom w:val="single" w:sz="2" w:space="0" w:color="auto"/>
            </w:tcBorders>
            <w:vAlign w:val="bottom"/>
          </w:tcPr>
          <w:p w:rsidR="00376768" w:rsidRDefault="00376768">
            <w:pPr>
              <w:jc w:val="right"/>
              <w:rPr>
                <w:rFonts w:ascii="Arial" w:hAnsi="Arial" w:cs="Arial"/>
                <w:sz w:val="16"/>
                <w:szCs w:val="18"/>
              </w:rPr>
            </w:pPr>
          </w:p>
        </w:tc>
        <w:tc>
          <w:tcPr>
            <w:tcW w:w="318" w:type="pct"/>
            <w:tcBorders>
              <w:top w:val="nil"/>
              <w:bottom w:val="single" w:sz="2" w:space="0" w:color="auto"/>
            </w:tcBorders>
            <w:vAlign w:val="bottom"/>
          </w:tcPr>
          <w:p w:rsidR="00376768" w:rsidRDefault="00376768">
            <w:pPr>
              <w:rPr>
                <w:rFonts w:ascii="Arial" w:hAnsi="Arial" w:cs="Arial"/>
                <w:sz w:val="16"/>
                <w:szCs w:val="18"/>
              </w:rPr>
            </w:pPr>
          </w:p>
        </w:tc>
        <w:tc>
          <w:tcPr>
            <w:tcW w:w="33" w:type="pct"/>
            <w:tcBorders>
              <w:top w:val="nil"/>
              <w:right w:val="nil"/>
            </w:tcBorders>
            <w:vAlign w:val="bottom"/>
          </w:tcPr>
          <w:p w:rsidR="00376768" w:rsidRDefault="00376768">
            <w:pPr>
              <w:rPr>
                <w:rFonts w:ascii="Arial" w:hAnsi="Arial" w:cs="Arial"/>
                <w:sz w:val="16"/>
                <w:szCs w:val="18"/>
              </w:rPr>
            </w:pPr>
          </w:p>
        </w:tc>
      </w:tr>
      <w:tr w:rsidR="00376768">
        <w:trPr>
          <w:cantSplit/>
        </w:trPr>
        <w:tc>
          <w:tcPr>
            <w:tcW w:w="1134" w:type="pct"/>
            <w:tcBorders>
              <w:top w:val="nil"/>
              <w:left w:val="nil"/>
              <w:bottom w:val="single" w:sz="2" w:space="0" w:color="auto"/>
            </w:tcBorders>
            <w:vAlign w:val="bottom"/>
          </w:tcPr>
          <w:p w:rsidR="00376768" w:rsidRDefault="00376768">
            <w:pPr>
              <w:rPr>
                <w:rFonts w:ascii="Arial" w:hAnsi="Arial" w:cs="Arial"/>
                <w:sz w:val="16"/>
                <w:szCs w:val="18"/>
              </w:rPr>
            </w:pPr>
          </w:p>
        </w:tc>
        <w:tc>
          <w:tcPr>
            <w:tcW w:w="48" w:type="pct"/>
            <w:tcBorders>
              <w:top w:val="nil"/>
              <w:bottom w:val="nil"/>
            </w:tcBorders>
            <w:vAlign w:val="bottom"/>
          </w:tcPr>
          <w:p w:rsidR="00376768" w:rsidRDefault="00376768">
            <w:pPr>
              <w:rPr>
                <w:rFonts w:ascii="Arial" w:hAnsi="Arial" w:cs="Arial"/>
                <w:sz w:val="16"/>
                <w:szCs w:val="18"/>
              </w:rPr>
            </w:pPr>
          </w:p>
        </w:tc>
        <w:tc>
          <w:tcPr>
            <w:tcW w:w="48" w:type="pct"/>
            <w:tcBorders>
              <w:top w:val="nil"/>
              <w:bottom w:val="single" w:sz="2" w:space="0" w:color="auto"/>
              <w:right w:val="single" w:sz="12" w:space="0" w:color="auto"/>
            </w:tcBorders>
            <w:vAlign w:val="bottom"/>
          </w:tcPr>
          <w:p w:rsidR="00376768" w:rsidRDefault="00376768">
            <w:pPr>
              <w:rPr>
                <w:rFonts w:ascii="Arial" w:hAnsi="Arial" w:cs="Arial"/>
                <w:sz w:val="16"/>
                <w:szCs w:val="18"/>
              </w:rPr>
            </w:pPr>
          </w:p>
        </w:tc>
        <w:tc>
          <w:tcPr>
            <w:tcW w:w="47" w:type="pct"/>
            <w:tcBorders>
              <w:left w:val="single" w:sz="12" w:space="0" w:color="auto"/>
              <w:bottom w:val="single" w:sz="12" w:space="0" w:color="auto"/>
            </w:tcBorders>
            <w:vAlign w:val="bottom"/>
          </w:tcPr>
          <w:p w:rsidR="00376768" w:rsidRDefault="00376768">
            <w:pPr>
              <w:rPr>
                <w:rFonts w:ascii="Arial" w:hAnsi="Arial" w:cs="Arial"/>
                <w:sz w:val="16"/>
                <w:szCs w:val="18"/>
              </w:rPr>
            </w:pPr>
          </w:p>
        </w:tc>
        <w:tc>
          <w:tcPr>
            <w:tcW w:w="3690" w:type="pct"/>
            <w:gridSpan w:val="21"/>
            <w:tcBorders>
              <w:bottom w:val="single" w:sz="12" w:space="0" w:color="auto"/>
            </w:tcBorders>
            <w:vAlign w:val="bottom"/>
          </w:tcPr>
          <w:p w:rsidR="00376768" w:rsidRDefault="00EC2B72">
            <w:pPr>
              <w:jc w:val="center"/>
              <w:rPr>
                <w:rFonts w:ascii="Arial" w:hAnsi="Arial" w:cs="Arial"/>
                <w:sz w:val="16"/>
                <w:szCs w:val="18"/>
              </w:rPr>
            </w:pPr>
            <w:r>
              <w:rPr>
                <w:rFonts w:ascii="Arial" w:hAnsi="Arial" w:cs="Arial"/>
                <w:b/>
                <w:bCs/>
                <w:sz w:val="16"/>
                <w:szCs w:val="18"/>
              </w:rPr>
              <w:t>Stock Awards</w:t>
            </w:r>
          </w:p>
        </w:tc>
        <w:tc>
          <w:tcPr>
            <w:tcW w:w="33" w:type="pct"/>
            <w:tcBorders>
              <w:right w:val="single" w:sz="2" w:space="0" w:color="auto"/>
            </w:tcBorders>
            <w:vAlign w:val="bottom"/>
          </w:tcPr>
          <w:p w:rsidR="00376768" w:rsidRDefault="00376768">
            <w:pPr>
              <w:rPr>
                <w:rFonts w:ascii="Arial" w:hAnsi="Arial" w:cs="Arial"/>
                <w:sz w:val="16"/>
                <w:szCs w:val="18"/>
              </w:rPr>
            </w:pPr>
          </w:p>
        </w:tc>
      </w:tr>
      <w:tr w:rsidR="00376768">
        <w:trPr>
          <w:cantSplit/>
        </w:trPr>
        <w:tc>
          <w:tcPr>
            <w:tcW w:w="1134" w:type="pct"/>
            <w:tcBorders>
              <w:top w:val="single" w:sz="2" w:space="0" w:color="auto"/>
              <w:left w:val="single" w:sz="2" w:space="0" w:color="auto"/>
            </w:tcBorders>
            <w:vAlign w:val="bottom"/>
          </w:tcPr>
          <w:p w:rsidR="00376768" w:rsidRDefault="00EC2B72">
            <w:pPr>
              <w:jc w:val="center"/>
              <w:rPr>
                <w:rFonts w:ascii="Arial" w:hAnsi="Arial" w:cs="Arial"/>
                <w:sz w:val="16"/>
                <w:szCs w:val="18"/>
              </w:rPr>
            </w:pPr>
            <w:r>
              <w:rPr>
                <w:rFonts w:ascii="Arial" w:hAnsi="Arial" w:cs="Arial"/>
                <w:b/>
                <w:bCs/>
                <w:sz w:val="16"/>
                <w:szCs w:val="18"/>
              </w:rPr>
              <w:t>Name</w:t>
            </w:r>
          </w:p>
        </w:tc>
        <w:tc>
          <w:tcPr>
            <w:tcW w:w="48" w:type="pct"/>
            <w:tcBorders>
              <w:top w:val="single" w:sz="2" w:space="0" w:color="auto"/>
            </w:tcBorders>
            <w:vAlign w:val="bottom"/>
          </w:tcPr>
          <w:p w:rsidR="00376768" w:rsidRDefault="00376768">
            <w:pPr>
              <w:rPr>
                <w:rFonts w:ascii="Arial" w:hAnsi="Arial" w:cs="Arial"/>
                <w:sz w:val="16"/>
                <w:szCs w:val="18"/>
              </w:rPr>
            </w:pPr>
          </w:p>
        </w:tc>
        <w:tc>
          <w:tcPr>
            <w:tcW w:w="48" w:type="pct"/>
            <w:tcBorders>
              <w:top w:val="single" w:sz="2" w:space="0" w:color="auto"/>
              <w:right w:val="single" w:sz="12" w:space="0" w:color="auto"/>
            </w:tcBorders>
            <w:vAlign w:val="bottom"/>
          </w:tcPr>
          <w:p w:rsidR="00376768" w:rsidRDefault="00376768">
            <w:pPr>
              <w:rPr>
                <w:rFonts w:ascii="Arial" w:hAnsi="Arial" w:cs="Arial"/>
                <w:sz w:val="16"/>
                <w:szCs w:val="18"/>
              </w:rPr>
            </w:pPr>
          </w:p>
        </w:tc>
        <w:tc>
          <w:tcPr>
            <w:tcW w:w="692" w:type="pct"/>
            <w:gridSpan w:val="4"/>
            <w:tcBorders>
              <w:top w:val="single" w:sz="2" w:space="0" w:color="auto"/>
              <w:left w:val="single" w:sz="12" w:space="0" w:color="auto"/>
            </w:tcBorders>
            <w:vAlign w:val="bottom"/>
          </w:tcPr>
          <w:p w:rsidR="00376768" w:rsidRDefault="00EC2B72">
            <w:pPr>
              <w:jc w:val="center"/>
              <w:rPr>
                <w:rFonts w:ascii="Arial" w:hAnsi="Arial" w:cs="Arial"/>
                <w:sz w:val="16"/>
                <w:szCs w:val="18"/>
              </w:rPr>
            </w:pPr>
            <w:r>
              <w:rPr>
                <w:rFonts w:ascii="Arial" w:hAnsi="Arial" w:cs="Arial"/>
                <w:b/>
                <w:bCs/>
                <w:sz w:val="16"/>
                <w:szCs w:val="18"/>
              </w:rPr>
              <w:t>Number of</w:t>
            </w:r>
            <w:r>
              <w:rPr>
                <w:rFonts w:ascii="Arial" w:hAnsi="Arial" w:cs="Arial"/>
                <w:b/>
                <w:bCs/>
                <w:sz w:val="16"/>
                <w:szCs w:val="18"/>
              </w:rPr>
              <w:br/>
              <w:t>Shares or</w:t>
            </w:r>
            <w:r>
              <w:rPr>
                <w:rFonts w:ascii="Arial" w:hAnsi="Arial" w:cs="Arial"/>
                <w:b/>
                <w:bCs/>
                <w:sz w:val="16"/>
                <w:szCs w:val="18"/>
              </w:rPr>
              <w:br/>
              <w:t>Units of Stock</w:t>
            </w:r>
            <w:r>
              <w:rPr>
                <w:rFonts w:ascii="Arial" w:hAnsi="Arial" w:cs="Arial"/>
                <w:b/>
                <w:bCs/>
                <w:sz w:val="16"/>
                <w:szCs w:val="18"/>
              </w:rPr>
              <w:br/>
              <w:t>That Have Not</w:t>
            </w:r>
            <w:r>
              <w:rPr>
                <w:rFonts w:ascii="Arial" w:hAnsi="Arial" w:cs="Arial"/>
                <w:b/>
                <w:bCs/>
                <w:sz w:val="16"/>
                <w:szCs w:val="18"/>
              </w:rPr>
              <w:br/>
              <w:t>Vested (#)</w:t>
            </w:r>
            <w:r>
              <w:rPr>
                <w:rFonts w:ascii="Arial" w:hAnsi="Arial" w:cs="Arial"/>
                <w:b/>
                <w:bCs/>
                <w:sz w:val="16"/>
                <w:szCs w:val="14"/>
                <w:vertAlign w:val="superscript"/>
              </w:rPr>
              <w:t>(1)</w:t>
            </w:r>
          </w:p>
        </w:tc>
        <w:tc>
          <w:tcPr>
            <w:tcW w:w="49" w:type="pct"/>
            <w:tcBorders>
              <w:right w:val="single" w:sz="2" w:space="0" w:color="auto"/>
            </w:tcBorders>
            <w:vAlign w:val="bottom"/>
          </w:tcPr>
          <w:p w:rsidR="00376768" w:rsidRDefault="00376768">
            <w:pPr>
              <w:rPr>
                <w:rFonts w:ascii="Arial" w:hAnsi="Arial" w:cs="Arial"/>
                <w:sz w:val="16"/>
                <w:szCs w:val="18"/>
              </w:rPr>
            </w:pPr>
          </w:p>
        </w:tc>
        <w:tc>
          <w:tcPr>
            <w:tcW w:w="49" w:type="pct"/>
            <w:tcBorders>
              <w:left w:val="single" w:sz="2" w:space="0" w:color="auto"/>
            </w:tcBorders>
            <w:vAlign w:val="bottom"/>
          </w:tcPr>
          <w:p w:rsidR="00376768" w:rsidRDefault="00376768">
            <w:pPr>
              <w:rPr>
                <w:rFonts w:ascii="Arial" w:hAnsi="Arial" w:cs="Arial"/>
                <w:sz w:val="16"/>
                <w:szCs w:val="18"/>
              </w:rPr>
            </w:pPr>
          </w:p>
        </w:tc>
        <w:tc>
          <w:tcPr>
            <w:tcW w:w="748" w:type="pct"/>
            <w:gridSpan w:val="4"/>
            <w:vAlign w:val="bottom"/>
          </w:tcPr>
          <w:p w:rsidR="00376768" w:rsidRDefault="00EC2B72">
            <w:pPr>
              <w:jc w:val="center"/>
              <w:rPr>
                <w:rFonts w:ascii="Arial" w:hAnsi="Arial" w:cs="Arial"/>
                <w:sz w:val="16"/>
                <w:szCs w:val="18"/>
              </w:rPr>
            </w:pPr>
            <w:r>
              <w:rPr>
                <w:rFonts w:ascii="Arial" w:hAnsi="Arial" w:cs="Arial"/>
                <w:b/>
                <w:bCs/>
                <w:sz w:val="16"/>
                <w:szCs w:val="18"/>
              </w:rPr>
              <w:t>Market Value of</w:t>
            </w:r>
            <w:r>
              <w:rPr>
                <w:rFonts w:ascii="Arial" w:hAnsi="Arial" w:cs="Arial"/>
                <w:b/>
                <w:bCs/>
                <w:sz w:val="16"/>
                <w:szCs w:val="18"/>
              </w:rPr>
              <w:br/>
              <w:t>Shares or Units</w:t>
            </w:r>
            <w:r>
              <w:rPr>
                <w:rFonts w:ascii="Arial" w:hAnsi="Arial" w:cs="Arial"/>
                <w:b/>
                <w:bCs/>
                <w:sz w:val="16"/>
                <w:szCs w:val="18"/>
              </w:rPr>
              <w:br/>
              <w:t>of Stock That</w:t>
            </w:r>
            <w:r>
              <w:rPr>
                <w:rFonts w:ascii="Arial" w:hAnsi="Arial" w:cs="Arial"/>
                <w:b/>
                <w:bCs/>
                <w:sz w:val="16"/>
                <w:szCs w:val="18"/>
              </w:rPr>
              <w:br/>
              <w:t>Have Not</w:t>
            </w:r>
            <w:r>
              <w:rPr>
                <w:rFonts w:ascii="Arial" w:hAnsi="Arial" w:cs="Arial"/>
                <w:b/>
                <w:bCs/>
                <w:sz w:val="16"/>
                <w:szCs w:val="18"/>
              </w:rPr>
              <w:br/>
              <w:t>Vested ($)</w:t>
            </w:r>
            <w:r>
              <w:rPr>
                <w:rFonts w:ascii="Arial" w:hAnsi="Arial" w:cs="Arial"/>
                <w:b/>
                <w:bCs/>
                <w:sz w:val="16"/>
                <w:szCs w:val="14"/>
                <w:vertAlign w:val="superscript"/>
              </w:rPr>
              <w:t>(2)</w:t>
            </w:r>
          </w:p>
        </w:tc>
        <w:tc>
          <w:tcPr>
            <w:tcW w:w="49" w:type="pct"/>
            <w:tcBorders>
              <w:right w:val="single" w:sz="2" w:space="0" w:color="auto"/>
            </w:tcBorders>
            <w:vAlign w:val="bottom"/>
          </w:tcPr>
          <w:p w:rsidR="00376768" w:rsidRDefault="00376768">
            <w:pPr>
              <w:rPr>
                <w:rFonts w:ascii="Arial" w:hAnsi="Arial" w:cs="Arial"/>
                <w:sz w:val="16"/>
                <w:szCs w:val="18"/>
              </w:rPr>
            </w:pPr>
          </w:p>
        </w:tc>
        <w:tc>
          <w:tcPr>
            <w:tcW w:w="49" w:type="pct"/>
            <w:tcBorders>
              <w:left w:val="single" w:sz="2" w:space="0" w:color="auto"/>
            </w:tcBorders>
            <w:vAlign w:val="bottom"/>
          </w:tcPr>
          <w:p w:rsidR="00376768" w:rsidRDefault="00376768">
            <w:pPr>
              <w:rPr>
                <w:rFonts w:ascii="Arial" w:hAnsi="Arial" w:cs="Arial"/>
                <w:sz w:val="16"/>
                <w:szCs w:val="18"/>
              </w:rPr>
            </w:pPr>
          </w:p>
        </w:tc>
        <w:tc>
          <w:tcPr>
            <w:tcW w:w="1052" w:type="pct"/>
            <w:gridSpan w:val="4"/>
            <w:vAlign w:val="bottom"/>
          </w:tcPr>
          <w:p w:rsidR="00376768" w:rsidRDefault="00EC2B72">
            <w:pPr>
              <w:jc w:val="center"/>
              <w:rPr>
                <w:rFonts w:ascii="Arial" w:hAnsi="Arial" w:cs="Arial"/>
                <w:sz w:val="16"/>
                <w:szCs w:val="18"/>
              </w:rPr>
            </w:pPr>
            <w:r>
              <w:rPr>
                <w:rFonts w:ascii="Arial" w:hAnsi="Arial" w:cs="Arial"/>
                <w:b/>
                <w:bCs/>
                <w:sz w:val="16"/>
                <w:szCs w:val="18"/>
              </w:rPr>
              <w:t>Equity Incentive Plan</w:t>
            </w:r>
            <w:r>
              <w:rPr>
                <w:rFonts w:ascii="Arial" w:hAnsi="Arial" w:cs="Arial"/>
                <w:b/>
                <w:bCs/>
                <w:sz w:val="16"/>
                <w:szCs w:val="18"/>
              </w:rPr>
              <w:br/>
              <w:t>Awards: Number of</w:t>
            </w:r>
            <w:r>
              <w:rPr>
                <w:rFonts w:ascii="Arial" w:hAnsi="Arial" w:cs="Arial"/>
                <w:b/>
                <w:bCs/>
                <w:sz w:val="16"/>
                <w:szCs w:val="18"/>
              </w:rPr>
              <w:br/>
              <w:t>Unearned Shares, Units</w:t>
            </w:r>
            <w:r>
              <w:rPr>
                <w:rFonts w:ascii="Arial" w:hAnsi="Arial" w:cs="Arial"/>
                <w:b/>
                <w:bCs/>
                <w:sz w:val="16"/>
                <w:szCs w:val="18"/>
              </w:rPr>
              <w:br/>
              <w:t>or Other Rights That</w:t>
            </w:r>
            <w:r>
              <w:rPr>
                <w:rFonts w:ascii="Arial" w:hAnsi="Arial" w:cs="Arial"/>
                <w:b/>
                <w:bCs/>
                <w:sz w:val="16"/>
                <w:szCs w:val="18"/>
              </w:rPr>
              <w:br/>
              <w:t>Have Not Vested (#)</w:t>
            </w:r>
            <w:r>
              <w:rPr>
                <w:rFonts w:ascii="Arial" w:hAnsi="Arial" w:cs="Arial"/>
                <w:b/>
                <w:bCs/>
                <w:sz w:val="16"/>
                <w:szCs w:val="14"/>
                <w:vertAlign w:val="superscript"/>
              </w:rPr>
              <w:t>(3)</w:t>
            </w:r>
          </w:p>
        </w:tc>
        <w:tc>
          <w:tcPr>
            <w:tcW w:w="49" w:type="pct"/>
            <w:tcBorders>
              <w:right w:val="single" w:sz="2" w:space="0" w:color="auto"/>
            </w:tcBorders>
            <w:vAlign w:val="bottom"/>
          </w:tcPr>
          <w:p w:rsidR="00376768" w:rsidRDefault="00376768">
            <w:pPr>
              <w:rPr>
                <w:rFonts w:ascii="Arial" w:hAnsi="Arial" w:cs="Arial"/>
                <w:sz w:val="16"/>
                <w:szCs w:val="18"/>
              </w:rPr>
            </w:pPr>
          </w:p>
        </w:tc>
        <w:tc>
          <w:tcPr>
            <w:tcW w:w="49" w:type="pct"/>
            <w:tcBorders>
              <w:left w:val="single" w:sz="2" w:space="0" w:color="auto"/>
            </w:tcBorders>
            <w:vAlign w:val="bottom"/>
          </w:tcPr>
          <w:p w:rsidR="00376768" w:rsidRDefault="00376768">
            <w:pPr>
              <w:rPr>
                <w:rFonts w:ascii="Arial" w:hAnsi="Arial" w:cs="Arial"/>
                <w:sz w:val="16"/>
                <w:szCs w:val="18"/>
              </w:rPr>
            </w:pPr>
          </w:p>
        </w:tc>
        <w:tc>
          <w:tcPr>
            <w:tcW w:w="951" w:type="pct"/>
            <w:gridSpan w:val="4"/>
            <w:vAlign w:val="bottom"/>
          </w:tcPr>
          <w:p w:rsidR="00376768" w:rsidRDefault="00EC2B72">
            <w:pPr>
              <w:jc w:val="center"/>
              <w:rPr>
                <w:rFonts w:ascii="Arial" w:hAnsi="Arial" w:cs="Arial"/>
                <w:sz w:val="16"/>
                <w:szCs w:val="18"/>
              </w:rPr>
            </w:pPr>
            <w:r>
              <w:rPr>
                <w:rFonts w:ascii="Arial" w:hAnsi="Arial" w:cs="Arial"/>
                <w:b/>
                <w:bCs/>
                <w:sz w:val="16"/>
                <w:szCs w:val="18"/>
              </w:rPr>
              <w:t>Equity Incentive Plan</w:t>
            </w:r>
            <w:r>
              <w:rPr>
                <w:rFonts w:ascii="Arial" w:hAnsi="Arial" w:cs="Arial"/>
                <w:b/>
                <w:bCs/>
                <w:sz w:val="16"/>
                <w:szCs w:val="18"/>
              </w:rPr>
              <w:br/>
              <w:t>Awards: Market or Payout</w:t>
            </w:r>
            <w:r>
              <w:rPr>
                <w:rFonts w:ascii="Arial" w:hAnsi="Arial" w:cs="Arial"/>
                <w:b/>
                <w:bCs/>
                <w:sz w:val="16"/>
                <w:szCs w:val="18"/>
              </w:rPr>
              <w:br/>
              <w:t>Value of Unearned Shares,</w:t>
            </w:r>
            <w:r>
              <w:rPr>
                <w:rFonts w:ascii="Arial" w:hAnsi="Arial" w:cs="Arial"/>
                <w:b/>
                <w:bCs/>
                <w:sz w:val="16"/>
                <w:szCs w:val="18"/>
              </w:rPr>
              <w:br/>
              <w:t>Units or Other Rights That</w:t>
            </w:r>
            <w:r>
              <w:rPr>
                <w:rFonts w:ascii="Arial" w:hAnsi="Arial" w:cs="Arial"/>
                <w:b/>
                <w:bCs/>
                <w:sz w:val="16"/>
                <w:szCs w:val="18"/>
              </w:rPr>
              <w:br/>
              <w:t>Have Not Vested ($)</w:t>
            </w:r>
            <w:r>
              <w:rPr>
                <w:rFonts w:ascii="Arial" w:hAnsi="Arial" w:cs="Arial"/>
                <w:b/>
                <w:bCs/>
                <w:sz w:val="16"/>
                <w:szCs w:val="14"/>
                <w:vertAlign w:val="superscript"/>
              </w:rPr>
              <w:t>(2)</w:t>
            </w:r>
          </w:p>
        </w:tc>
        <w:tc>
          <w:tcPr>
            <w:tcW w:w="33" w:type="pct"/>
            <w:tcBorders>
              <w:right w:val="single" w:sz="2" w:space="0" w:color="auto"/>
            </w:tcBorders>
            <w:vAlign w:val="bottom"/>
          </w:tcPr>
          <w:p w:rsidR="00376768" w:rsidRDefault="00376768">
            <w:pPr>
              <w:rPr>
                <w:rFonts w:ascii="Arial" w:hAnsi="Arial" w:cs="Arial"/>
                <w:sz w:val="16"/>
                <w:szCs w:val="18"/>
              </w:rPr>
            </w:pPr>
          </w:p>
        </w:tc>
      </w:tr>
      <w:tr w:rsidR="00376768">
        <w:trPr>
          <w:cantSplit/>
        </w:trPr>
        <w:tc>
          <w:tcPr>
            <w:tcW w:w="1134" w:type="pct"/>
            <w:tcBorders>
              <w:left w:val="single" w:sz="2" w:space="0" w:color="auto"/>
            </w:tcBorders>
            <w:vAlign w:val="bottom"/>
          </w:tcPr>
          <w:p w:rsidR="00376768" w:rsidRDefault="00EC2B72">
            <w:pPr>
              <w:ind w:left="144"/>
              <w:rPr>
                <w:rFonts w:ascii="Arial" w:hAnsi="Arial" w:cs="Arial"/>
                <w:sz w:val="16"/>
              </w:rPr>
            </w:pPr>
            <w:r>
              <w:rPr>
                <w:rFonts w:ascii="Arial" w:hAnsi="Arial" w:cs="Arial"/>
                <w:sz w:val="16"/>
                <w:szCs w:val="18"/>
              </w:rPr>
              <w:t>Robert P. Bauer</w:t>
            </w:r>
          </w:p>
        </w:tc>
        <w:tc>
          <w:tcPr>
            <w:tcW w:w="48" w:type="pct"/>
            <w:vAlign w:val="bottom"/>
          </w:tcPr>
          <w:p w:rsidR="00376768" w:rsidRDefault="00376768">
            <w:pPr>
              <w:rPr>
                <w:rFonts w:ascii="Arial" w:hAnsi="Arial" w:cs="Arial"/>
                <w:sz w:val="16"/>
                <w:szCs w:val="18"/>
              </w:rPr>
            </w:pPr>
          </w:p>
        </w:tc>
        <w:tc>
          <w:tcPr>
            <w:tcW w:w="48" w:type="pct"/>
            <w:tcBorders>
              <w:right w:val="single" w:sz="2" w:space="0" w:color="auto"/>
            </w:tcBorders>
            <w:vAlign w:val="bottom"/>
          </w:tcPr>
          <w:p w:rsidR="00376768" w:rsidRDefault="00376768">
            <w:pPr>
              <w:rPr>
                <w:rFonts w:ascii="Arial" w:hAnsi="Arial" w:cs="Arial"/>
                <w:sz w:val="16"/>
                <w:szCs w:val="18"/>
              </w:rPr>
            </w:pPr>
          </w:p>
        </w:tc>
        <w:tc>
          <w:tcPr>
            <w:tcW w:w="47" w:type="pct"/>
            <w:tcBorders>
              <w:left w:val="single" w:sz="2" w:space="0" w:color="auto"/>
            </w:tcBorders>
            <w:vAlign w:val="bottom"/>
          </w:tcPr>
          <w:p w:rsidR="00376768" w:rsidRDefault="00376768">
            <w:pPr>
              <w:rPr>
                <w:rFonts w:ascii="Arial" w:hAnsi="Arial" w:cs="Arial"/>
                <w:sz w:val="16"/>
                <w:szCs w:val="18"/>
              </w:rPr>
            </w:pPr>
          </w:p>
        </w:tc>
        <w:tc>
          <w:tcPr>
            <w:tcW w:w="48" w:type="pct"/>
            <w:vAlign w:val="bottom"/>
          </w:tcPr>
          <w:p w:rsidR="00376768" w:rsidRDefault="00376768">
            <w:pPr>
              <w:rPr>
                <w:rFonts w:ascii="Arial" w:hAnsi="Arial" w:cs="Arial"/>
                <w:sz w:val="16"/>
                <w:szCs w:val="18"/>
              </w:rPr>
            </w:pPr>
          </w:p>
        </w:tc>
        <w:tc>
          <w:tcPr>
            <w:tcW w:w="478" w:type="pct"/>
            <w:vAlign w:val="bottom"/>
          </w:tcPr>
          <w:p w:rsidR="00376768" w:rsidRDefault="00EC2B72">
            <w:pPr>
              <w:jc w:val="center"/>
              <w:rPr>
                <w:rFonts w:ascii="Arial" w:hAnsi="Arial" w:cs="Arial"/>
                <w:sz w:val="16"/>
              </w:rPr>
            </w:pPr>
            <w:r>
              <w:rPr>
                <w:rFonts w:ascii="Arial" w:hAnsi="Arial" w:cs="Arial"/>
                <w:sz w:val="16"/>
                <w:szCs w:val="18"/>
              </w:rPr>
              <w:t>21,627</w:t>
            </w:r>
          </w:p>
        </w:tc>
        <w:tc>
          <w:tcPr>
            <w:tcW w:w="118" w:type="pct"/>
            <w:vAlign w:val="bottom"/>
          </w:tcPr>
          <w:p w:rsidR="00376768" w:rsidRDefault="00376768">
            <w:pPr>
              <w:rPr>
                <w:rFonts w:ascii="Arial" w:hAnsi="Arial" w:cs="Arial"/>
                <w:sz w:val="16"/>
                <w:szCs w:val="18"/>
              </w:rPr>
            </w:pPr>
          </w:p>
        </w:tc>
        <w:tc>
          <w:tcPr>
            <w:tcW w:w="49" w:type="pct"/>
            <w:tcBorders>
              <w:right w:val="single" w:sz="2" w:space="0" w:color="auto"/>
            </w:tcBorders>
            <w:vAlign w:val="bottom"/>
          </w:tcPr>
          <w:p w:rsidR="00376768" w:rsidRDefault="00376768">
            <w:pPr>
              <w:rPr>
                <w:rFonts w:ascii="Arial" w:hAnsi="Arial" w:cs="Arial"/>
                <w:sz w:val="16"/>
                <w:szCs w:val="18"/>
              </w:rPr>
            </w:pPr>
          </w:p>
        </w:tc>
        <w:tc>
          <w:tcPr>
            <w:tcW w:w="49" w:type="pct"/>
            <w:tcBorders>
              <w:left w:val="single" w:sz="2" w:space="0" w:color="auto"/>
            </w:tcBorders>
            <w:vAlign w:val="bottom"/>
          </w:tcPr>
          <w:p w:rsidR="00376768" w:rsidRDefault="00376768">
            <w:pPr>
              <w:rPr>
                <w:rFonts w:ascii="Arial" w:hAnsi="Arial" w:cs="Arial"/>
                <w:sz w:val="16"/>
                <w:szCs w:val="18"/>
              </w:rPr>
            </w:pPr>
          </w:p>
        </w:tc>
        <w:tc>
          <w:tcPr>
            <w:tcW w:w="47" w:type="pct"/>
            <w:vAlign w:val="bottom"/>
          </w:tcPr>
          <w:p w:rsidR="00376768" w:rsidRDefault="00376768">
            <w:pPr>
              <w:rPr>
                <w:rFonts w:ascii="Arial" w:hAnsi="Arial" w:cs="Arial"/>
                <w:sz w:val="16"/>
                <w:szCs w:val="18"/>
              </w:rPr>
            </w:pPr>
          </w:p>
        </w:tc>
        <w:tc>
          <w:tcPr>
            <w:tcW w:w="47" w:type="pct"/>
            <w:vAlign w:val="bottom"/>
          </w:tcPr>
          <w:p w:rsidR="00376768" w:rsidRDefault="00376768">
            <w:pPr>
              <w:rPr>
                <w:rFonts w:ascii="Arial" w:hAnsi="Arial" w:cs="Arial"/>
                <w:sz w:val="16"/>
                <w:szCs w:val="18"/>
              </w:rPr>
            </w:pPr>
          </w:p>
        </w:tc>
        <w:tc>
          <w:tcPr>
            <w:tcW w:w="529" w:type="pct"/>
            <w:vAlign w:val="bottom"/>
          </w:tcPr>
          <w:p w:rsidR="00376768" w:rsidRDefault="00EC2B72">
            <w:pPr>
              <w:jc w:val="center"/>
              <w:rPr>
                <w:rFonts w:ascii="Arial" w:hAnsi="Arial" w:cs="Arial"/>
                <w:sz w:val="16"/>
              </w:rPr>
            </w:pPr>
            <w:r>
              <w:rPr>
                <w:rFonts w:ascii="Arial" w:hAnsi="Arial" w:cs="Arial"/>
                <w:sz w:val="16"/>
                <w:szCs w:val="18"/>
              </w:rPr>
              <w:t>$587,173</w:t>
            </w:r>
          </w:p>
        </w:tc>
        <w:tc>
          <w:tcPr>
            <w:tcW w:w="124" w:type="pct"/>
            <w:vAlign w:val="bottom"/>
          </w:tcPr>
          <w:p w:rsidR="00376768" w:rsidRDefault="00376768">
            <w:pPr>
              <w:rPr>
                <w:rFonts w:ascii="Arial" w:hAnsi="Arial" w:cs="Arial"/>
                <w:sz w:val="16"/>
                <w:szCs w:val="18"/>
              </w:rPr>
            </w:pPr>
          </w:p>
        </w:tc>
        <w:tc>
          <w:tcPr>
            <w:tcW w:w="49" w:type="pct"/>
            <w:tcBorders>
              <w:right w:val="single" w:sz="2" w:space="0" w:color="auto"/>
            </w:tcBorders>
            <w:vAlign w:val="bottom"/>
          </w:tcPr>
          <w:p w:rsidR="00376768" w:rsidRDefault="00376768">
            <w:pPr>
              <w:rPr>
                <w:rFonts w:ascii="Arial" w:hAnsi="Arial" w:cs="Arial"/>
                <w:sz w:val="16"/>
                <w:szCs w:val="18"/>
              </w:rPr>
            </w:pPr>
          </w:p>
        </w:tc>
        <w:tc>
          <w:tcPr>
            <w:tcW w:w="49" w:type="pct"/>
            <w:tcBorders>
              <w:left w:val="single" w:sz="2" w:space="0" w:color="auto"/>
            </w:tcBorders>
            <w:vAlign w:val="bottom"/>
          </w:tcPr>
          <w:p w:rsidR="00376768" w:rsidRDefault="00376768">
            <w:pPr>
              <w:rPr>
                <w:rFonts w:ascii="Arial" w:hAnsi="Arial" w:cs="Arial"/>
                <w:sz w:val="16"/>
                <w:szCs w:val="18"/>
              </w:rPr>
            </w:pPr>
          </w:p>
        </w:tc>
        <w:tc>
          <w:tcPr>
            <w:tcW w:w="47" w:type="pct"/>
            <w:vAlign w:val="bottom"/>
          </w:tcPr>
          <w:p w:rsidR="00376768" w:rsidRDefault="00376768">
            <w:pPr>
              <w:rPr>
                <w:rFonts w:ascii="Arial" w:hAnsi="Arial" w:cs="Arial"/>
                <w:sz w:val="16"/>
                <w:szCs w:val="18"/>
              </w:rPr>
            </w:pPr>
          </w:p>
        </w:tc>
        <w:tc>
          <w:tcPr>
            <w:tcW w:w="47" w:type="pct"/>
            <w:vAlign w:val="bottom"/>
          </w:tcPr>
          <w:p w:rsidR="00376768" w:rsidRDefault="00376768">
            <w:pPr>
              <w:rPr>
                <w:rFonts w:ascii="Arial" w:hAnsi="Arial" w:cs="Arial"/>
                <w:sz w:val="16"/>
                <w:szCs w:val="18"/>
              </w:rPr>
            </w:pPr>
          </w:p>
        </w:tc>
        <w:tc>
          <w:tcPr>
            <w:tcW w:w="648" w:type="pct"/>
            <w:vAlign w:val="bottom"/>
          </w:tcPr>
          <w:p w:rsidR="00376768" w:rsidRDefault="00EC2B72">
            <w:pPr>
              <w:jc w:val="right"/>
              <w:rPr>
                <w:rFonts w:ascii="Arial" w:hAnsi="Arial" w:cs="Arial"/>
                <w:sz w:val="16"/>
              </w:rPr>
            </w:pPr>
            <w:r>
              <w:rPr>
                <w:rFonts w:ascii="Arial" w:hAnsi="Arial" w:cs="Arial"/>
                <w:sz w:val="16"/>
                <w:szCs w:val="18"/>
              </w:rPr>
              <w:t>55,688</w:t>
            </w:r>
          </w:p>
        </w:tc>
        <w:tc>
          <w:tcPr>
            <w:tcW w:w="310" w:type="pct"/>
            <w:vAlign w:val="bottom"/>
          </w:tcPr>
          <w:p w:rsidR="00376768" w:rsidRDefault="00376768">
            <w:pPr>
              <w:rPr>
                <w:rFonts w:ascii="Arial" w:hAnsi="Arial" w:cs="Arial"/>
                <w:sz w:val="16"/>
                <w:szCs w:val="18"/>
              </w:rPr>
            </w:pPr>
          </w:p>
        </w:tc>
        <w:tc>
          <w:tcPr>
            <w:tcW w:w="49" w:type="pct"/>
            <w:tcBorders>
              <w:right w:val="single" w:sz="2" w:space="0" w:color="auto"/>
            </w:tcBorders>
            <w:vAlign w:val="bottom"/>
          </w:tcPr>
          <w:p w:rsidR="00376768" w:rsidRDefault="00376768">
            <w:pPr>
              <w:rPr>
                <w:rFonts w:ascii="Arial" w:hAnsi="Arial" w:cs="Arial"/>
                <w:sz w:val="16"/>
                <w:szCs w:val="18"/>
              </w:rPr>
            </w:pPr>
          </w:p>
        </w:tc>
        <w:tc>
          <w:tcPr>
            <w:tcW w:w="49" w:type="pct"/>
            <w:tcBorders>
              <w:left w:val="single" w:sz="2" w:space="0" w:color="auto"/>
            </w:tcBorders>
            <w:vAlign w:val="bottom"/>
          </w:tcPr>
          <w:p w:rsidR="00376768" w:rsidRDefault="00376768">
            <w:pPr>
              <w:rPr>
                <w:rFonts w:ascii="Arial" w:hAnsi="Arial" w:cs="Arial"/>
                <w:sz w:val="16"/>
                <w:szCs w:val="18"/>
              </w:rPr>
            </w:pPr>
          </w:p>
        </w:tc>
        <w:tc>
          <w:tcPr>
            <w:tcW w:w="47" w:type="pct"/>
            <w:vAlign w:val="bottom"/>
          </w:tcPr>
          <w:p w:rsidR="00376768" w:rsidRDefault="00376768">
            <w:pPr>
              <w:rPr>
                <w:rFonts w:ascii="Arial" w:hAnsi="Arial" w:cs="Arial"/>
                <w:sz w:val="16"/>
                <w:szCs w:val="18"/>
              </w:rPr>
            </w:pPr>
          </w:p>
        </w:tc>
        <w:tc>
          <w:tcPr>
            <w:tcW w:w="47" w:type="pct"/>
            <w:vAlign w:val="bottom"/>
          </w:tcPr>
          <w:p w:rsidR="00376768" w:rsidRDefault="00376768">
            <w:pPr>
              <w:rPr>
                <w:rFonts w:ascii="Arial" w:hAnsi="Arial" w:cs="Arial"/>
                <w:sz w:val="16"/>
                <w:szCs w:val="18"/>
              </w:rPr>
            </w:pPr>
          </w:p>
        </w:tc>
        <w:tc>
          <w:tcPr>
            <w:tcW w:w="539" w:type="pct"/>
            <w:vAlign w:val="bottom"/>
          </w:tcPr>
          <w:p w:rsidR="00376768" w:rsidRDefault="00EC2B72">
            <w:pPr>
              <w:jc w:val="right"/>
              <w:rPr>
                <w:rFonts w:ascii="Arial" w:hAnsi="Arial" w:cs="Arial"/>
                <w:sz w:val="16"/>
              </w:rPr>
            </w:pPr>
            <w:r>
              <w:rPr>
                <w:rFonts w:ascii="Arial" w:hAnsi="Arial" w:cs="Arial"/>
                <w:sz w:val="16"/>
                <w:szCs w:val="18"/>
              </w:rPr>
              <w:t>$1,511,929</w:t>
            </w:r>
          </w:p>
        </w:tc>
        <w:tc>
          <w:tcPr>
            <w:tcW w:w="318" w:type="pct"/>
            <w:vAlign w:val="bottom"/>
          </w:tcPr>
          <w:p w:rsidR="00376768" w:rsidRDefault="00376768">
            <w:pPr>
              <w:rPr>
                <w:rFonts w:ascii="Arial" w:hAnsi="Arial" w:cs="Arial"/>
                <w:sz w:val="16"/>
                <w:szCs w:val="18"/>
              </w:rPr>
            </w:pPr>
          </w:p>
        </w:tc>
        <w:tc>
          <w:tcPr>
            <w:tcW w:w="33" w:type="pct"/>
            <w:tcBorders>
              <w:right w:val="single" w:sz="2" w:space="0" w:color="auto"/>
            </w:tcBorders>
            <w:vAlign w:val="bottom"/>
          </w:tcPr>
          <w:p w:rsidR="00376768" w:rsidRDefault="00376768">
            <w:pPr>
              <w:rPr>
                <w:rFonts w:ascii="Arial" w:hAnsi="Arial" w:cs="Arial"/>
                <w:sz w:val="16"/>
                <w:szCs w:val="18"/>
              </w:rPr>
            </w:pPr>
          </w:p>
        </w:tc>
      </w:tr>
      <w:tr w:rsidR="00376768">
        <w:trPr>
          <w:cantSplit/>
        </w:trPr>
        <w:tc>
          <w:tcPr>
            <w:tcW w:w="1134" w:type="pct"/>
            <w:tcBorders>
              <w:left w:val="single" w:sz="2" w:space="0" w:color="auto"/>
            </w:tcBorders>
            <w:vAlign w:val="bottom"/>
          </w:tcPr>
          <w:p w:rsidR="00376768" w:rsidRDefault="00EC2B72">
            <w:pPr>
              <w:ind w:left="144"/>
              <w:rPr>
                <w:rFonts w:ascii="Arial" w:hAnsi="Arial" w:cs="Arial"/>
                <w:sz w:val="16"/>
              </w:rPr>
            </w:pPr>
            <w:r>
              <w:rPr>
                <w:rFonts w:ascii="Arial" w:hAnsi="Arial" w:cs="Arial"/>
                <w:sz w:val="16"/>
                <w:szCs w:val="18"/>
              </w:rPr>
              <w:t>James P. Maloney</w:t>
            </w:r>
          </w:p>
        </w:tc>
        <w:tc>
          <w:tcPr>
            <w:tcW w:w="48" w:type="pct"/>
            <w:vAlign w:val="bottom"/>
          </w:tcPr>
          <w:p w:rsidR="00376768" w:rsidRDefault="00376768">
            <w:pPr>
              <w:rPr>
                <w:rFonts w:ascii="Arial" w:hAnsi="Arial" w:cs="Arial"/>
                <w:sz w:val="16"/>
                <w:szCs w:val="18"/>
              </w:rPr>
            </w:pPr>
          </w:p>
        </w:tc>
        <w:tc>
          <w:tcPr>
            <w:tcW w:w="48" w:type="pct"/>
            <w:tcBorders>
              <w:right w:val="single" w:sz="2" w:space="0" w:color="auto"/>
            </w:tcBorders>
            <w:vAlign w:val="bottom"/>
          </w:tcPr>
          <w:p w:rsidR="00376768" w:rsidRDefault="00376768">
            <w:pPr>
              <w:rPr>
                <w:rFonts w:ascii="Arial" w:hAnsi="Arial" w:cs="Arial"/>
                <w:sz w:val="16"/>
                <w:szCs w:val="18"/>
              </w:rPr>
            </w:pPr>
          </w:p>
        </w:tc>
        <w:tc>
          <w:tcPr>
            <w:tcW w:w="47" w:type="pct"/>
            <w:tcBorders>
              <w:left w:val="single" w:sz="2" w:space="0" w:color="auto"/>
            </w:tcBorders>
            <w:vAlign w:val="bottom"/>
          </w:tcPr>
          <w:p w:rsidR="00376768" w:rsidRDefault="00376768">
            <w:pPr>
              <w:rPr>
                <w:rFonts w:ascii="Arial" w:hAnsi="Arial" w:cs="Arial"/>
                <w:sz w:val="16"/>
                <w:szCs w:val="18"/>
              </w:rPr>
            </w:pPr>
          </w:p>
        </w:tc>
        <w:tc>
          <w:tcPr>
            <w:tcW w:w="48" w:type="pct"/>
            <w:vAlign w:val="bottom"/>
          </w:tcPr>
          <w:p w:rsidR="00376768" w:rsidRDefault="00376768">
            <w:pPr>
              <w:rPr>
                <w:rFonts w:ascii="Arial" w:hAnsi="Arial" w:cs="Arial"/>
                <w:sz w:val="16"/>
                <w:szCs w:val="18"/>
              </w:rPr>
            </w:pPr>
          </w:p>
        </w:tc>
        <w:tc>
          <w:tcPr>
            <w:tcW w:w="478" w:type="pct"/>
            <w:vAlign w:val="bottom"/>
          </w:tcPr>
          <w:p w:rsidR="00376768" w:rsidRDefault="00EC2B72">
            <w:pPr>
              <w:jc w:val="center"/>
              <w:rPr>
                <w:rFonts w:ascii="Arial" w:hAnsi="Arial" w:cs="Arial"/>
                <w:sz w:val="16"/>
              </w:rPr>
            </w:pPr>
            <w:r>
              <w:rPr>
                <w:rFonts w:ascii="Arial" w:hAnsi="Arial" w:cs="Arial"/>
                <w:sz w:val="16"/>
                <w:szCs w:val="18"/>
              </w:rPr>
              <w:t>2,792</w:t>
            </w:r>
          </w:p>
        </w:tc>
        <w:tc>
          <w:tcPr>
            <w:tcW w:w="118" w:type="pct"/>
            <w:vAlign w:val="bottom"/>
          </w:tcPr>
          <w:p w:rsidR="00376768" w:rsidRDefault="00376768">
            <w:pPr>
              <w:rPr>
                <w:rFonts w:ascii="Arial" w:hAnsi="Arial" w:cs="Arial"/>
                <w:sz w:val="16"/>
                <w:szCs w:val="18"/>
              </w:rPr>
            </w:pPr>
          </w:p>
        </w:tc>
        <w:tc>
          <w:tcPr>
            <w:tcW w:w="49" w:type="pct"/>
            <w:tcBorders>
              <w:right w:val="single" w:sz="2" w:space="0" w:color="auto"/>
            </w:tcBorders>
            <w:vAlign w:val="bottom"/>
          </w:tcPr>
          <w:p w:rsidR="00376768" w:rsidRDefault="00376768">
            <w:pPr>
              <w:rPr>
                <w:rFonts w:ascii="Arial" w:hAnsi="Arial" w:cs="Arial"/>
                <w:sz w:val="16"/>
                <w:szCs w:val="18"/>
              </w:rPr>
            </w:pPr>
          </w:p>
        </w:tc>
        <w:tc>
          <w:tcPr>
            <w:tcW w:w="49" w:type="pct"/>
            <w:tcBorders>
              <w:left w:val="single" w:sz="2" w:space="0" w:color="auto"/>
            </w:tcBorders>
            <w:vAlign w:val="bottom"/>
          </w:tcPr>
          <w:p w:rsidR="00376768" w:rsidRDefault="00376768">
            <w:pPr>
              <w:rPr>
                <w:rFonts w:ascii="Arial" w:hAnsi="Arial" w:cs="Arial"/>
                <w:sz w:val="16"/>
                <w:szCs w:val="18"/>
              </w:rPr>
            </w:pPr>
          </w:p>
        </w:tc>
        <w:tc>
          <w:tcPr>
            <w:tcW w:w="47" w:type="pct"/>
            <w:vAlign w:val="bottom"/>
          </w:tcPr>
          <w:p w:rsidR="00376768" w:rsidRDefault="00376768">
            <w:pPr>
              <w:rPr>
                <w:rFonts w:ascii="Arial" w:hAnsi="Arial" w:cs="Arial"/>
                <w:sz w:val="16"/>
                <w:szCs w:val="18"/>
              </w:rPr>
            </w:pPr>
          </w:p>
        </w:tc>
        <w:tc>
          <w:tcPr>
            <w:tcW w:w="47" w:type="pct"/>
            <w:vAlign w:val="bottom"/>
          </w:tcPr>
          <w:p w:rsidR="00376768" w:rsidRDefault="00376768">
            <w:pPr>
              <w:rPr>
                <w:rFonts w:ascii="Arial" w:hAnsi="Arial" w:cs="Arial"/>
                <w:sz w:val="16"/>
                <w:szCs w:val="18"/>
              </w:rPr>
            </w:pPr>
          </w:p>
        </w:tc>
        <w:tc>
          <w:tcPr>
            <w:tcW w:w="529" w:type="pct"/>
            <w:vAlign w:val="bottom"/>
          </w:tcPr>
          <w:p w:rsidR="00376768" w:rsidRDefault="00EC2B72">
            <w:pPr>
              <w:jc w:val="center"/>
              <w:rPr>
                <w:rFonts w:ascii="Arial" w:hAnsi="Arial" w:cs="Arial"/>
                <w:sz w:val="16"/>
              </w:rPr>
            </w:pPr>
            <w:r>
              <w:rPr>
                <w:rFonts w:ascii="Arial" w:hAnsi="Arial" w:cs="Arial"/>
                <w:sz w:val="16"/>
                <w:szCs w:val="18"/>
              </w:rPr>
              <w:t>$75,803</w:t>
            </w:r>
          </w:p>
        </w:tc>
        <w:tc>
          <w:tcPr>
            <w:tcW w:w="124" w:type="pct"/>
            <w:vAlign w:val="bottom"/>
          </w:tcPr>
          <w:p w:rsidR="00376768" w:rsidRDefault="00376768">
            <w:pPr>
              <w:rPr>
                <w:rFonts w:ascii="Arial" w:hAnsi="Arial" w:cs="Arial"/>
                <w:sz w:val="16"/>
                <w:szCs w:val="18"/>
              </w:rPr>
            </w:pPr>
          </w:p>
        </w:tc>
        <w:tc>
          <w:tcPr>
            <w:tcW w:w="49" w:type="pct"/>
            <w:tcBorders>
              <w:right w:val="single" w:sz="2" w:space="0" w:color="auto"/>
            </w:tcBorders>
            <w:vAlign w:val="bottom"/>
          </w:tcPr>
          <w:p w:rsidR="00376768" w:rsidRDefault="00376768">
            <w:pPr>
              <w:rPr>
                <w:rFonts w:ascii="Arial" w:hAnsi="Arial" w:cs="Arial"/>
                <w:sz w:val="16"/>
                <w:szCs w:val="18"/>
              </w:rPr>
            </w:pPr>
          </w:p>
        </w:tc>
        <w:tc>
          <w:tcPr>
            <w:tcW w:w="49" w:type="pct"/>
            <w:tcBorders>
              <w:left w:val="single" w:sz="2" w:space="0" w:color="auto"/>
            </w:tcBorders>
            <w:vAlign w:val="bottom"/>
          </w:tcPr>
          <w:p w:rsidR="00376768" w:rsidRDefault="00376768">
            <w:pPr>
              <w:rPr>
                <w:rFonts w:ascii="Arial" w:hAnsi="Arial" w:cs="Arial"/>
                <w:sz w:val="16"/>
                <w:szCs w:val="18"/>
              </w:rPr>
            </w:pPr>
          </w:p>
        </w:tc>
        <w:tc>
          <w:tcPr>
            <w:tcW w:w="47" w:type="pct"/>
            <w:vAlign w:val="bottom"/>
          </w:tcPr>
          <w:p w:rsidR="00376768" w:rsidRDefault="00376768">
            <w:pPr>
              <w:rPr>
                <w:rFonts w:ascii="Arial" w:hAnsi="Arial" w:cs="Arial"/>
                <w:sz w:val="16"/>
                <w:szCs w:val="18"/>
              </w:rPr>
            </w:pPr>
          </w:p>
        </w:tc>
        <w:tc>
          <w:tcPr>
            <w:tcW w:w="47" w:type="pct"/>
            <w:vAlign w:val="bottom"/>
          </w:tcPr>
          <w:p w:rsidR="00376768" w:rsidRDefault="00376768">
            <w:pPr>
              <w:rPr>
                <w:rFonts w:ascii="Arial" w:hAnsi="Arial" w:cs="Arial"/>
                <w:sz w:val="16"/>
                <w:szCs w:val="18"/>
              </w:rPr>
            </w:pPr>
          </w:p>
        </w:tc>
        <w:tc>
          <w:tcPr>
            <w:tcW w:w="648" w:type="pct"/>
            <w:vAlign w:val="bottom"/>
          </w:tcPr>
          <w:p w:rsidR="00376768" w:rsidRDefault="00EC2B72">
            <w:pPr>
              <w:jc w:val="right"/>
              <w:rPr>
                <w:rFonts w:ascii="Arial" w:hAnsi="Arial" w:cs="Arial"/>
                <w:sz w:val="16"/>
              </w:rPr>
            </w:pPr>
            <w:r>
              <w:rPr>
                <w:rFonts w:ascii="Arial" w:hAnsi="Arial" w:cs="Arial"/>
                <w:sz w:val="16"/>
                <w:szCs w:val="18"/>
              </w:rPr>
              <w:t>8,375</w:t>
            </w:r>
          </w:p>
        </w:tc>
        <w:tc>
          <w:tcPr>
            <w:tcW w:w="310" w:type="pct"/>
            <w:vAlign w:val="bottom"/>
          </w:tcPr>
          <w:p w:rsidR="00376768" w:rsidRDefault="00376768">
            <w:pPr>
              <w:rPr>
                <w:rFonts w:ascii="Arial" w:hAnsi="Arial" w:cs="Arial"/>
                <w:sz w:val="16"/>
                <w:szCs w:val="18"/>
              </w:rPr>
            </w:pPr>
          </w:p>
        </w:tc>
        <w:tc>
          <w:tcPr>
            <w:tcW w:w="49" w:type="pct"/>
            <w:tcBorders>
              <w:right w:val="single" w:sz="2" w:space="0" w:color="auto"/>
            </w:tcBorders>
            <w:vAlign w:val="bottom"/>
          </w:tcPr>
          <w:p w:rsidR="00376768" w:rsidRDefault="00376768">
            <w:pPr>
              <w:rPr>
                <w:rFonts w:ascii="Arial" w:hAnsi="Arial" w:cs="Arial"/>
                <w:sz w:val="16"/>
                <w:szCs w:val="18"/>
              </w:rPr>
            </w:pPr>
          </w:p>
        </w:tc>
        <w:tc>
          <w:tcPr>
            <w:tcW w:w="49" w:type="pct"/>
            <w:tcBorders>
              <w:left w:val="single" w:sz="2" w:space="0" w:color="auto"/>
            </w:tcBorders>
            <w:vAlign w:val="bottom"/>
          </w:tcPr>
          <w:p w:rsidR="00376768" w:rsidRDefault="00376768">
            <w:pPr>
              <w:rPr>
                <w:rFonts w:ascii="Arial" w:hAnsi="Arial" w:cs="Arial"/>
                <w:sz w:val="16"/>
                <w:szCs w:val="18"/>
              </w:rPr>
            </w:pPr>
          </w:p>
        </w:tc>
        <w:tc>
          <w:tcPr>
            <w:tcW w:w="47" w:type="pct"/>
            <w:vAlign w:val="bottom"/>
          </w:tcPr>
          <w:p w:rsidR="00376768" w:rsidRDefault="00376768">
            <w:pPr>
              <w:rPr>
                <w:rFonts w:ascii="Arial" w:hAnsi="Arial" w:cs="Arial"/>
                <w:sz w:val="16"/>
                <w:szCs w:val="18"/>
              </w:rPr>
            </w:pPr>
          </w:p>
        </w:tc>
        <w:tc>
          <w:tcPr>
            <w:tcW w:w="47" w:type="pct"/>
            <w:vAlign w:val="bottom"/>
          </w:tcPr>
          <w:p w:rsidR="00376768" w:rsidRDefault="00376768">
            <w:pPr>
              <w:rPr>
                <w:rFonts w:ascii="Arial" w:hAnsi="Arial" w:cs="Arial"/>
                <w:sz w:val="16"/>
                <w:szCs w:val="18"/>
              </w:rPr>
            </w:pPr>
          </w:p>
        </w:tc>
        <w:tc>
          <w:tcPr>
            <w:tcW w:w="539" w:type="pct"/>
            <w:vAlign w:val="bottom"/>
          </w:tcPr>
          <w:p w:rsidR="00376768" w:rsidRDefault="00EC2B72">
            <w:pPr>
              <w:jc w:val="right"/>
              <w:rPr>
                <w:rFonts w:ascii="Arial" w:hAnsi="Arial" w:cs="Arial"/>
                <w:sz w:val="16"/>
              </w:rPr>
            </w:pPr>
            <w:r>
              <w:rPr>
                <w:rFonts w:ascii="Arial" w:hAnsi="Arial" w:cs="Arial"/>
                <w:sz w:val="16"/>
                <w:szCs w:val="18"/>
              </w:rPr>
              <w:t>$227,381</w:t>
            </w:r>
          </w:p>
        </w:tc>
        <w:tc>
          <w:tcPr>
            <w:tcW w:w="318" w:type="pct"/>
            <w:vAlign w:val="bottom"/>
          </w:tcPr>
          <w:p w:rsidR="00376768" w:rsidRDefault="00376768">
            <w:pPr>
              <w:rPr>
                <w:rFonts w:ascii="Arial" w:hAnsi="Arial" w:cs="Arial"/>
                <w:sz w:val="16"/>
                <w:szCs w:val="18"/>
              </w:rPr>
            </w:pPr>
          </w:p>
        </w:tc>
        <w:tc>
          <w:tcPr>
            <w:tcW w:w="33" w:type="pct"/>
            <w:tcBorders>
              <w:right w:val="single" w:sz="2" w:space="0" w:color="auto"/>
            </w:tcBorders>
            <w:vAlign w:val="bottom"/>
          </w:tcPr>
          <w:p w:rsidR="00376768" w:rsidRDefault="00376768">
            <w:pPr>
              <w:rPr>
                <w:rFonts w:ascii="Arial" w:hAnsi="Arial" w:cs="Arial"/>
                <w:sz w:val="16"/>
                <w:szCs w:val="18"/>
              </w:rPr>
            </w:pPr>
          </w:p>
        </w:tc>
      </w:tr>
      <w:tr w:rsidR="00376768">
        <w:trPr>
          <w:cantSplit/>
        </w:trPr>
        <w:tc>
          <w:tcPr>
            <w:tcW w:w="1134" w:type="pct"/>
            <w:tcBorders>
              <w:left w:val="single" w:sz="2" w:space="0" w:color="auto"/>
            </w:tcBorders>
            <w:vAlign w:val="bottom"/>
          </w:tcPr>
          <w:p w:rsidR="00376768" w:rsidRDefault="00EC2B72">
            <w:pPr>
              <w:ind w:left="144"/>
              <w:rPr>
                <w:rFonts w:ascii="Arial" w:hAnsi="Arial" w:cs="Arial"/>
                <w:sz w:val="16"/>
              </w:rPr>
            </w:pPr>
            <w:r>
              <w:rPr>
                <w:rFonts w:ascii="Arial" w:hAnsi="Arial" w:cs="Arial"/>
                <w:sz w:val="16"/>
                <w:szCs w:val="18"/>
              </w:rPr>
              <w:t>David J. Russo</w:t>
            </w:r>
          </w:p>
        </w:tc>
        <w:tc>
          <w:tcPr>
            <w:tcW w:w="48" w:type="pct"/>
            <w:vAlign w:val="bottom"/>
          </w:tcPr>
          <w:p w:rsidR="00376768" w:rsidRDefault="00376768">
            <w:pPr>
              <w:rPr>
                <w:rFonts w:ascii="Arial" w:hAnsi="Arial" w:cs="Arial"/>
                <w:sz w:val="16"/>
                <w:szCs w:val="18"/>
              </w:rPr>
            </w:pPr>
          </w:p>
        </w:tc>
        <w:tc>
          <w:tcPr>
            <w:tcW w:w="48" w:type="pct"/>
            <w:tcBorders>
              <w:right w:val="single" w:sz="2" w:space="0" w:color="auto"/>
            </w:tcBorders>
            <w:vAlign w:val="bottom"/>
          </w:tcPr>
          <w:p w:rsidR="00376768" w:rsidRDefault="00376768">
            <w:pPr>
              <w:rPr>
                <w:rFonts w:ascii="Arial" w:hAnsi="Arial" w:cs="Arial"/>
                <w:sz w:val="16"/>
                <w:szCs w:val="18"/>
              </w:rPr>
            </w:pPr>
          </w:p>
        </w:tc>
        <w:tc>
          <w:tcPr>
            <w:tcW w:w="47" w:type="pct"/>
            <w:tcBorders>
              <w:left w:val="single" w:sz="2" w:space="0" w:color="auto"/>
            </w:tcBorders>
            <w:vAlign w:val="bottom"/>
          </w:tcPr>
          <w:p w:rsidR="00376768" w:rsidRDefault="00376768">
            <w:pPr>
              <w:rPr>
                <w:rFonts w:ascii="Arial" w:hAnsi="Arial" w:cs="Arial"/>
                <w:sz w:val="16"/>
                <w:szCs w:val="18"/>
              </w:rPr>
            </w:pPr>
          </w:p>
        </w:tc>
        <w:tc>
          <w:tcPr>
            <w:tcW w:w="48" w:type="pct"/>
            <w:vAlign w:val="bottom"/>
          </w:tcPr>
          <w:p w:rsidR="00376768" w:rsidRDefault="00376768">
            <w:pPr>
              <w:rPr>
                <w:rFonts w:ascii="Arial" w:hAnsi="Arial" w:cs="Arial"/>
                <w:sz w:val="16"/>
                <w:szCs w:val="18"/>
              </w:rPr>
            </w:pPr>
          </w:p>
        </w:tc>
        <w:tc>
          <w:tcPr>
            <w:tcW w:w="478" w:type="pct"/>
            <w:vAlign w:val="bottom"/>
          </w:tcPr>
          <w:p w:rsidR="00376768" w:rsidRDefault="00EC2B72">
            <w:pPr>
              <w:jc w:val="center"/>
              <w:rPr>
                <w:rFonts w:ascii="Arial" w:hAnsi="Arial" w:cs="Arial"/>
                <w:sz w:val="16"/>
              </w:rPr>
            </w:pPr>
            <w:r>
              <w:rPr>
                <w:rFonts w:ascii="Arial" w:hAnsi="Arial" w:cs="Arial"/>
                <w:sz w:val="16"/>
                <w:szCs w:val="18"/>
              </w:rPr>
              <w:t>---</w:t>
            </w:r>
          </w:p>
        </w:tc>
        <w:tc>
          <w:tcPr>
            <w:tcW w:w="118" w:type="pct"/>
            <w:vAlign w:val="bottom"/>
          </w:tcPr>
          <w:p w:rsidR="00376768" w:rsidRDefault="00376768">
            <w:pPr>
              <w:rPr>
                <w:rFonts w:ascii="Arial" w:hAnsi="Arial" w:cs="Arial"/>
                <w:sz w:val="16"/>
                <w:szCs w:val="18"/>
              </w:rPr>
            </w:pPr>
          </w:p>
        </w:tc>
        <w:tc>
          <w:tcPr>
            <w:tcW w:w="49" w:type="pct"/>
            <w:tcBorders>
              <w:right w:val="single" w:sz="2" w:space="0" w:color="auto"/>
            </w:tcBorders>
            <w:vAlign w:val="bottom"/>
          </w:tcPr>
          <w:p w:rsidR="00376768" w:rsidRDefault="00376768">
            <w:pPr>
              <w:rPr>
                <w:rFonts w:ascii="Arial" w:hAnsi="Arial" w:cs="Arial"/>
                <w:sz w:val="16"/>
                <w:szCs w:val="18"/>
              </w:rPr>
            </w:pPr>
          </w:p>
        </w:tc>
        <w:tc>
          <w:tcPr>
            <w:tcW w:w="49" w:type="pct"/>
            <w:tcBorders>
              <w:left w:val="single" w:sz="2" w:space="0" w:color="auto"/>
            </w:tcBorders>
            <w:vAlign w:val="bottom"/>
          </w:tcPr>
          <w:p w:rsidR="00376768" w:rsidRDefault="00376768">
            <w:pPr>
              <w:rPr>
                <w:rFonts w:ascii="Arial" w:hAnsi="Arial" w:cs="Arial"/>
                <w:sz w:val="16"/>
                <w:szCs w:val="18"/>
              </w:rPr>
            </w:pPr>
          </w:p>
        </w:tc>
        <w:tc>
          <w:tcPr>
            <w:tcW w:w="47" w:type="pct"/>
            <w:vAlign w:val="bottom"/>
          </w:tcPr>
          <w:p w:rsidR="00376768" w:rsidRDefault="00376768">
            <w:pPr>
              <w:rPr>
                <w:rFonts w:ascii="Arial" w:hAnsi="Arial" w:cs="Arial"/>
                <w:sz w:val="16"/>
                <w:szCs w:val="18"/>
              </w:rPr>
            </w:pPr>
          </w:p>
        </w:tc>
        <w:tc>
          <w:tcPr>
            <w:tcW w:w="47" w:type="pct"/>
            <w:vAlign w:val="bottom"/>
          </w:tcPr>
          <w:p w:rsidR="00376768" w:rsidRDefault="00376768">
            <w:pPr>
              <w:rPr>
                <w:rFonts w:ascii="Arial" w:hAnsi="Arial" w:cs="Arial"/>
                <w:sz w:val="16"/>
                <w:szCs w:val="18"/>
              </w:rPr>
            </w:pPr>
          </w:p>
        </w:tc>
        <w:tc>
          <w:tcPr>
            <w:tcW w:w="529" w:type="pct"/>
            <w:vAlign w:val="bottom"/>
          </w:tcPr>
          <w:p w:rsidR="00376768" w:rsidRDefault="00EC2B72">
            <w:pPr>
              <w:jc w:val="center"/>
              <w:rPr>
                <w:rFonts w:ascii="Arial" w:hAnsi="Arial" w:cs="Arial"/>
                <w:sz w:val="16"/>
              </w:rPr>
            </w:pPr>
            <w:r>
              <w:rPr>
                <w:rFonts w:ascii="Arial" w:hAnsi="Arial" w:cs="Arial"/>
                <w:sz w:val="16"/>
                <w:szCs w:val="18"/>
              </w:rPr>
              <w:t>---</w:t>
            </w:r>
          </w:p>
        </w:tc>
        <w:tc>
          <w:tcPr>
            <w:tcW w:w="124" w:type="pct"/>
            <w:vAlign w:val="bottom"/>
          </w:tcPr>
          <w:p w:rsidR="00376768" w:rsidRDefault="00376768">
            <w:pPr>
              <w:rPr>
                <w:rFonts w:ascii="Arial" w:hAnsi="Arial" w:cs="Arial"/>
                <w:sz w:val="16"/>
                <w:szCs w:val="18"/>
              </w:rPr>
            </w:pPr>
          </w:p>
        </w:tc>
        <w:tc>
          <w:tcPr>
            <w:tcW w:w="49" w:type="pct"/>
            <w:tcBorders>
              <w:right w:val="single" w:sz="2" w:space="0" w:color="auto"/>
            </w:tcBorders>
            <w:vAlign w:val="bottom"/>
          </w:tcPr>
          <w:p w:rsidR="00376768" w:rsidRDefault="00376768">
            <w:pPr>
              <w:rPr>
                <w:rFonts w:ascii="Arial" w:hAnsi="Arial" w:cs="Arial"/>
                <w:sz w:val="16"/>
                <w:szCs w:val="18"/>
              </w:rPr>
            </w:pPr>
          </w:p>
        </w:tc>
        <w:tc>
          <w:tcPr>
            <w:tcW w:w="49" w:type="pct"/>
            <w:tcBorders>
              <w:left w:val="single" w:sz="2" w:space="0" w:color="auto"/>
            </w:tcBorders>
            <w:vAlign w:val="bottom"/>
          </w:tcPr>
          <w:p w:rsidR="00376768" w:rsidRDefault="00376768">
            <w:pPr>
              <w:rPr>
                <w:rFonts w:ascii="Arial" w:hAnsi="Arial" w:cs="Arial"/>
                <w:sz w:val="16"/>
                <w:szCs w:val="18"/>
              </w:rPr>
            </w:pPr>
          </w:p>
        </w:tc>
        <w:tc>
          <w:tcPr>
            <w:tcW w:w="47" w:type="pct"/>
            <w:vAlign w:val="bottom"/>
          </w:tcPr>
          <w:p w:rsidR="00376768" w:rsidRDefault="00376768">
            <w:pPr>
              <w:rPr>
                <w:rFonts w:ascii="Arial" w:hAnsi="Arial" w:cs="Arial"/>
                <w:sz w:val="16"/>
                <w:szCs w:val="18"/>
              </w:rPr>
            </w:pPr>
          </w:p>
        </w:tc>
        <w:tc>
          <w:tcPr>
            <w:tcW w:w="47" w:type="pct"/>
            <w:vAlign w:val="bottom"/>
          </w:tcPr>
          <w:p w:rsidR="00376768" w:rsidRDefault="00376768">
            <w:pPr>
              <w:rPr>
                <w:rFonts w:ascii="Arial" w:hAnsi="Arial" w:cs="Arial"/>
                <w:sz w:val="16"/>
                <w:szCs w:val="18"/>
              </w:rPr>
            </w:pPr>
          </w:p>
        </w:tc>
        <w:tc>
          <w:tcPr>
            <w:tcW w:w="648" w:type="pct"/>
            <w:vAlign w:val="bottom"/>
          </w:tcPr>
          <w:p w:rsidR="00376768" w:rsidRDefault="00EC2B72">
            <w:pPr>
              <w:jc w:val="right"/>
              <w:rPr>
                <w:rFonts w:ascii="Arial" w:hAnsi="Arial" w:cs="Arial"/>
                <w:sz w:val="16"/>
              </w:rPr>
            </w:pPr>
            <w:r>
              <w:rPr>
                <w:rFonts w:ascii="Arial" w:hAnsi="Arial" w:cs="Arial"/>
                <w:sz w:val="16"/>
                <w:szCs w:val="18"/>
              </w:rPr>
              <w:t>---</w:t>
            </w:r>
          </w:p>
        </w:tc>
        <w:tc>
          <w:tcPr>
            <w:tcW w:w="310" w:type="pct"/>
            <w:vAlign w:val="bottom"/>
          </w:tcPr>
          <w:p w:rsidR="00376768" w:rsidRDefault="00376768">
            <w:pPr>
              <w:rPr>
                <w:rFonts w:ascii="Arial" w:hAnsi="Arial" w:cs="Arial"/>
                <w:sz w:val="16"/>
                <w:szCs w:val="18"/>
              </w:rPr>
            </w:pPr>
          </w:p>
        </w:tc>
        <w:tc>
          <w:tcPr>
            <w:tcW w:w="49" w:type="pct"/>
            <w:tcBorders>
              <w:right w:val="single" w:sz="2" w:space="0" w:color="auto"/>
            </w:tcBorders>
            <w:vAlign w:val="bottom"/>
          </w:tcPr>
          <w:p w:rsidR="00376768" w:rsidRDefault="00376768">
            <w:pPr>
              <w:rPr>
                <w:rFonts w:ascii="Arial" w:hAnsi="Arial" w:cs="Arial"/>
                <w:sz w:val="16"/>
                <w:szCs w:val="18"/>
              </w:rPr>
            </w:pPr>
          </w:p>
        </w:tc>
        <w:tc>
          <w:tcPr>
            <w:tcW w:w="49" w:type="pct"/>
            <w:tcBorders>
              <w:left w:val="single" w:sz="2" w:space="0" w:color="auto"/>
            </w:tcBorders>
            <w:vAlign w:val="bottom"/>
          </w:tcPr>
          <w:p w:rsidR="00376768" w:rsidRDefault="00376768">
            <w:pPr>
              <w:rPr>
                <w:rFonts w:ascii="Arial" w:hAnsi="Arial" w:cs="Arial"/>
                <w:sz w:val="16"/>
                <w:szCs w:val="18"/>
              </w:rPr>
            </w:pPr>
          </w:p>
        </w:tc>
        <w:tc>
          <w:tcPr>
            <w:tcW w:w="47" w:type="pct"/>
            <w:vAlign w:val="bottom"/>
          </w:tcPr>
          <w:p w:rsidR="00376768" w:rsidRDefault="00376768">
            <w:pPr>
              <w:rPr>
                <w:rFonts w:ascii="Arial" w:hAnsi="Arial" w:cs="Arial"/>
                <w:sz w:val="16"/>
                <w:szCs w:val="18"/>
              </w:rPr>
            </w:pPr>
          </w:p>
        </w:tc>
        <w:tc>
          <w:tcPr>
            <w:tcW w:w="47" w:type="pct"/>
            <w:vAlign w:val="bottom"/>
          </w:tcPr>
          <w:p w:rsidR="00376768" w:rsidRDefault="00376768">
            <w:pPr>
              <w:rPr>
                <w:rFonts w:ascii="Arial" w:hAnsi="Arial" w:cs="Arial"/>
                <w:sz w:val="16"/>
                <w:szCs w:val="18"/>
              </w:rPr>
            </w:pPr>
          </w:p>
        </w:tc>
        <w:tc>
          <w:tcPr>
            <w:tcW w:w="539" w:type="pct"/>
            <w:vAlign w:val="bottom"/>
          </w:tcPr>
          <w:p w:rsidR="00376768" w:rsidRDefault="00EC2B72">
            <w:pPr>
              <w:jc w:val="right"/>
              <w:rPr>
                <w:rFonts w:ascii="Arial" w:hAnsi="Arial" w:cs="Arial"/>
                <w:sz w:val="16"/>
              </w:rPr>
            </w:pPr>
            <w:r>
              <w:rPr>
                <w:rFonts w:ascii="Arial" w:hAnsi="Arial" w:cs="Arial"/>
                <w:sz w:val="16"/>
                <w:szCs w:val="18"/>
              </w:rPr>
              <w:t>---</w:t>
            </w:r>
          </w:p>
        </w:tc>
        <w:tc>
          <w:tcPr>
            <w:tcW w:w="318" w:type="pct"/>
            <w:vAlign w:val="bottom"/>
          </w:tcPr>
          <w:p w:rsidR="00376768" w:rsidRDefault="00376768">
            <w:pPr>
              <w:rPr>
                <w:rFonts w:ascii="Arial" w:hAnsi="Arial" w:cs="Arial"/>
                <w:sz w:val="16"/>
                <w:szCs w:val="18"/>
              </w:rPr>
            </w:pPr>
          </w:p>
        </w:tc>
        <w:tc>
          <w:tcPr>
            <w:tcW w:w="33" w:type="pct"/>
            <w:tcBorders>
              <w:right w:val="single" w:sz="2" w:space="0" w:color="auto"/>
            </w:tcBorders>
            <w:vAlign w:val="bottom"/>
          </w:tcPr>
          <w:p w:rsidR="00376768" w:rsidRDefault="00376768">
            <w:pPr>
              <w:rPr>
                <w:rFonts w:ascii="Arial" w:hAnsi="Arial" w:cs="Arial"/>
                <w:sz w:val="16"/>
                <w:szCs w:val="18"/>
              </w:rPr>
            </w:pPr>
          </w:p>
        </w:tc>
      </w:tr>
      <w:tr w:rsidR="00376768">
        <w:trPr>
          <w:cantSplit/>
        </w:trPr>
        <w:tc>
          <w:tcPr>
            <w:tcW w:w="1134" w:type="pct"/>
            <w:tcBorders>
              <w:left w:val="single" w:sz="2" w:space="0" w:color="auto"/>
            </w:tcBorders>
            <w:vAlign w:val="bottom"/>
          </w:tcPr>
          <w:p w:rsidR="00376768" w:rsidRDefault="00EC2B72">
            <w:pPr>
              <w:ind w:left="144"/>
              <w:rPr>
                <w:rFonts w:ascii="Arial" w:hAnsi="Arial" w:cs="Arial"/>
                <w:sz w:val="16"/>
              </w:rPr>
            </w:pPr>
            <w:r>
              <w:rPr>
                <w:rFonts w:ascii="Arial" w:hAnsi="Arial" w:cs="Arial"/>
                <w:sz w:val="16"/>
                <w:szCs w:val="18"/>
              </w:rPr>
              <w:t>Christopher T. Scanlon</w:t>
            </w:r>
          </w:p>
        </w:tc>
        <w:tc>
          <w:tcPr>
            <w:tcW w:w="48" w:type="pct"/>
            <w:vAlign w:val="bottom"/>
          </w:tcPr>
          <w:p w:rsidR="00376768" w:rsidRDefault="00376768">
            <w:pPr>
              <w:rPr>
                <w:rFonts w:ascii="Arial" w:hAnsi="Arial" w:cs="Arial"/>
                <w:sz w:val="16"/>
                <w:szCs w:val="18"/>
              </w:rPr>
            </w:pPr>
          </w:p>
        </w:tc>
        <w:tc>
          <w:tcPr>
            <w:tcW w:w="48" w:type="pct"/>
            <w:tcBorders>
              <w:right w:val="single" w:sz="2" w:space="0" w:color="auto"/>
            </w:tcBorders>
            <w:vAlign w:val="bottom"/>
          </w:tcPr>
          <w:p w:rsidR="00376768" w:rsidRDefault="00376768">
            <w:pPr>
              <w:rPr>
                <w:rFonts w:ascii="Arial" w:hAnsi="Arial" w:cs="Arial"/>
                <w:sz w:val="16"/>
                <w:szCs w:val="18"/>
              </w:rPr>
            </w:pPr>
          </w:p>
        </w:tc>
        <w:tc>
          <w:tcPr>
            <w:tcW w:w="47" w:type="pct"/>
            <w:tcBorders>
              <w:left w:val="single" w:sz="2" w:space="0" w:color="auto"/>
            </w:tcBorders>
            <w:vAlign w:val="bottom"/>
          </w:tcPr>
          <w:p w:rsidR="00376768" w:rsidRDefault="00376768">
            <w:pPr>
              <w:rPr>
                <w:rFonts w:ascii="Arial" w:hAnsi="Arial" w:cs="Arial"/>
                <w:sz w:val="16"/>
                <w:szCs w:val="18"/>
              </w:rPr>
            </w:pPr>
          </w:p>
        </w:tc>
        <w:tc>
          <w:tcPr>
            <w:tcW w:w="48" w:type="pct"/>
            <w:vAlign w:val="bottom"/>
          </w:tcPr>
          <w:p w:rsidR="00376768" w:rsidRDefault="00376768">
            <w:pPr>
              <w:rPr>
                <w:rFonts w:ascii="Arial" w:hAnsi="Arial" w:cs="Arial"/>
                <w:sz w:val="16"/>
                <w:szCs w:val="18"/>
              </w:rPr>
            </w:pPr>
          </w:p>
        </w:tc>
        <w:tc>
          <w:tcPr>
            <w:tcW w:w="478" w:type="pct"/>
            <w:vAlign w:val="bottom"/>
          </w:tcPr>
          <w:p w:rsidR="00376768" w:rsidRDefault="00EC2B72">
            <w:pPr>
              <w:jc w:val="center"/>
              <w:rPr>
                <w:rFonts w:ascii="Arial" w:hAnsi="Arial" w:cs="Arial"/>
                <w:sz w:val="16"/>
              </w:rPr>
            </w:pPr>
            <w:r>
              <w:rPr>
                <w:rFonts w:ascii="Arial" w:hAnsi="Arial" w:cs="Arial"/>
                <w:sz w:val="16"/>
                <w:szCs w:val="18"/>
              </w:rPr>
              <w:t>13,473</w:t>
            </w:r>
          </w:p>
        </w:tc>
        <w:tc>
          <w:tcPr>
            <w:tcW w:w="118" w:type="pct"/>
            <w:vAlign w:val="bottom"/>
          </w:tcPr>
          <w:p w:rsidR="00376768" w:rsidRDefault="00376768">
            <w:pPr>
              <w:rPr>
                <w:rFonts w:ascii="Arial" w:hAnsi="Arial" w:cs="Arial"/>
                <w:sz w:val="16"/>
                <w:szCs w:val="18"/>
              </w:rPr>
            </w:pPr>
          </w:p>
        </w:tc>
        <w:tc>
          <w:tcPr>
            <w:tcW w:w="49" w:type="pct"/>
            <w:tcBorders>
              <w:right w:val="single" w:sz="2" w:space="0" w:color="auto"/>
            </w:tcBorders>
            <w:vAlign w:val="bottom"/>
          </w:tcPr>
          <w:p w:rsidR="00376768" w:rsidRDefault="00376768">
            <w:pPr>
              <w:rPr>
                <w:rFonts w:ascii="Arial" w:hAnsi="Arial" w:cs="Arial"/>
                <w:sz w:val="16"/>
                <w:szCs w:val="18"/>
              </w:rPr>
            </w:pPr>
          </w:p>
        </w:tc>
        <w:tc>
          <w:tcPr>
            <w:tcW w:w="49" w:type="pct"/>
            <w:tcBorders>
              <w:left w:val="single" w:sz="2" w:space="0" w:color="auto"/>
            </w:tcBorders>
            <w:vAlign w:val="bottom"/>
          </w:tcPr>
          <w:p w:rsidR="00376768" w:rsidRDefault="00376768">
            <w:pPr>
              <w:rPr>
                <w:rFonts w:ascii="Arial" w:hAnsi="Arial" w:cs="Arial"/>
                <w:sz w:val="16"/>
                <w:szCs w:val="18"/>
              </w:rPr>
            </w:pPr>
          </w:p>
        </w:tc>
        <w:tc>
          <w:tcPr>
            <w:tcW w:w="47" w:type="pct"/>
            <w:vAlign w:val="bottom"/>
          </w:tcPr>
          <w:p w:rsidR="00376768" w:rsidRDefault="00376768">
            <w:pPr>
              <w:rPr>
                <w:rFonts w:ascii="Arial" w:hAnsi="Arial" w:cs="Arial"/>
                <w:sz w:val="16"/>
                <w:szCs w:val="18"/>
              </w:rPr>
            </w:pPr>
          </w:p>
        </w:tc>
        <w:tc>
          <w:tcPr>
            <w:tcW w:w="47" w:type="pct"/>
            <w:vAlign w:val="bottom"/>
          </w:tcPr>
          <w:p w:rsidR="00376768" w:rsidRDefault="00376768">
            <w:pPr>
              <w:rPr>
                <w:rFonts w:ascii="Arial" w:hAnsi="Arial" w:cs="Arial"/>
                <w:sz w:val="16"/>
                <w:szCs w:val="18"/>
              </w:rPr>
            </w:pPr>
          </w:p>
        </w:tc>
        <w:tc>
          <w:tcPr>
            <w:tcW w:w="529" w:type="pct"/>
            <w:vAlign w:val="bottom"/>
          </w:tcPr>
          <w:p w:rsidR="00376768" w:rsidRDefault="00EC2B72">
            <w:pPr>
              <w:jc w:val="center"/>
              <w:rPr>
                <w:rFonts w:ascii="Arial" w:hAnsi="Arial" w:cs="Arial"/>
                <w:sz w:val="16"/>
              </w:rPr>
            </w:pPr>
            <w:r>
              <w:rPr>
                <w:rFonts w:ascii="Arial" w:hAnsi="Arial" w:cs="Arial"/>
                <w:sz w:val="16"/>
                <w:szCs w:val="18"/>
              </w:rPr>
              <w:t>$365,792</w:t>
            </w:r>
          </w:p>
        </w:tc>
        <w:tc>
          <w:tcPr>
            <w:tcW w:w="124" w:type="pct"/>
            <w:vAlign w:val="bottom"/>
          </w:tcPr>
          <w:p w:rsidR="00376768" w:rsidRDefault="00376768">
            <w:pPr>
              <w:rPr>
                <w:rFonts w:ascii="Arial" w:hAnsi="Arial" w:cs="Arial"/>
                <w:sz w:val="16"/>
                <w:szCs w:val="18"/>
              </w:rPr>
            </w:pPr>
          </w:p>
        </w:tc>
        <w:tc>
          <w:tcPr>
            <w:tcW w:w="49" w:type="pct"/>
            <w:tcBorders>
              <w:right w:val="single" w:sz="2" w:space="0" w:color="auto"/>
            </w:tcBorders>
            <w:vAlign w:val="bottom"/>
          </w:tcPr>
          <w:p w:rsidR="00376768" w:rsidRDefault="00376768">
            <w:pPr>
              <w:rPr>
                <w:rFonts w:ascii="Arial" w:hAnsi="Arial" w:cs="Arial"/>
                <w:sz w:val="16"/>
                <w:szCs w:val="18"/>
              </w:rPr>
            </w:pPr>
          </w:p>
        </w:tc>
        <w:tc>
          <w:tcPr>
            <w:tcW w:w="49" w:type="pct"/>
            <w:tcBorders>
              <w:left w:val="single" w:sz="2" w:space="0" w:color="auto"/>
            </w:tcBorders>
            <w:vAlign w:val="bottom"/>
          </w:tcPr>
          <w:p w:rsidR="00376768" w:rsidRDefault="00376768">
            <w:pPr>
              <w:rPr>
                <w:rFonts w:ascii="Arial" w:hAnsi="Arial" w:cs="Arial"/>
                <w:sz w:val="16"/>
                <w:szCs w:val="18"/>
              </w:rPr>
            </w:pPr>
          </w:p>
        </w:tc>
        <w:tc>
          <w:tcPr>
            <w:tcW w:w="47" w:type="pct"/>
            <w:vAlign w:val="bottom"/>
          </w:tcPr>
          <w:p w:rsidR="00376768" w:rsidRDefault="00376768">
            <w:pPr>
              <w:rPr>
                <w:rFonts w:ascii="Arial" w:hAnsi="Arial" w:cs="Arial"/>
                <w:sz w:val="16"/>
                <w:szCs w:val="18"/>
              </w:rPr>
            </w:pPr>
          </w:p>
        </w:tc>
        <w:tc>
          <w:tcPr>
            <w:tcW w:w="47" w:type="pct"/>
            <w:vAlign w:val="bottom"/>
          </w:tcPr>
          <w:p w:rsidR="00376768" w:rsidRDefault="00376768">
            <w:pPr>
              <w:rPr>
                <w:rFonts w:ascii="Arial" w:hAnsi="Arial" w:cs="Arial"/>
                <w:sz w:val="16"/>
                <w:szCs w:val="18"/>
              </w:rPr>
            </w:pPr>
          </w:p>
        </w:tc>
        <w:tc>
          <w:tcPr>
            <w:tcW w:w="648" w:type="pct"/>
            <w:vAlign w:val="bottom"/>
          </w:tcPr>
          <w:p w:rsidR="00376768" w:rsidRDefault="00EC2B72">
            <w:pPr>
              <w:jc w:val="right"/>
              <w:rPr>
                <w:rFonts w:ascii="Arial" w:hAnsi="Arial" w:cs="Arial"/>
                <w:sz w:val="16"/>
              </w:rPr>
            </w:pPr>
            <w:r>
              <w:rPr>
                <w:rFonts w:ascii="Arial" w:hAnsi="Arial" w:cs="Arial"/>
                <w:sz w:val="16"/>
                <w:szCs w:val="18"/>
              </w:rPr>
              <w:t>9,290</w:t>
            </w:r>
          </w:p>
        </w:tc>
        <w:tc>
          <w:tcPr>
            <w:tcW w:w="310" w:type="pct"/>
            <w:vAlign w:val="bottom"/>
          </w:tcPr>
          <w:p w:rsidR="00376768" w:rsidRDefault="00376768">
            <w:pPr>
              <w:rPr>
                <w:rFonts w:ascii="Arial" w:hAnsi="Arial" w:cs="Arial"/>
                <w:sz w:val="16"/>
                <w:szCs w:val="18"/>
              </w:rPr>
            </w:pPr>
          </w:p>
        </w:tc>
        <w:tc>
          <w:tcPr>
            <w:tcW w:w="49" w:type="pct"/>
            <w:tcBorders>
              <w:right w:val="single" w:sz="2" w:space="0" w:color="auto"/>
            </w:tcBorders>
            <w:vAlign w:val="bottom"/>
          </w:tcPr>
          <w:p w:rsidR="00376768" w:rsidRDefault="00376768">
            <w:pPr>
              <w:rPr>
                <w:rFonts w:ascii="Arial" w:hAnsi="Arial" w:cs="Arial"/>
                <w:sz w:val="16"/>
                <w:szCs w:val="18"/>
              </w:rPr>
            </w:pPr>
          </w:p>
        </w:tc>
        <w:tc>
          <w:tcPr>
            <w:tcW w:w="49" w:type="pct"/>
            <w:tcBorders>
              <w:left w:val="single" w:sz="2" w:space="0" w:color="auto"/>
            </w:tcBorders>
            <w:vAlign w:val="bottom"/>
          </w:tcPr>
          <w:p w:rsidR="00376768" w:rsidRDefault="00376768">
            <w:pPr>
              <w:rPr>
                <w:rFonts w:ascii="Arial" w:hAnsi="Arial" w:cs="Arial"/>
                <w:sz w:val="16"/>
                <w:szCs w:val="18"/>
              </w:rPr>
            </w:pPr>
          </w:p>
        </w:tc>
        <w:tc>
          <w:tcPr>
            <w:tcW w:w="47" w:type="pct"/>
            <w:vAlign w:val="bottom"/>
          </w:tcPr>
          <w:p w:rsidR="00376768" w:rsidRDefault="00376768">
            <w:pPr>
              <w:rPr>
                <w:rFonts w:ascii="Arial" w:hAnsi="Arial" w:cs="Arial"/>
                <w:sz w:val="16"/>
                <w:szCs w:val="18"/>
              </w:rPr>
            </w:pPr>
          </w:p>
        </w:tc>
        <w:tc>
          <w:tcPr>
            <w:tcW w:w="47" w:type="pct"/>
            <w:vAlign w:val="bottom"/>
          </w:tcPr>
          <w:p w:rsidR="00376768" w:rsidRDefault="00376768">
            <w:pPr>
              <w:rPr>
                <w:rFonts w:ascii="Arial" w:hAnsi="Arial" w:cs="Arial"/>
                <w:sz w:val="16"/>
                <w:szCs w:val="18"/>
              </w:rPr>
            </w:pPr>
          </w:p>
        </w:tc>
        <w:tc>
          <w:tcPr>
            <w:tcW w:w="539" w:type="pct"/>
            <w:vAlign w:val="bottom"/>
          </w:tcPr>
          <w:p w:rsidR="00376768" w:rsidRDefault="00EC2B72">
            <w:pPr>
              <w:jc w:val="right"/>
              <w:rPr>
                <w:rFonts w:ascii="Arial" w:hAnsi="Arial" w:cs="Arial"/>
                <w:sz w:val="16"/>
              </w:rPr>
            </w:pPr>
            <w:r>
              <w:rPr>
                <w:rFonts w:ascii="Arial" w:hAnsi="Arial" w:cs="Arial"/>
                <w:sz w:val="16"/>
                <w:szCs w:val="18"/>
              </w:rPr>
              <w:t>$252,224</w:t>
            </w:r>
          </w:p>
        </w:tc>
        <w:tc>
          <w:tcPr>
            <w:tcW w:w="318" w:type="pct"/>
            <w:vAlign w:val="bottom"/>
          </w:tcPr>
          <w:p w:rsidR="00376768" w:rsidRDefault="00376768">
            <w:pPr>
              <w:rPr>
                <w:rFonts w:ascii="Arial" w:hAnsi="Arial" w:cs="Arial"/>
                <w:sz w:val="16"/>
                <w:szCs w:val="18"/>
              </w:rPr>
            </w:pPr>
          </w:p>
        </w:tc>
        <w:tc>
          <w:tcPr>
            <w:tcW w:w="33" w:type="pct"/>
            <w:tcBorders>
              <w:right w:val="single" w:sz="2" w:space="0" w:color="auto"/>
            </w:tcBorders>
            <w:vAlign w:val="bottom"/>
          </w:tcPr>
          <w:p w:rsidR="00376768" w:rsidRDefault="00376768">
            <w:pPr>
              <w:rPr>
                <w:rFonts w:ascii="Arial" w:hAnsi="Arial" w:cs="Arial"/>
                <w:sz w:val="16"/>
                <w:szCs w:val="18"/>
              </w:rPr>
            </w:pPr>
          </w:p>
        </w:tc>
      </w:tr>
      <w:tr w:rsidR="00376768">
        <w:trPr>
          <w:cantSplit/>
        </w:trPr>
        <w:tc>
          <w:tcPr>
            <w:tcW w:w="1134" w:type="pct"/>
            <w:tcBorders>
              <w:left w:val="single" w:sz="2" w:space="0" w:color="auto"/>
            </w:tcBorders>
            <w:vAlign w:val="bottom"/>
          </w:tcPr>
          <w:p w:rsidR="00376768" w:rsidRDefault="00EC2B72">
            <w:pPr>
              <w:ind w:left="144"/>
              <w:rPr>
                <w:rFonts w:ascii="Arial" w:hAnsi="Arial" w:cs="Arial"/>
                <w:sz w:val="16"/>
              </w:rPr>
            </w:pPr>
            <w:r>
              <w:rPr>
                <w:rFonts w:ascii="Arial" w:hAnsi="Arial" w:cs="Arial"/>
                <w:sz w:val="16"/>
                <w:szCs w:val="18"/>
              </w:rPr>
              <w:t xml:space="preserve">John F. </w:t>
            </w:r>
            <w:proofErr w:type="spellStart"/>
            <w:r>
              <w:rPr>
                <w:rFonts w:ascii="Arial" w:hAnsi="Arial" w:cs="Arial"/>
                <w:sz w:val="16"/>
                <w:szCs w:val="18"/>
              </w:rPr>
              <w:t>Kasel</w:t>
            </w:r>
            <w:proofErr w:type="spellEnd"/>
          </w:p>
        </w:tc>
        <w:tc>
          <w:tcPr>
            <w:tcW w:w="48" w:type="pct"/>
            <w:vAlign w:val="bottom"/>
          </w:tcPr>
          <w:p w:rsidR="00376768" w:rsidRDefault="00376768">
            <w:pPr>
              <w:rPr>
                <w:rFonts w:ascii="Arial" w:hAnsi="Arial" w:cs="Arial"/>
                <w:sz w:val="16"/>
                <w:szCs w:val="18"/>
              </w:rPr>
            </w:pPr>
          </w:p>
        </w:tc>
        <w:tc>
          <w:tcPr>
            <w:tcW w:w="48" w:type="pct"/>
            <w:tcBorders>
              <w:right w:val="single" w:sz="2" w:space="0" w:color="auto"/>
            </w:tcBorders>
            <w:vAlign w:val="bottom"/>
          </w:tcPr>
          <w:p w:rsidR="00376768" w:rsidRDefault="00376768">
            <w:pPr>
              <w:rPr>
                <w:rFonts w:ascii="Arial" w:hAnsi="Arial" w:cs="Arial"/>
                <w:sz w:val="16"/>
                <w:szCs w:val="18"/>
              </w:rPr>
            </w:pPr>
          </w:p>
        </w:tc>
        <w:tc>
          <w:tcPr>
            <w:tcW w:w="47" w:type="pct"/>
            <w:tcBorders>
              <w:left w:val="single" w:sz="2" w:space="0" w:color="auto"/>
            </w:tcBorders>
            <w:vAlign w:val="bottom"/>
          </w:tcPr>
          <w:p w:rsidR="00376768" w:rsidRDefault="00376768">
            <w:pPr>
              <w:rPr>
                <w:rFonts w:ascii="Arial" w:hAnsi="Arial" w:cs="Arial"/>
                <w:sz w:val="16"/>
                <w:szCs w:val="18"/>
              </w:rPr>
            </w:pPr>
          </w:p>
        </w:tc>
        <w:tc>
          <w:tcPr>
            <w:tcW w:w="48" w:type="pct"/>
            <w:vAlign w:val="bottom"/>
          </w:tcPr>
          <w:p w:rsidR="00376768" w:rsidRDefault="00376768">
            <w:pPr>
              <w:rPr>
                <w:rFonts w:ascii="Arial" w:hAnsi="Arial" w:cs="Arial"/>
                <w:sz w:val="16"/>
                <w:szCs w:val="18"/>
              </w:rPr>
            </w:pPr>
          </w:p>
        </w:tc>
        <w:tc>
          <w:tcPr>
            <w:tcW w:w="478" w:type="pct"/>
            <w:vAlign w:val="bottom"/>
          </w:tcPr>
          <w:p w:rsidR="00376768" w:rsidRDefault="00EC2B72">
            <w:pPr>
              <w:jc w:val="center"/>
              <w:rPr>
                <w:rFonts w:ascii="Arial" w:hAnsi="Arial" w:cs="Arial"/>
                <w:sz w:val="16"/>
              </w:rPr>
            </w:pPr>
            <w:r>
              <w:rPr>
                <w:rFonts w:ascii="Arial" w:hAnsi="Arial" w:cs="Arial"/>
                <w:sz w:val="16"/>
                <w:szCs w:val="18"/>
              </w:rPr>
              <w:t>23,759</w:t>
            </w:r>
          </w:p>
        </w:tc>
        <w:tc>
          <w:tcPr>
            <w:tcW w:w="118" w:type="pct"/>
            <w:vAlign w:val="bottom"/>
          </w:tcPr>
          <w:p w:rsidR="00376768" w:rsidRDefault="00376768">
            <w:pPr>
              <w:rPr>
                <w:rFonts w:ascii="Arial" w:hAnsi="Arial" w:cs="Arial"/>
                <w:sz w:val="16"/>
                <w:szCs w:val="18"/>
              </w:rPr>
            </w:pPr>
          </w:p>
        </w:tc>
        <w:tc>
          <w:tcPr>
            <w:tcW w:w="49" w:type="pct"/>
            <w:tcBorders>
              <w:right w:val="single" w:sz="2" w:space="0" w:color="auto"/>
            </w:tcBorders>
            <w:vAlign w:val="bottom"/>
          </w:tcPr>
          <w:p w:rsidR="00376768" w:rsidRDefault="00376768">
            <w:pPr>
              <w:rPr>
                <w:rFonts w:ascii="Arial" w:hAnsi="Arial" w:cs="Arial"/>
                <w:sz w:val="16"/>
                <w:szCs w:val="18"/>
              </w:rPr>
            </w:pPr>
          </w:p>
        </w:tc>
        <w:tc>
          <w:tcPr>
            <w:tcW w:w="49" w:type="pct"/>
            <w:tcBorders>
              <w:left w:val="single" w:sz="2" w:space="0" w:color="auto"/>
            </w:tcBorders>
            <w:vAlign w:val="bottom"/>
          </w:tcPr>
          <w:p w:rsidR="00376768" w:rsidRDefault="00376768">
            <w:pPr>
              <w:rPr>
                <w:rFonts w:ascii="Arial" w:hAnsi="Arial" w:cs="Arial"/>
                <w:sz w:val="16"/>
                <w:szCs w:val="18"/>
              </w:rPr>
            </w:pPr>
          </w:p>
        </w:tc>
        <w:tc>
          <w:tcPr>
            <w:tcW w:w="47" w:type="pct"/>
            <w:vAlign w:val="bottom"/>
          </w:tcPr>
          <w:p w:rsidR="00376768" w:rsidRDefault="00376768">
            <w:pPr>
              <w:rPr>
                <w:rFonts w:ascii="Arial" w:hAnsi="Arial" w:cs="Arial"/>
                <w:sz w:val="16"/>
                <w:szCs w:val="18"/>
              </w:rPr>
            </w:pPr>
          </w:p>
        </w:tc>
        <w:tc>
          <w:tcPr>
            <w:tcW w:w="47" w:type="pct"/>
            <w:vAlign w:val="bottom"/>
          </w:tcPr>
          <w:p w:rsidR="00376768" w:rsidRDefault="00376768">
            <w:pPr>
              <w:rPr>
                <w:rFonts w:ascii="Arial" w:hAnsi="Arial" w:cs="Arial"/>
                <w:sz w:val="16"/>
                <w:szCs w:val="18"/>
              </w:rPr>
            </w:pPr>
          </w:p>
        </w:tc>
        <w:tc>
          <w:tcPr>
            <w:tcW w:w="529" w:type="pct"/>
            <w:vAlign w:val="bottom"/>
          </w:tcPr>
          <w:p w:rsidR="00376768" w:rsidRDefault="00EC2B72">
            <w:pPr>
              <w:jc w:val="center"/>
              <w:rPr>
                <w:rFonts w:ascii="Arial" w:hAnsi="Arial" w:cs="Arial"/>
                <w:sz w:val="16"/>
              </w:rPr>
            </w:pPr>
            <w:r>
              <w:rPr>
                <w:rFonts w:ascii="Arial" w:hAnsi="Arial" w:cs="Arial"/>
                <w:sz w:val="16"/>
                <w:szCs w:val="18"/>
              </w:rPr>
              <w:t>$645,057</w:t>
            </w:r>
          </w:p>
        </w:tc>
        <w:tc>
          <w:tcPr>
            <w:tcW w:w="124" w:type="pct"/>
            <w:vAlign w:val="bottom"/>
          </w:tcPr>
          <w:p w:rsidR="00376768" w:rsidRDefault="00376768">
            <w:pPr>
              <w:rPr>
                <w:rFonts w:ascii="Arial" w:hAnsi="Arial" w:cs="Arial"/>
                <w:sz w:val="16"/>
                <w:szCs w:val="18"/>
              </w:rPr>
            </w:pPr>
          </w:p>
        </w:tc>
        <w:tc>
          <w:tcPr>
            <w:tcW w:w="49" w:type="pct"/>
            <w:tcBorders>
              <w:right w:val="single" w:sz="2" w:space="0" w:color="auto"/>
            </w:tcBorders>
            <w:vAlign w:val="bottom"/>
          </w:tcPr>
          <w:p w:rsidR="00376768" w:rsidRDefault="00376768">
            <w:pPr>
              <w:rPr>
                <w:rFonts w:ascii="Arial" w:hAnsi="Arial" w:cs="Arial"/>
                <w:sz w:val="16"/>
                <w:szCs w:val="18"/>
              </w:rPr>
            </w:pPr>
          </w:p>
        </w:tc>
        <w:tc>
          <w:tcPr>
            <w:tcW w:w="49" w:type="pct"/>
            <w:tcBorders>
              <w:left w:val="single" w:sz="2" w:space="0" w:color="auto"/>
            </w:tcBorders>
            <w:vAlign w:val="bottom"/>
          </w:tcPr>
          <w:p w:rsidR="00376768" w:rsidRDefault="00376768">
            <w:pPr>
              <w:rPr>
                <w:rFonts w:ascii="Arial" w:hAnsi="Arial" w:cs="Arial"/>
                <w:sz w:val="16"/>
                <w:szCs w:val="18"/>
              </w:rPr>
            </w:pPr>
          </w:p>
        </w:tc>
        <w:tc>
          <w:tcPr>
            <w:tcW w:w="47" w:type="pct"/>
            <w:vAlign w:val="bottom"/>
          </w:tcPr>
          <w:p w:rsidR="00376768" w:rsidRDefault="00376768">
            <w:pPr>
              <w:rPr>
                <w:rFonts w:ascii="Arial" w:hAnsi="Arial" w:cs="Arial"/>
                <w:sz w:val="16"/>
                <w:szCs w:val="18"/>
              </w:rPr>
            </w:pPr>
          </w:p>
        </w:tc>
        <w:tc>
          <w:tcPr>
            <w:tcW w:w="47" w:type="pct"/>
            <w:vAlign w:val="bottom"/>
          </w:tcPr>
          <w:p w:rsidR="00376768" w:rsidRDefault="00376768">
            <w:pPr>
              <w:rPr>
                <w:rFonts w:ascii="Arial" w:hAnsi="Arial" w:cs="Arial"/>
                <w:sz w:val="16"/>
                <w:szCs w:val="18"/>
              </w:rPr>
            </w:pPr>
          </w:p>
        </w:tc>
        <w:tc>
          <w:tcPr>
            <w:tcW w:w="648" w:type="pct"/>
            <w:vAlign w:val="bottom"/>
          </w:tcPr>
          <w:p w:rsidR="00376768" w:rsidRDefault="00EC2B72">
            <w:pPr>
              <w:jc w:val="right"/>
              <w:rPr>
                <w:rFonts w:ascii="Arial" w:hAnsi="Arial" w:cs="Arial"/>
                <w:sz w:val="16"/>
              </w:rPr>
            </w:pPr>
            <w:r>
              <w:rPr>
                <w:rFonts w:ascii="Arial" w:hAnsi="Arial" w:cs="Arial"/>
                <w:sz w:val="16"/>
                <w:szCs w:val="18"/>
              </w:rPr>
              <w:t>27,044</w:t>
            </w:r>
          </w:p>
        </w:tc>
        <w:tc>
          <w:tcPr>
            <w:tcW w:w="310" w:type="pct"/>
            <w:vAlign w:val="bottom"/>
          </w:tcPr>
          <w:p w:rsidR="00376768" w:rsidRDefault="00376768">
            <w:pPr>
              <w:rPr>
                <w:rFonts w:ascii="Arial" w:hAnsi="Arial" w:cs="Arial"/>
                <w:sz w:val="16"/>
                <w:szCs w:val="18"/>
              </w:rPr>
            </w:pPr>
          </w:p>
        </w:tc>
        <w:tc>
          <w:tcPr>
            <w:tcW w:w="49" w:type="pct"/>
            <w:tcBorders>
              <w:right w:val="single" w:sz="2" w:space="0" w:color="auto"/>
            </w:tcBorders>
            <w:vAlign w:val="bottom"/>
          </w:tcPr>
          <w:p w:rsidR="00376768" w:rsidRDefault="00376768">
            <w:pPr>
              <w:rPr>
                <w:rFonts w:ascii="Arial" w:hAnsi="Arial" w:cs="Arial"/>
                <w:sz w:val="16"/>
                <w:szCs w:val="18"/>
              </w:rPr>
            </w:pPr>
          </w:p>
        </w:tc>
        <w:tc>
          <w:tcPr>
            <w:tcW w:w="49" w:type="pct"/>
            <w:tcBorders>
              <w:left w:val="single" w:sz="2" w:space="0" w:color="auto"/>
            </w:tcBorders>
            <w:vAlign w:val="bottom"/>
          </w:tcPr>
          <w:p w:rsidR="00376768" w:rsidRDefault="00376768">
            <w:pPr>
              <w:rPr>
                <w:rFonts w:ascii="Arial" w:hAnsi="Arial" w:cs="Arial"/>
                <w:sz w:val="16"/>
                <w:szCs w:val="18"/>
              </w:rPr>
            </w:pPr>
          </w:p>
        </w:tc>
        <w:tc>
          <w:tcPr>
            <w:tcW w:w="47" w:type="pct"/>
            <w:vAlign w:val="bottom"/>
          </w:tcPr>
          <w:p w:rsidR="00376768" w:rsidRDefault="00376768">
            <w:pPr>
              <w:rPr>
                <w:rFonts w:ascii="Arial" w:hAnsi="Arial" w:cs="Arial"/>
                <w:sz w:val="16"/>
                <w:szCs w:val="18"/>
              </w:rPr>
            </w:pPr>
          </w:p>
        </w:tc>
        <w:tc>
          <w:tcPr>
            <w:tcW w:w="47" w:type="pct"/>
            <w:vAlign w:val="bottom"/>
          </w:tcPr>
          <w:p w:rsidR="00376768" w:rsidRDefault="00376768">
            <w:pPr>
              <w:rPr>
                <w:rFonts w:ascii="Arial" w:hAnsi="Arial" w:cs="Arial"/>
                <w:sz w:val="16"/>
                <w:szCs w:val="18"/>
              </w:rPr>
            </w:pPr>
          </w:p>
        </w:tc>
        <w:tc>
          <w:tcPr>
            <w:tcW w:w="539" w:type="pct"/>
            <w:vAlign w:val="bottom"/>
          </w:tcPr>
          <w:p w:rsidR="00376768" w:rsidRDefault="00EC2B72">
            <w:pPr>
              <w:jc w:val="right"/>
              <w:rPr>
                <w:rFonts w:ascii="Arial" w:hAnsi="Arial" w:cs="Arial"/>
                <w:sz w:val="16"/>
              </w:rPr>
            </w:pPr>
            <w:r>
              <w:rPr>
                <w:rFonts w:ascii="Arial" w:hAnsi="Arial" w:cs="Arial"/>
                <w:sz w:val="16"/>
                <w:szCs w:val="18"/>
              </w:rPr>
              <w:t>$734,245</w:t>
            </w:r>
          </w:p>
        </w:tc>
        <w:tc>
          <w:tcPr>
            <w:tcW w:w="318" w:type="pct"/>
            <w:vAlign w:val="bottom"/>
          </w:tcPr>
          <w:p w:rsidR="00376768" w:rsidRDefault="00376768">
            <w:pPr>
              <w:rPr>
                <w:rFonts w:ascii="Arial" w:hAnsi="Arial" w:cs="Arial"/>
                <w:sz w:val="16"/>
                <w:szCs w:val="18"/>
              </w:rPr>
            </w:pPr>
          </w:p>
        </w:tc>
        <w:tc>
          <w:tcPr>
            <w:tcW w:w="33" w:type="pct"/>
            <w:tcBorders>
              <w:right w:val="single" w:sz="2" w:space="0" w:color="auto"/>
            </w:tcBorders>
            <w:vAlign w:val="bottom"/>
          </w:tcPr>
          <w:p w:rsidR="00376768" w:rsidRDefault="00376768">
            <w:pPr>
              <w:rPr>
                <w:rFonts w:ascii="Arial" w:hAnsi="Arial" w:cs="Arial"/>
                <w:sz w:val="16"/>
                <w:szCs w:val="18"/>
              </w:rPr>
            </w:pPr>
          </w:p>
        </w:tc>
      </w:tr>
      <w:tr w:rsidR="00376768">
        <w:trPr>
          <w:cantSplit/>
        </w:trPr>
        <w:tc>
          <w:tcPr>
            <w:tcW w:w="1134" w:type="pct"/>
            <w:tcBorders>
              <w:left w:val="single" w:sz="2" w:space="0" w:color="auto"/>
            </w:tcBorders>
            <w:vAlign w:val="bottom"/>
          </w:tcPr>
          <w:p w:rsidR="00376768" w:rsidRDefault="00EC2B72">
            <w:pPr>
              <w:ind w:left="144"/>
              <w:rPr>
                <w:rFonts w:ascii="Arial" w:hAnsi="Arial" w:cs="Arial"/>
                <w:sz w:val="16"/>
              </w:rPr>
            </w:pPr>
            <w:r>
              <w:rPr>
                <w:rFonts w:ascii="Arial" w:hAnsi="Arial" w:cs="Arial"/>
                <w:sz w:val="16"/>
                <w:szCs w:val="18"/>
              </w:rPr>
              <w:t xml:space="preserve">Patrick J. </w:t>
            </w:r>
            <w:proofErr w:type="spellStart"/>
            <w:r>
              <w:rPr>
                <w:rFonts w:ascii="Arial" w:hAnsi="Arial" w:cs="Arial"/>
                <w:sz w:val="16"/>
                <w:szCs w:val="18"/>
              </w:rPr>
              <w:t>Guinee</w:t>
            </w:r>
            <w:proofErr w:type="spellEnd"/>
          </w:p>
        </w:tc>
        <w:tc>
          <w:tcPr>
            <w:tcW w:w="48" w:type="pct"/>
            <w:vAlign w:val="bottom"/>
          </w:tcPr>
          <w:p w:rsidR="00376768" w:rsidRDefault="00376768">
            <w:pPr>
              <w:rPr>
                <w:rFonts w:ascii="Arial" w:hAnsi="Arial" w:cs="Arial"/>
                <w:sz w:val="16"/>
                <w:szCs w:val="18"/>
              </w:rPr>
            </w:pPr>
          </w:p>
        </w:tc>
        <w:tc>
          <w:tcPr>
            <w:tcW w:w="48" w:type="pct"/>
            <w:tcBorders>
              <w:right w:val="single" w:sz="2" w:space="0" w:color="auto"/>
            </w:tcBorders>
            <w:vAlign w:val="bottom"/>
          </w:tcPr>
          <w:p w:rsidR="00376768" w:rsidRDefault="00376768">
            <w:pPr>
              <w:rPr>
                <w:rFonts w:ascii="Arial" w:hAnsi="Arial" w:cs="Arial"/>
                <w:sz w:val="16"/>
                <w:szCs w:val="18"/>
              </w:rPr>
            </w:pPr>
          </w:p>
        </w:tc>
        <w:tc>
          <w:tcPr>
            <w:tcW w:w="47" w:type="pct"/>
            <w:tcBorders>
              <w:left w:val="single" w:sz="2" w:space="0" w:color="auto"/>
            </w:tcBorders>
            <w:vAlign w:val="bottom"/>
          </w:tcPr>
          <w:p w:rsidR="00376768" w:rsidRDefault="00376768">
            <w:pPr>
              <w:rPr>
                <w:rFonts w:ascii="Arial" w:hAnsi="Arial" w:cs="Arial"/>
                <w:sz w:val="16"/>
                <w:szCs w:val="18"/>
              </w:rPr>
            </w:pPr>
          </w:p>
        </w:tc>
        <w:tc>
          <w:tcPr>
            <w:tcW w:w="48" w:type="pct"/>
            <w:vAlign w:val="bottom"/>
          </w:tcPr>
          <w:p w:rsidR="00376768" w:rsidRDefault="00376768">
            <w:pPr>
              <w:rPr>
                <w:rFonts w:ascii="Arial" w:hAnsi="Arial" w:cs="Arial"/>
                <w:sz w:val="16"/>
                <w:szCs w:val="18"/>
              </w:rPr>
            </w:pPr>
          </w:p>
        </w:tc>
        <w:tc>
          <w:tcPr>
            <w:tcW w:w="478" w:type="pct"/>
            <w:vAlign w:val="bottom"/>
          </w:tcPr>
          <w:p w:rsidR="00376768" w:rsidRDefault="00EC2B72">
            <w:pPr>
              <w:jc w:val="center"/>
              <w:rPr>
                <w:rFonts w:ascii="Arial" w:hAnsi="Arial" w:cs="Arial"/>
                <w:sz w:val="16"/>
              </w:rPr>
            </w:pPr>
            <w:r>
              <w:rPr>
                <w:rFonts w:ascii="Arial" w:hAnsi="Arial" w:cs="Arial"/>
                <w:sz w:val="16"/>
                <w:szCs w:val="18"/>
              </w:rPr>
              <w:t>25,974</w:t>
            </w:r>
          </w:p>
        </w:tc>
        <w:tc>
          <w:tcPr>
            <w:tcW w:w="118" w:type="pct"/>
            <w:vAlign w:val="bottom"/>
          </w:tcPr>
          <w:p w:rsidR="00376768" w:rsidRDefault="00376768">
            <w:pPr>
              <w:rPr>
                <w:rFonts w:ascii="Arial" w:hAnsi="Arial" w:cs="Arial"/>
                <w:sz w:val="16"/>
                <w:szCs w:val="18"/>
              </w:rPr>
            </w:pPr>
          </w:p>
        </w:tc>
        <w:tc>
          <w:tcPr>
            <w:tcW w:w="49" w:type="pct"/>
            <w:tcBorders>
              <w:right w:val="single" w:sz="2" w:space="0" w:color="auto"/>
            </w:tcBorders>
            <w:vAlign w:val="bottom"/>
          </w:tcPr>
          <w:p w:rsidR="00376768" w:rsidRDefault="00376768">
            <w:pPr>
              <w:rPr>
                <w:rFonts w:ascii="Arial" w:hAnsi="Arial" w:cs="Arial"/>
                <w:sz w:val="16"/>
                <w:szCs w:val="18"/>
              </w:rPr>
            </w:pPr>
          </w:p>
        </w:tc>
        <w:tc>
          <w:tcPr>
            <w:tcW w:w="49" w:type="pct"/>
            <w:tcBorders>
              <w:left w:val="single" w:sz="2" w:space="0" w:color="auto"/>
            </w:tcBorders>
            <w:vAlign w:val="bottom"/>
          </w:tcPr>
          <w:p w:rsidR="00376768" w:rsidRDefault="00376768">
            <w:pPr>
              <w:rPr>
                <w:rFonts w:ascii="Arial" w:hAnsi="Arial" w:cs="Arial"/>
                <w:sz w:val="16"/>
                <w:szCs w:val="18"/>
              </w:rPr>
            </w:pPr>
          </w:p>
        </w:tc>
        <w:tc>
          <w:tcPr>
            <w:tcW w:w="47" w:type="pct"/>
            <w:vAlign w:val="bottom"/>
          </w:tcPr>
          <w:p w:rsidR="00376768" w:rsidRDefault="00376768">
            <w:pPr>
              <w:rPr>
                <w:rFonts w:ascii="Arial" w:hAnsi="Arial" w:cs="Arial"/>
                <w:sz w:val="16"/>
                <w:szCs w:val="18"/>
              </w:rPr>
            </w:pPr>
          </w:p>
        </w:tc>
        <w:tc>
          <w:tcPr>
            <w:tcW w:w="47" w:type="pct"/>
            <w:vAlign w:val="bottom"/>
          </w:tcPr>
          <w:p w:rsidR="00376768" w:rsidRDefault="00376768">
            <w:pPr>
              <w:rPr>
                <w:rFonts w:ascii="Arial" w:hAnsi="Arial" w:cs="Arial"/>
                <w:sz w:val="16"/>
                <w:szCs w:val="18"/>
              </w:rPr>
            </w:pPr>
          </w:p>
        </w:tc>
        <w:tc>
          <w:tcPr>
            <w:tcW w:w="529" w:type="pct"/>
            <w:vAlign w:val="bottom"/>
          </w:tcPr>
          <w:p w:rsidR="00376768" w:rsidRDefault="00EC2B72">
            <w:pPr>
              <w:jc w:val="center"/>
              <w:rPr>
                <w:rFonts w:ascii="Arial" w:hAnsi="Arial" w:cs="Arial"/>
                <w:sz w:val="16"/>
              </w:rPr>
            </w:pPr>
            <w:r>
              <w:rPr>
                <w:rFonts w:ascii="Arial" w:hAnsi="Arial" w:cs="Arial"/>
                <w:sz w:val="16"/>
                <w:szCs w:val="18"/>
              </w:rPr>
              <w:t>$705,194</w:t>
            </w:r>
          </w:p>
        </w:tc>
        <w:tc>
          <w:tcPr>
            <w:tcW w:w="124" w:type="pct"/>
            <w:vAlign w:val="bottom"/>
          </w:tcPr>
          <w:p w:rsidR="00376768" w:rsidRDefault="00376768">
            <w:pPr>
              <w:rPr>
                <w:rFonts w:ascii="Arial" w:hAnsi="Arial" w:cs="Arial"/>
                <w:sz w:val="16"/>
                <w:szCs w:val="18"/>
              </w:rPr>
            </w:pPr>
          </w:p>
        </w:tc>
        <w:tc>
          <w:tcPr>
            <w:tcW w:w="49" w:type="pct"/>
            <w:tcBorders>
              <w:right w:val="single" w:sz="2" w:space="0" w:color="auto"/>
            </w:tcBorders>
            <w:vAlign w:val="bottom"/>
          </w:tcPr>
          <w:p w:rsidR="00376768" w:rsidRDefault="00376768">
            <w:pPr>
              <w:rPr>
                <w:rFonts w:ascii="Arial" w:hAnsi="Arial" w:cs="Arial"/>
                <w:sz w:val="16"/>
                <w:szCs w:val="18"/>
              </w:rPr>
            </w:pPr>
          </w:p>
        </w:tc>
        <w:tc>
          <w:tcPr>
            <w:tcW w:w="49" w:type="pct"/>
            <w:tcBorders>
              <w:left w:val="single" w:sz="2" w:space="0" w:color="auto"/>
            </w:tcBorders>
            <w:vAlign w:val="bottom"/>
          </w:tcPr>
          <w:p w:rsidR="00376768" w:rsidRDefault="00376768">
            <w:pPr>
              <w:rPr>
                <w:rFonts w:ascii="Arial" w:hAnsi="Arial" w:cs="Arial"/>
                <w:sz w:val="16"/>
                <w:szCs w:val="18"/>
              </w:rPr>
            </w:pPr>
          </w:p>
        </w:tc>
        <w:tc>
          <w:tcPr>
            <w:tcW w:w="47" w:type="pct"/>
            <w:vAlign w:val="bottom"/>
          </w:tcPr>
          <w:p w:rsidR="00376768" w:rsidRDefault="00376768">
            <w:pPr>
              <w:rPr>
                <w:rFonts w:ascii="Arial" w:hAnsi="Arial" w:cs="Arial"/>
                <w:sz w:val="16"/>
                <w:szCs w:val="18"/>
              </w:rPr>
            </w:pPr>
          </w:p>
        </w:tc>
        <w:tc>
          <w:tcPr>
            <w:tcW w:w="47" w:type="pct"/>
            <w:vAlign w:val="bottom"/>
          </w:tcPr>
          <w:p w:rsidR="00376768" w:rsidRDefault="00376768">
            <w:pPr>
              <w:rPr>
                <w:rFonts w:ascii="Arial" w:hAnsi="Arial" w:cs="Arial"/>
                <w:sz w:val="16"/>
                <w:szCs w:val="18"/>
              </w:rPr>
            </w:pPr>
          </w:p>
        </w:tc>
        <w:tc>
          <w:tcPr>
            <w:tcW w:w="648" w:type="pct"/>
            <w:vAlign w:val="bottom"/>
          </w:tcPr>
          <w:p w:rsidR="00376768" w:rsidRDefault="00EC2B72">
            <w:pPr>
              <w:jc w:val="right"/>
              <w:rPr>
                <w:rFonts w:ascii="Arial" w:hAnsi="Arial" w:cs="Arial"/>
                <w:sz w:val="16"/>
              </w:rPr>
            </w:pPr>
            <w:r>
              <w:rPr>
                <w:rFonts w:ascii="Arial" w:hAnsi="Arial" w:cs="Arial"/>
                <w:sz w:val="16"/>
                <w:szCs w:val="18"/>
              </w:rPr>
              <w:t>18,812</w:t>
            </w:r>
          </w:p>
        </w:tc>
        <w:tc>
          <w:tcPr>
            <w:tcW w:w="310" w:type="pct"/>
            <w:vAlign w:val="bottom"/>
          </w:tcPr>
          <w:p w:rsidR="00376768" w:rsidRDefault="00376768">
            <w:pPr>
              <w:rPr>
                <w:rFonts w:ascii="Arial" w:hAnsi="Arial" w:cs="Arial"/>
                <w:sz w:val="16"/>
                <w:szCs w:val="18"/>
              </w:rPr>
            </w:pPr>
          </w:p>
        </w:tc>
        <w:tc>
          <w:tcPr>
            <w:tcW w:w="49" w:type="pct"/>
            <w:tcBorders>
              <w:bottom w:val="single" w:sz="2" w:space="0" w:color="auto"/>
              <w:right w:val="single" w:sz="2" w:space="0" w:color="auto"/>
            </w:tcBorders>
            <w:vAlign w:val="bottom"/>
          </w:tcPr>
          <w:p w:rsidR="00376768" w:rsidRDefault="00376768">
            <w:pPr>
              <w:rPr>
                <w:rFonts w:ascii="Arial" w:hAnsi="Arial" w:cs="Arial"/>
                <w:sz w:val="16"/>
                <w:szCs w:val="18"/>
              </w:rPr>
            </w:pPr>
          </w:p>
        </w:tc>
        <w:tc>
          <w:tcPr>
            <w:tcW w:w="49" w:type="pct"/>
            <w:tcBorders>
              <w:left w:val="single" w:sz="2" w:space="0" w:color="auto"/>
            </w:tcBorders>
            <w:vAlign w:val="bottom"/>
          </w:tcPr>
          <w:p w:rsidR="00376768" w:rsidRDefault="00376768">
            <w:pPr>
              <w:rPr>
                <w:rFonts w:ascii="Arial" w:hAnsi="Arial" w:cs="Arial"/>
                <w:sz w:val="16"/>
                <w:szCs w:val="18"/>
              </w:rPr>
            </w:pPr>
          </w:p>
        </w:tc>
        <w:tc>
          <w:tcPr>
            <w:tcW w:w="47" w:type="pct"/>
            <w:vAlign w:val="bottom"/>
          </w:tcPr>
          <w:p w:rsidR="00376768" w:rsidRDefault="00376768">
            <w:pPr>
              <w:rPr>
                <w:rFonts w:ascii="Arial" w:hAnsi="Arial" w:cs="Arial"/>
                <w:sz w:val="16"/>
                <w:szCs w:val="18"/>
              </w:rPr>
            </w:pPr>
          </w:p>
        </w:tc>
        <w:tc>
          <w:tcPr>
            <w:tcW w:w="47" w:type="pct"/>
            <w:vAlign w:val="bottom"/>
          </w:tcPr>
          <w:p w:rsidR="00376768" w:rsidRDefault="00376768">
            <w:pPr>
              <w:rPr>
                <w:rFonts w:ascii="Arial" w:hAnsi="Arial" w:cs="Arial"/>
                <w:sz w:val="16"/>
                <w:szCs w:val="18"/>
              </w:rPr>
            </w:pPr>
          </w:p>
        </w:tc>
        <w:tc>
          <w:tcPr>
            <w:tcW w:w="539" w:type="pct"/>
            <w:vAlign w:val="bottom"/>
          </w:tcPr>
          <w:p w:rsidR="00376768" w:rsidRDefault="00EC2B72">
            <w:pPr>
              <w:jc w:val="right"/>
              <w:rPr>
                <w:rFonts w:ascii="Arial" w:hAnsi="Arial" w:cs="Arial"/>
                <w:sz w:val="16"/>
              </w:rPr>
            </w:pPr>
            <w:r>
              <w:rPr>
                <w:rFonts w:ascii="Arial" w:hAnsi="Arial" w:cs="Arial"/>
                <w:sz w:val="16"/>
                <w:szCs w:val="18"/>
              </w:rPr>
              <w:t>$510,746</w:t>
            </w:r>
          </w:p>
        </w:tc>
        <w:tc>
          <w:tcPr>
            <w:tcW w:w="318" w:type="pct"/>
            <w:vAlign w:val="bottom"/>
          </w:tcPr>
          <w:p w:rsidR="00376768" w:rsidRDefault="00376768">
            <w:pPr>
              <w:rPr>
                <w:rFonts w:ascii="Arial" w:hAnsi="Arial" w:cs="Arial"/>
                <w:sz w:val="16"/>
                <w:szCs w:val="18"/>
              </w:rPr>
            </w:pPr>
          </w:p>
        </w:tc>
        <w:tc>
          <w:tcPr>
            <w:tcW w:w="33" w:type="pct"/>
            <w:tcBorders>
              <w:right w:val="single" w:sz="2" w:space="0" w:color="auto"/>
            </w:tcBorders>
            <w:vAlign w:val="bottom"/>
          </w:tcPr>
          <w:p w:rsidR="00376768" w:rsidRDefault="00376768">
            <w:pPr>
              <w:rPr>
                <w:rFonts w:ascii="Arial" w:hAnsi="Arial" w:cs="Arial"/>
                <w:sz w:val="16"/>
                <w:szCs w:val="18"/>
              </w:rPr>
            </w:pPr>
          </w:p>
        </w:tc>
      </w:tr>
      <w:tr w:rsidR="00376768">
        <w:tc>
          <w:tcPr>
            <w:tcW w:w="1134" w:type="pct"/>
            <w:tcBorders>
              <w:left w:val="single" w:sz="2" w:space="0" w:color="auto"/>
            </w:tcBorders>
            <w:vAlign w:val="bottom"/>
          </w:tcPr>
          <w:p w:rsidR="00376768" w:rsidRDefault="00EC2B72">
            <w:pPr>
              <w:ind w:left="144"/>
              <w:rPr>
                <w:rFonts w:ascii="Arial" w:hAnsi="Arial" w:cs="Arial"/>
                <w:sz w:val="16"/>
              </w:rPr>
            </w:pPr>
            <w:r>
              <w:rPr>
                <w:rFonts w:ascii="Arial" w:hAnsi="Arial" w:cs="Arial"/>
                <w:sz w:val="16"/>
                <w:szCs w:val="18"/>
              </w:rPr>
              <w:t>Brian H. Kelly</w:t>
            </w:r>
          </w:p>
        </w:tc>
        <w:tc>
          <w:tcPr>
            <w:tcW w:w="48" w:type="pct"/>
            <w:vAlign w:val="bottom"/>
          </w:tcPr>
          <w:p w:rsidR="00376768" w:rsidRDefault="00376768">
            <w:pPr>
              <w:rPr>
                <w:rFonts w:ascii="Arial" w:hAnsi="Arial" w:cs="Arial"/>
                <w:sz w:val="16"/>
                <w:szCs w:val="18"/>
              </w:rPr>
            </w:pPr>
          </w:p>
        </w:tc>
        <w:tc>
          <w:tcPr>
            <w:tcW w:w="48" w:type="pct"/>
            <w:tcBorders>
              <w:right w:val="single" w:sz="2" w:space="0" w:color="auto"/>
            </w:tcBorders>
            <w:vAlign w:val="bottom"/>
          </w:tcPr>
          <w:p w:rsidR="00376768" w:rsidRDefault="00376768">
            <w:pPr>
              <w:rPr>
                <w:rFonts w:ascii="Arial" w:hAnsi="Arial" w:cs="Arial"/>
                <w:sz w:val="16"/>
                <w:szCs w:val="18"/>
              </w:rPr>
            </w:pPr>
          </w:p>
        </w:tc>
        <w:tc>
          <w:tcPr>
            <w:tcW w:w="47" w:type="pct"/>
            <w:tcBorders>
              <w:left w:val="single" w:sz="2" w:space="0" w:color="auto"/>
            </w:tcBorders>
            <w:vAlign w:val="bottom"/>
          </w:tcPr>
          <w:p w:rsidR="00376768" w:rsidRDefault="00376768">
            <w:pPr>
              <w:rPr>
                <w:rFonts w:ascii="Arial" w:hAnsi="Arial" w:cs="Arial"/>
                <w:sz w:val="16"/>
                <w:szCs w:val="18"/>
              </w:rPr>
            </w:pPr>
          </w:p>
        </w:tc>
        <w:tc>
          <w:tcPr>
            <w:tcW w:w="48" w:type="pct"/>
            <w:vAlign w:val="bottom"/>
          </w:tcPr>
          <w:p w:rsidR="00376768" w:rsidRDefault="00376768">
            <w:pPr>
              <w:rPr>
                <w:rFonts w:ascii="Arial" w:hAnsi="Arial" w:cs="Arial"/>
                <w:sz w:val="16"/>
                <w:szCs w:val="18"/>
              </w:rPr>
            </w:pPr>
          </w:p>
        </w:tc>
        <w:tc>
          <w:tcPr>
            <w:tcW w:w="478" w:type="pct"/>
            <w:vAlign w:val="bottom"/>
          </w:tcPr>
          <w:p w:rsidR="00376768" w:rsidRDefault="00EC2B72">
            <w:pPr>
              <w:jc w:val="center"/>
              <w:rPr>
                <w:rFonts w:ascii="Arial" w:hAnsi="Arial" w:cs="Arial"/>
                <w:sz w:val="16"/>
              </w:rPr>
            </w:pPr>
            <w:r>
              <w:rPr>
                <w:rFonts w:ascii="Arial" w:hAnsi="Arial" w:cs="Arial"/>
                <w:sz w:val="16"/>
                <w:szCs w:val="18"/>
              </w:rPr>
              <w:t>20,671</w:t>
            </w:r>
          </w:p>
        </w:tc>
        <w:tc>
          <w:tcPr>
            <w:tcW w:w="118" w:type="pct"/>
            <w:vAlign w:val="bottom"/>
          </w:tcPr>
          <w:p w:rsidR="00376768" w:rsidRDefault="00376768">
            <w:pPr>
              <w:rPr>
                <w:rFonts w:ascii="Arial" w:hAnsi="Arial" w:cs="Arial"/>
                <w:sz w:val="16"/>
                <w:szCs w:val="18"/>
              </w:rPr>
            </w:pPr>
          </w:p>
        </w:tc>
        <w:tc>
          <w:tcPr>
            <w:tcW w:w="49" w:type="pct"/>
            <w:tcBorders>
              <w:right w:val="single" w:sz="2" w:space="0" w:color="auto"/>
            </w:tcBorders>
            <w:vAlign w:val="bottom"/>
          </w:tcPr>
          <w:p w:rsidR="00376768" w:rsidRDefault="00376768">
            <w:pPr>
              <w:rPr>
                <w:rFonts w:ascii="Arial" w:hAnsi="Arial" w:cs="Arial"/>
                <w:sz w:val="16"/>
                <w:szCs w:val="18"/>
              </w:rPr>
            </w:pPr>
          </w:p>
        </w:tc>
        <w:tc>
          <w:tcPr>
            <w:tcW w:w="49" w:type="pct"/>
            <w:tcBorders>
              <w:left w:val="single" w:sz="2" w:space="0" w:color="auto"/>
            </w:tcBorders>
            <w:vAlign w:val="bottom"/>
          </w:tcPr>
          <w:p w:rsidR="00376768" w:rsidRDefault="00376768">
            <w:pPr>
              <w:rPr>
                <w:rFonts w:ascii="Arial" w:hAnsi="Arial" w:cs="Arial"/>
                <w:sz w:val="16"/>
                <w:szCs w:val="18"/>
              </w:rPr>
            </w:pPr>
          </w:p>
        </w:tc>
        <w:tc>
          <w:tcPr>
            <w:tcW w:w="47" w:type="pct"/>
            <w:vAlign w:val="bottom"/>
          </w:tcPr>
          <w:p w:rsidR="00376768" w:rsidRDefault="00376768">
            <w:pPr>
              <w:rPr>
                <w:rFonts w:ascii="Arial" w:hAnsi="Arial" w:cs="Arial"/>
                <w:sz w:val="16"/>
                <w:szCs w:val="18"/>
              </w:rPr>
            </w:pPr>
          </w:p>
        </w:tc>
        <w:tc>
          <w:tcPr>
            <w:tcW w:w="47" w:type="pct"/>
            <w:vAlign w:val="bottom"/>
          </w:tcPr>
          <w:p w:rsidR="00376768" w:rsidRDefault="00376768">
            <w:pPr>
              <w:rPr>
                <w:rFonts w:ascii="Arial" w:hAnsi="Arial" w:cs="Arial"/>
                <w:sz w:val="16"/>
                <w:szCs w:val="18"/>
              </w:rPr>
            </w:pPr>
          </w:p>
        </w:tc>
        <w:tc>
          <w:tcPr>
            <w:tcW w:w="529" w:type="pct"/>
            <w:vAlign w:val="bottom"/>
          </w:tcPr>
          <w:p w:rsidR="00376768" w:rsidRDefault="00EC2B72">
            <w:pPr>
              <w:jc w:val="center"/>
              <w:rPr>
                <w:rFonts w:ascii="Arial" w:hAnsi="Arial" w:cs="Arial"/>
                <w:sz w:val="16"/>
              </w:rPr>
            </w:pPr>
            <w:r>
              <w:rPr>
                <w:rFonts w:ascii="Arial" w:hAnsi="Arial" w:cs="Arial"/>
                <w:sz w:val="16"/>
                <w:szCs w:val="18"/>
              </w:rPr>
              <w:t>$561,218</w:t>
            </w:r>
          </w:p>
        </w:tc>
        <w:tc>
          <w:tcPr>
            <w:tcW w:w="124" w:type="pct"/>
            <w:vAlign w:val="bottom"/>
          </w:tcPr>
          <w:p w:rsidR="00376768" w:rsidRDefault="00376768">
            <w:pPr>
              <w:rPr>
                <w:rFonts w:ascii="Arial" w:hAnsi="Arial" w:cs="Arial"/>
                <w:sz w:val="16"/>
                <w:szCs w:val="18"/>
              </w:rPr>
            </w:pPr>
          </w:p>
        </w:tc>
        <w:tc>
          <w:tcPr>
            <w:tcW w:w="49" w:type="pct"/>
            <w:tcBorders>
              <w:right w:val="single" w:sz="2" w:space="0" w:color="auto"/>
            </w:tcBorders>
            <w:vAlign w:val="bottom"/>
          </w:tcPr>
          <w:p w:rsidR="00376768" w:rsidRDefault="00376768">
            <w:pPr>
              <w:rPr>
                <w:rFonts w:ascii="Arial" w:hAnsi="Arial" w:cs="Arial"/>
                <w:sz w:val="16"/>
                <w:szCs w:val="18"/>
              </w:rPr>
            </w:pPr>
          </w:p>
        </w:tc>
        <w:tc>
          <w:tcPr>
            <w:tcW w:w="49" w:type="pct"/>
            <w:tcBorders>
              <w:left w:val="single" w:sz="2" w:space="0" w:color="auto"/>
            </w:tcBorders>
            <w:vAlign w:val="bottom"/>
          </w:tcPr>
          <w:p w:rsidR="00376768" w:rsidRDefault="00376768">
            <w:pPr>
              <w:rPr>
                <w:rFonts w:ascii="Arial" w:hAnsi="Arial" w:cs="Arial"/>
                <w:sz w:val="16"/>
                <w:szCs w:val="18"/>
              </w:rPr>
            </w:pPr>
          </w:p>
        </w:tc>
        <w:tc>
          <w:tcPr>
            <w:tcW w:w="47" w:type="pct"/>
            <w:vAlign w:val="bottom"/>
          </w:tcPr>
          <w:p w:rsidR="00376768" w:rsidRDefault="00376768">
            <w:pPr>
              <w:rPr>
                <w:rFonts w:ascii="Arial" w:hAnsi="Arial" w:cs="Arial"/>
                <w:sz w:val="16"/>
                <w:szCs w:val="18"/>
              </w:rPr>
            </w:pPr>
          </w:p>
        </w:tc>
        <w:tc>
          <w:tcPr>
            <w:tcW w:w="47" w:type="pct"/>
            <w:vAlign w:val="bottom"/>
          </w:tcPr>
          <w:p w:rsidR="00376768" w:rsidRDefault="00376768">
            <w:pPr>
              <w:rPr>
                <w:rFonts w:ascii="Arial" w:hAnsi="Arial" w:cs="Arial"/>
                <w:sz w:val="16"/>
                <w:szCs w:val="18"/>
              </w:rPr>
            </w:pPr>
          </w:p>
        </w:tc>
        <w:tc>
          <w:tcPr>
            <w:tcW w:w="648" w:type="pct"/>
            <w:vAlign w:val="bottom"/>
          </w:tcPr>
          <w:p w:rsidR="00376768" w:rsidRDefault="00EC2B72">
            <w:pPr>
              <w:jc w:val="right"/>
              <w:rPr>
                <w:rFonts w:ascii="Arial" w:hAnsi="Arial" w:cs="Arial"/>
                <w:sz w:val="16"/>
              </w:rPr>
            </w:pPr>
            <w:r>
              <w:rPr>
                <w:rFonts w:ascii="Arial" w:hAnsi="Arial" w:cs="Arial"/>
                <w:sz w:val="16"/>
                <w:szCs w:val="18"/>
              </w:rPr>
              <w:t>17,638</w:t>
            </w:r>
          </w:p>
        </w:tc>
        <w:tc>
          <w:tcPr>
            <w:tcW w:w="310" w:type="pct"/>
            <w:vAlign w:val="bottom"/>
          </w:tcPr>
          <w:p w:rsidR="00376768" w:rsidRDefault="00376768">
            <w:pPr>
              <w:rPr>
                <w:rFonts w:ascii="Arial" w:hAnsi="Arial" w:cs="Arial"/>
                <w:sz w:val="16"/>
                <w:szCs w:val="18"/>
              </w:rPr>
            </w:pPr>
          </w:p>
        </w:tc>
        <w:tc>
          <w:tcPr>
            <w:tcW w:w="49" w:type="pct"/>
            <w:tcBorders>
              <w:right w:val="single" w:sz="2" w:space="0" w:color="auto"/>
            </w:tcBorders>
            <w:vAlign w:val="bottom"/>
          </w:tcPr>
          <w:p w:rsidR="00376768" w:rsidRDefault="00376768">
            <w:pPr>
              <w:rPr>
                <w:rFonts w:ascii="Arial" w:hAnsi="Arial" w:cs="Arial"/>
                <w:sz w:val="16"/>
                <w:szCs w:val="18"/>
              </w:rPr>
            </w:pPr>
          </w:p>
        </w:tc>
        <w:tc>
          <w:tcPr>
            <w:tcW w:w="49" w:type="pct"/>
            <w:tcBorders>
              <w:left w:val="single" w:sz="2" w:space="0" w:color="auto"/>
            </w:tcBorders>
            <w:vAlign w:val="bottom"/>
          </w:tcPr>
          <w:p w:rsidR="00376768" w:rsidRDefault="00376768">
            <w:pPr>
              <w:rPr>
                <w:rFonts w:ascii="Arial" w:hAnsi="Arial" w:cs="Arial"/>
                <w:sz w:val="16"/>
                <w:szCs w:val="18"/>
              </w:rPr>
            </w:pPr>
          </w:p>
        </w:tc>
        <w:tc>
          <w:tcPr>
            <w:tcW w:w="47" w:type="pct"/>
            <w:vAlign w:val="bottom"/>
          </w:tcPr>
          <w:p w:rsidR="00376768" w:rsidRDefault="00376768">
            <w:pPr>
              <w:rPr>
                <w:rFonts w:ascii="Arial" w:hAnsi="Arial" w:cs="Arial"/>
                <w:sz w:val="16"/>
                <w:szCs w:val="18"/>
              </w:rPr>
            </w:pPr>
          </w:p>
        </w:tc>
        <w:tc>
          <w:tcPr>
            <w:tcW w:w="47" w:type="pct"/>
            <w:vAlign w:val="bottom"/>
          </w:tcPr>
          <w:p w:rsidR="00376768" w:rsidRDefault="00376768">
            <w:pPr>
              <w:rPr>
                <w:rFonts w:ascii="Arial" w:hAnsi="Arial" w:cs="Arial"/>
                <w:sz w:val="16"/>
                <w:szCs w:val="18"/>
              </w:rPr>
            </w:pPr>
          </w:p>
        </w:tc>
        <w:tc>
          <w:tcPr>
            <w:tcW w:w="539" w:type="pct"/>
            <w:vAlign w:val="bottom"/>
          </w:tcPr>
          <w:p w:rsidR="00376768" w:rsidRDefault="00EC2B72">
            <w:pPr>
              <w:jc w:val="right"/>
              <w:rPr>
                <w:rFonts w:ascii="Arial" w:hAnsi="Arial" w:cs="Arial"/>
                <w:sz w:val="16"/>
              </w:rPr>
            </w:pPr>
            <w:r>
              <w:rPr>
                <w:rFonts w:ascii="Arial" w:hAnsi="Arial" w:cs="Arial"/>
                <w:sz w:val="16"/>
                <w:szCs w:val="18"/>
              </w:rPr>
              <w:t>$478,872</w:t>
            </w:r>
          </w:p>
        </w:tc>
        <w:tc>
          <w:tcPr>
            <w:tcW w:w="318" w:type="pct"/>
            <w:vAlign w:val="bottom"/>
          </w:tcPr>
          <w:p w:rsidR="00376768" w:rsidRDefault="00376768">
            <w:pPr>
              <w:rPr>
                <w:rFonts w:ascii="Arial" w:hAnsi="Arial" w:cs="Arial"/>
                <w:sz w:val="16"/>
                <w:szCs w:val="18"/>
              </w:rPr>
            </w:pPr>
          </w:p>
        </w:tc>
        <w:tc>
          <w:tcPr>
            <w:tcW w:w="33" w:type="pct"/>
            <w:tcBorders>
              <w:right w:val="single" w:sz="2" w:space="0" w:color="auto"/>
            </w:tcBorders>
            <w:vAlign w:val="bottom"/>
          </w:tcPr>
          <w:p w:rsidR="00376768" w:rsidRDefault="00376768">
            <w:pPr>
              <w:rPr>
                <w:rFonts w:ascii="Arial" w:hAnsi="Arial" w:cs="Arial"/>
                <w:sz w:val="16"/>
                <w:szCs w:val="18"/>
              </w:rPr>
            </w:pPr>
          </w:p>
        </w:tc>
      </w:tr>
    </w:tbl>
    <w:p w:rsidR="00376768" w:rsidRDefault="00376768">
      <w:pPr>
        <w:rPr>
          <w:sz w:val="16"/>
        </w:rPr>
      </w:pPr>
    </w:p>
    <w:tbl>
      <w:tblPr>
        <w:tblW w:w="999" w:type="pct"/>
        <w:tblInd w:w="5" w:type="dxa"/>
        <w:tblLayout w:type="fixed"/>
        <w:tblCellMar>
          <w:left w:w="0" w:type="dxa"/>
          <w:right w:w="0" w:type="dxa"/>
        </w:tblCellMar>
        <w:tblLook w:val="0000" w:firstRow="0" w:lastRow="0" w:firstColumn="0" w:lastColumn="0" w:noHBand="0" w:noVBand="0"/>
      </w:tblPr>
      <w:tblGrid>
        <w:gridCol w:w="2158"/>
      </w:tblGrid>
      <w:tr w:rsidR="00376768">
        <w:tc>
          <w:tcPr>
            <w:tcW w:w="5000" w:type="pct"/>
            <w:tcBorders>
              <w:bottom w:val="single" w:sz="4" w:space="0" w:color="auto"/>
            </w:tcBorders>
          </w:tcPr>
          <w:p w:rsidR="00376768" w:rsidRDefault="00376768">
            <w:pPr>
              <w:rPr>
                <w:rFonts w:ascii="Arial" w:hAnsi="Arial" w:cs="Arial"/>
                <w:sz w:val="8"/>
              </w:rPr>
            </w:pPr>
          </w:p>
        </w:tc>
      </w:tr>
    </w:tbl>
    <w:p w:rsidR="00376768" w:rsidRDefault="00EC2B72">
      <w:pPr>
        <w:ind w:left="360" w:hanging="360"/>
        <w:jc w:val="both"/>
        <w:rPr>
          <w:rFonts w:ascii="Arial" w:hAnsi="Arial" w:cs="Arial"/>
          <w:sz w:val="16"/>
          <w:szCs w:val="16"/>
        </w:rPr>
      </w:pPr>
      <w:r>
        <w:rPr>
          <w:rFonts w:ascii="Arial" w:hAnsi="Arial" w:cs="Arial"/>
          <w:sz w:val="16"/>
          <w:szCs w:val="12"/>
          <w:vertAlign w:val="superscript"/>
        </w:rPr>
        <w:t>(1)</w:t>
      </w:r>
      <w:r>
        <w:rPr>
          <w:rFonts w:ascii="Arial" w:hAnsi="Arial" w:cs="Arial"/>
          <w:sz w:val="16"/>
          <w:szCs w:val="12"/>
          <w:vertAlign w:val="superscript"/>
        </w:rPr>
        <w:tab/>
      </w:r>
      <w:r>
        <w:rPr>
          <w:rFonts w:ascii="Arial" w:hAnsi="Arial" w:cs="Arial"/>
          <w:sz w:val="16"/>
          <w:szCs w:val="16"/>
        </w:rPr>
        <w:t xml:space="preserve">This column includes unvested restricted stock awards granted under the LTIP in 2014, 2015, 2016, and 2017. Mr. Russo’s employment with the Company terminated on April 21, 2017, and Mr. Scanlon’s employment with the Company terminated on March 30, 2018. All unvested restricted stock awards were forfeited on their termination dates. The vesting schedule of these awards is described below: </w:t>
      </w:r>
    </w:p>
    <w:tbl>
      <w:tblPr>
        <w:tblW w:w="5000" w:type="pct"/>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64"/>
        <w:gridCol w:w="945"/>
        <w:gridCol w:w="6599"/>
        <w:gridCol w:w="912"/>
      </w:tblGrid>
      <w:tr w:rsidR="00376768">
        <w:tc>
          <w:tcPr>
            <w:tcW w:w="2465" w:type="dxa"/>
            <w:tcBorders>
              <w:bottom w:val="single" w:sz="4" w:space="0" w:color="auto"/>
            </w:tcBorders>
            <w:tcMar>
              <w:top w:w="30" w:type="dxa"/>
              <w:left w:w="60" w:type="dxa"/>
              <w:bottom w:w="30" w:type="dxa"/>
              <w:right w:w="60" w:type="dxa"/>
            </w:tcMar>
            <w:vAlign w:val="bottom"/>
          </w:tcPr>
          <w:p w:rsidR="00376768" w:rsidRDefault="00EC2B72">
            <w:pPr>
              <w:jc w:val="center"/>
              <w:rPr>
                <w:rFonts w:ascii="Arial" w:hAnsi="Arial" w:cs="Arial"/>
                <w:b/>
                <w:bCs/>
                <w:sz w:val="16"/>
              </w:rPr>
            </w:pPr>
            <w:r>
              <w:rPr>
                <w:rFonts w:ascii="Arial" w:hAnsi="Arial" w:cs="Arial"/>
                <w:b/>
                <w:bCs/>
                <w:sz w:val="16"/>
                <w:szCs w:val="16"/>
              </w:rPr>
              <w:t>Name</w:t>
            </w:r>
          </w:p>
        </w:tc>
        <w:tc>
          <w:tcPr>
            <w:tcW w:w="943" w:type="dxa"/>
            <w:tcBorders>
              <w:bottom w:val="single" w:sz="4" w:space="0" w:color="auto"/>
            </w:tcBorders>
            <w:tcMar>
              <w:top w:w="30" w:type="dxa"/>
              <w:left w:w="60" w:type="dxa"/>
              <w:bottom w:w="30" w:type="dxa"/>
              <w:right w:w="60" w:type="dxa"/>
            </w:tcMar>
            <w:vAlign w:val="bottom"/>
          </w:tcPr>
          <w:p w:rsidR="00376768" w:rsidRDefault="00EC2B72">
            <w:pPr>
              <w:jc w:val="center"/>
              <w:rPr>
                <w:rFonts w:ascii="Arial" w:hAnsi="Arial" w:cs="Arial"/>
                <w:b/>
                <w:bCs/>
                <w:sz w:val="16"/>
              </w:rPr>
            </w:pPr>
            <w:r>
              <w:rPr>
                <w:rFonts w:ascii="Arial" w:hAnsi="Arial" w:cs="Arial"/>
                <w:b/>
                <w:bCs/>
                <w:sz w:val="16"/>
                <w:szCs w:val="16"/>
              </w:rPr>
              <w:t xml:space="preserve">Grant </w:t>
            </w:r>
            <w:r>
              <w:rPr>
                <w:rFonts w:ascii="Arial" w:hAnsi="Arial" w:cs="Arial"/>
                <w:b/>
                <w:bCs/>
                <w:sz w:val="16"/>
                <w:szCs w:val="16"/>
              </w:rPr>
              <w:br/>
              <w:t>Date</w:t>
            </w:r>
          </w:p>
        </w:tc>
        <w:tc>
          <w:tcPr>
            <w:tcW w:w="6600" w:type="dxa"/>
            <w:tcBorders>
              <w:bottom w:val="single" w:sz="4" w:space="0" w:color="auto"/>
            </w:tcBorders>
            <w:tcMar>
              <w:top w:w="30" w:type="dxa"/>
              <w:left w:w="60" w:type="dxa"/>
              <w:bottom w:w="30" w:type="dxa"/>
              <w:right w:w="60" w:type="dxa"/>
            </w:tcMar>
            <w:vAlign w:val="bottom"/>
          </w:tcPr>
          <w:p w:rsidR="00376768" w:rsidRDefault="00EC2B72">
            <w:pPr>
              <w:jc w:val="center"/>
              <w:rPr>
                <w:rFonts w:ascii="Arial" w:hAnsi="Arial" w:cs="Arial"/>
                <w:b/>
                <w:bCs/>
                <w:sz w:val="16"/>
              </w:rPr>
            </w:pPr>
            <w:r>
              <w:rPr>
                <w:rFonts w:ascii="Arial" w:hAnsi="Arial" w:cs="Arial"/>
                <w:b/>
                <w:bCs/>
                <w:sz w:val="16"/>
                <w:szCs w:val="16"/>
              </w:rPr>
              <w:t>Vesting Date</w:t>
            </w:r>
          </w:p>
        </w:tc>
        <w:tc>
          <w:tcPr>
            <w:tcW w:w="912" w:type="dxa"/>
            <w:tcBorders>
              <w:bottom w:val="single" w:sz="4" w:space="0" w:color="auto"/>
            </w:tcBorders>
            <w:tcMar>
              <w:top w:w="30" w:type="dxa"/>
              <w:left w:w="60" w:type="dxa"/>
              <w:bottom w:w="30" w:type="dxa"/>
              <w:right w:w="60" w:type="dxa"/>
            </w:tcMar>
            <w:vAlign w:val="bottom"/>
          </w:tcPr>
          <w:p w:rsidR="00376768" w:rsidRDefault="00EC2B72">
            <w:pPr>
              <w:jc w:val="center"/>
              <w:rPr>
                <w:rFonts w:ascii="Arial" w:hAnsi="Arial" w:cs="Arial"/>
                <w:b/>
                <w:bCs/>
                <w:sz w:val="16"/>
              </w:rPr>
            </w:pPr>
            <w:r>
              <w:rPr>
                <w:rFonts w:ascii="Arial" w:hAnsi="Arial" w:cs="Arial"/>
                <w:b/>
                <w:bCs/>
                <w:sz w:val="16"/>
                <w:szCs w:val="16"/>
              </w:rPr>
              <w:t>Unvested</w:t>
            </w:r>
            <w:r>
              <w:rPr>
                <w:rFonts w:ascii="Arial" w:hAnsi="Arial" w:cs="Arial"/>
                <w:b/>
                <w:bCs/>
                <w:sz w:val="16"/>
                <w:szCs w:val="16"/>
              </w:rPr>
              <w:br/>
              <w:t xml:space="preserve">Restricted </w:t>
            </w:r>
            <w:r>
              <w:rPr>
                <w:rFonts w:ascii="Arial" w:hAnsi="Arial" w:cs="Arial"/>
                <w:b/>
                <w:bCs/>
                <w:sz w:val="16"/>
                <w:szCs w:val="16"/>
              </w:rPr>
              <w:br/>
              <w:t>Stock</w:t>
            </w:r>
          </w:p>
        </w:tc>
      </w:tr>
      <w:tr w:rsidR="00376768">
        <w:tc>
          <w:tcPr>
            <w:tcW w:w="10920" w:type="dxa"/>
            <w:gridSpan w:val="4"/>
            <w:tcBorders>
              <w:left w:val="nil"/>
              <w:bottom w:val="single" w:sz="12" w:space="0" w:color="auto"/>
              <w:right w:val="nil"/>
            </w:tcBorders>
            <w:tcMar>
              <w:top w:w="30" w:type="dxa"/>
              <w:left w:w="60" w:type="dxa"/>
              <w:bottom w:w="30" w:type="dxa"/>
              <w:right w:w="60" w:type="dxa"/>
            </w:tcMar>
          </w:tcPr>
          <w:p w:rsidR="00376768" w:rsidRDefault="00EC2B72">
            <w:pPr>
              <w:rPr>
                <w:rFonts w:ascii="Arial" w:hAnsi="Arial" w:cs="Arial"/>
                <w:b/>
                <w:bCs/>
                <w:sz w:val="16"/>
              </w:rPr>
            </w:pPr>
            <w:r>
              <w:rPr>
                <w:rFonts w:ascii="Arial" w:hAnsi="Arial" w:cs="Arial"/>
                <w:b/>
                <w:bCs/>
                <w:sz w:val="16"/>
                <w:szCs w:val="16"/>
              </w:rPr>
              <w:t>2014 Restricted Stock Awards:</w:t>
            </w:r>
          </w:p>
        </w:tc>
      </w:tr>
      <w:tr w:rsidR="00376768">
        <w:tc>
          <w:tcPr>
            <w:tcW w:w="2465" w:type="dxa"/>
            <w:tcBorders>
              <w:top w:val="single" w:sz="12" w:space="0" w:color="auto"/>
            </w:tcBorders>
            <w:tcMar>
              <w:top w:w="30" w:type="dxa"/>
              <w:left w:w="60" w:type="dxa"/>
              <w:bottom w:w="30" w:type="dxa"/>
              <w:right w:w="60" w:type="dxa"/>
            </w:tcMar>
          </w:tcPr>
          <w:p w:rsidR="00376768" w:rsidRDefault="00EC2B72">
            <w:pPr>
              <w:rPr>
                <w:rFonts w:ascii="Arial" w:hAnsi="Arial" w:cs="Arial"/>
                <w:sz w:val="16"/>
              </w:rPr>
            </w:pPr>
            <w:r>
              <w:rPr>
                <w:rFonts w:ascii="Arial" w:hAnsi="Arial" w:cs="Arial"/>
                <w:sz w:val="16"/>
                <w:szCs w:val="16"/>
              </w:rPr>
              <w:t>Robert P. Bauer</w:t>
            </w:r>
          </w:p>
        </w:tc>
        <w:tc>
          <w:tcPr>
            <w:tcW w:w="945" w:type="dxa"/>
            <w:tcBorders>
              <w:top w:val="single" w:sz="12" w:space="0" w:color="auto"/>
            </w:tcBorders>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02/27/14</w:t>
            </w:r>
          </w:p>
        </w:tc>
        <w:tc>
          <w:tcPr>
            <w:tcW w:w="6598" w:type="dxa"/>
            <w:tcBorders>
              <w:top w:val="single" w:sz="12" w:space="0" w:color="auto"/>
            </w:tcBorders>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4-year cliff vesting; grant vested 02/26/18</w:t>
            </w:r>
          </w:p>
        </w:tc>
        <w:tc>
          <w:tcPr>
            <w:tcW w:w="912" w:type="dxa"/>
            <w:tcBorders>
              <w:top w:val="single" w:sz="12" w:space="0" w:color="auto"/>
            </w:tcBorders>
            <w:tcMar>
              <w:top w:w="30" w:type="dxa"/>
              <w:left w:w="60" w:type="dxa"/>
              <w:bottom w:w="30" w:type="dxa"/>
              <w:right w:w="60" w:type="dxa"/>
            </w:tcMar>
            <w:vAlign w:val="bottom"/>
          </w:tcPr>
          <w:p w:rsidR="00376768" w:rsidRDefault="00EC2B72">
            <w:pPr>
              <w:jc w:val="center"/>
              <w:rPr>
                <w:rFonts w:ascii="Arial" w:hAnsi="Arial" w:cs="Arial"/>
                <w:sz w:val="16"/>
              </w:rPr>
            </w:pPr>
            <w:r>
              <w:rPr>
                <w:rFonts w:ascii="Arial" w:hAnsi="Arial" w:cs="Arial"/>
                <w:sz w:val="16"/>
                <w:szCs w:val="16"/>
              </w:rPr>
              <w:t>3,601</w:t>
            </w:r>
          </w:p>
        </w:tc>
      </w:tr>
      <w:tr w:rsidR="00376768">
        <w:tc>
          <w:tcPr>
            <w:tcW w:w="2465" w:type="dxa"/>
            <w:tcMar>
              <w:top w:w="30" w:type="dxa"/>
              <w:left w:w="60" w:type="dxa"/>
              <w:bottom w:w="30" w:type="dxa"/>
              <w:right w:w="60" w:type="dxa"/>
            </w:tcMar>
          </w:tcPr>
          <w:p w:rsidR="00376768" w:rsidRDefault="00EC2B72">
            <w:pPr>
              <w:rPr>
                <w:rFonts w:ascii="Arial" w:hAnsi="Arial" w:cs="Arial"/>
                <w:sz w:val="16"/>
              </w:rPr>
            </w:pPr>
            <w:r>
              <w:rPr>
                <w:rFonts w:ascii="Arial" w:hAnsi="Arial" w:cs="Arial"/>
                <w:sz w:val="16"/>
                <w:szCs w:val="16"/>
              </w:rPr>
              <w:t>Christopher T. Scanlon</w:t>
            </w:r>
          </w:p>
        </w:tc>
        <w:tc>
          <w:tcPr>
            <w:tcW w:w="945" w:type="dxa"/>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02/25/14</w:t>
            </w:r>
          </w:p>
        </w:tc>
        <w:tc>
          <w:tcPr>
            <w:tcW w:w="6598" w:type="dxa"/>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4-year cliff vesting; grant vested 02/25/18</w:t>
            </w:r>
          </w:p>
        </w:tc>
        <w:tc>
          <w:tcPr>
            <w:tcW w:w="912" w:type="dxa"/>
            <w:tcMar>
              <w:top w:w="30" w:type="dxa"/>
              <w:left w:w="60" w:type="dxa"/>
              <w:bottom w:w="30" w:type="dxa"/>
              <w:right w:w="60" w:type="dxa"/>
            </w:tcMar>
            <w:vAlign w:val="bottom"/>
          </w:tcPr>
          <w:p w:rsidR="00376768" w:rsidRDefault="00EC2B72">
            <w:pPr>
              <w:jc w:val="center"/>
              <w:rPr>
                <w:rFonts w:ascii="Arial" w:hAnsi="Arial" w:cs="Arial"/>
                <w:sz w:val="16"/>
              </w:rPr>
            </w:pPr>
            <w:r>
              <w:rPr>
                <w:rFonts w:ascii="Arial" w:hAnsi="Arial" w:cs="Arial"/>
                <w:sz w:val="16"/>
                <w:szCs w:val="16"/>
              </w:rPr>
              <w:t>2,500</w:t>
            </w:r>
          </w:p>
        </w:tc>
      </w:tr>
      <w:tr w:rsidR="00376768">
        <w:tc>
          <w:tcPr>
            <w:tcW w:w="2465" w:type="dxa"/>
            <w:tcMar>
              <w:top w:w="30" w:type="dxa"/>
              <w:left w:w="60" w:type="dxa"/>
              <w:bottom w:w="30" w:type="dxa"/>
              <w:right w:w="60" w:type="dxa"/>
            </w:tcMar>
          </w:tcPr>
          <w:p w:rsidR="00376768" w:rsidRDefault="00EC2B72">
            <w:pPr>
              <w:rPr>
                <w:rFonts w:ascii="Arial" w:hAnsi="Arial" w:cs="Arial"/>
                <w:sz w:val="16"/>
              </w:rPr>
            </w:pPr>
            <w:r>
              <w:rPr>
                <w:rFonts w:ascii="Arial" w:hAnsi="Arial" w:cs="Arial"/>
                <w:sz w:val="16"/>
                <w:szCs w:val="16"/>
              </w:rPr>
              <w:t>Christopher T. Scanlon</w:t>
            </w:r>
          </w:p>
        </w:tc>
        <w:tc>
          <w:tcPr>
            <w:tcW w:w="945" w:type="dxa"/>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02/26/14</w:t>
            </w:r>
          </w:p>
        </w:tc>
        <w:tc>
          <w:tcPr>
            <w:tcW w:w="6598" w:type="dxa"/>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4-year cliff vesting; grant vested 02/26/18</w:t>
            </w:r>
          </w:p>
        </w:tc>
        <w:tc>
          <w:tcPr>
            <w:tcW w:w="912" w:type="dxa"/>
            <w:tcMar>
              <w:top w:w="30" w:type="dxa"/>
              <w:left w:w="60" w:type="dxa"/>
              <w:bottom w:w="30" w:type="dxa"/>
              <w:right w:w="60" w:type="dxa"/>
            </w:tcMar>
            <w:vAlign w:val="bottom"/>
          </w:tcPr>
          <w:p w:rsidR="00376768" w:rsidRDefault="00EC2B72">
            <w:pPr>
              <w:jc w:val="center"/>
              <w:rPr>
                <w:rFonts w:ascii="Arial" w:hAnsi="Arial" w:cs="Arial"/>
                <w:sz w:val="16"/>
              </w:rPr>
            </w:pPr>
            <w:r>
              <w:rPr>
                <w:rFonts w:ascii="Arial" w:hAnsi="Arial" w:cs="Arial"/>
                <w:sz w:val="16"/>
                <w:szCs w:val="16"/>
              </w:rPr>
              <w:t>270</w:t>
            </w:r>
          </w:p>
        </w:tc>
      </w:tr>
      <w:tr w:rsidR="00376768">
        <w:tc>
          <w:tcPr>
            <w:tcW w:w="2465" w:type="dxa"/>
            <w:tcMar>
              <w:top w:w="30" w:type="dxa"/>
              <w:left w:w="60" w:type="dxa"/>
              <w:bottom w:w="30" w:type="dxa"/>
              <w:right w:w="60" w:type="dxa"/>
            </w:tcMar>
          </w:tcPr>
          <w:p w:rsidR="00376768" w:rsidRDefault="00EC2B72">
            <w:pPr>
              <w:rPr>
                <w:rFonts w:ascii="Arial" w:hAnsi="Arial" w:cs="Arial"/>
                <w:sz w:val="16"/>
              </w:rPr>
            </w:pPr>
            <w:r>
              <w:rPr>
                <w:rFonts w:ascii="Arial" w:hAnsi="Arial" w:cs="Arial"/>
                <w:sz w:val="16"/>
                <w:szCs w:val="16"/>
              </w:rPr>
              <w:t xml:space="preserve">John F. </w:t>
            </w:r>
            <w:proofErr w:type="spellStart"/>
            <w:r>
              <w:rPr>
                <w:rFonts w:ascii="Arial" w:hAnsi="Arial" w:cs="Arial"/>
                <w:sz w:val="16"/>
                <w:szCs w:val="16"/>
              </w:rPr>
              <w:t>Kasel</w:t>
            </w:r>
            <w:proofErr w:type="spellEnd"/>
          </w:p>
        </w:tc>
        <w:tc>
          <w:tcPr>
            <w:tcW w:w="945" w:type="dxa"/>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02/26/14</w:t>
            </w:r>
          </w:p>
        </w:tc>
        <w:tc>
          <w:tcPr>
            <w:tcW w:w="6598" w:type="dxa"/>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4-year cliff vesting; grant vested 02/26/18</w:t>
            </w:r>
          </w:p>
        </w:tc>
        <w:tc>
          <w:tcPr>
            <w:tcW w:w="912" w:type="dxa"/>
            <w:tcMar>
              <w:top w:w="30" w:type="dxa"/>
              <w:left w:w="60" w:type="dxa"/>
              <w:bottom w:w="30" w:type="dxa"/>
              <w:right w:w="60" w:type="dxa"/>
            </w:tcMar>
            <w:vAlign w:val="bottom"/>
          </w:tcPr>
          <w:p w:rsidR="00376768" w:rsidRDefault="00EC2B72">
            <w:pPr>
              <w:jc w:val="center"/>
              <w:rPr>
                <w:rFonts w:ascii="Arial" w:hAnsi="Arial" w:cs="Arial"/>
                <w:sz w:val="16"/>
              </w:rPr>
            </w:pPr>
            <w:r>
              <w:rPr>
                <w:rFonts w:ascii="Arial" w:hAnsi="Arial" w:cs="Arial"/>
                <w:sz w:val="16"/>
                <w:szCs w:val="16"/>
              </w:rPr>
              <w:t>960</w:t>
            </w:r>
          </w:p>
        </w:tc>
      </w:tr>
      <w:tr w:rsidR="00376768">
        <w:tc>
          <w:tcPr>
            <w:tcW w:w="2465" w:type="dxa"/>
            <w:tcMar>
              <w:top w:w="30" w:type="dxa"/>
              <w:left w:w="60" w:type="dxa"/>
              <w:bottom w:w="30" w:type="dxa"/>
              <w:right w:w="60" w:type="dxa"/>
            </w:tcMar>
          </w:tcPr>
          <w:p w:rsidR="00376768" w:rsidRDefault="00EC2B72">
            <w:pPr>
              <w:rPr>
                <w:rFonts w:ascii="Arial" w:hAnsi="Arial" w:cs="Arial"/>
                <w:sz w:val="16"/>
              </w:rPr>
            </w:pPr>
            <w:r>
              <w:rPr>
                <w:rFonts w:ascii="Arial" w:hAnsi="Arial" w:cs="Arial"/>
                <w:sz w:val="16"/>
                <w:szCs w:val="16"/>
              </w:rPr>
              <w:t xml:space="preserve">Patrick J. </w:t>
            </w:r>
            <w:proofErr w:type="spellStart"/>
            <w:r>
              <w:rPr>
                <w:rFonts w:ascii="Arial" w:hAnsi="Arial" w:cs="Arial"/>
                <w:sz w:val="16"/>
                <w:szCs w:val="16"/>
              </w:rPr>
              <w:t>Guinee</w:t>
            </w:r>
            <w:proofErr w:type="spellEnd"/>
          </w:p>
        </w:tc>
        <w:tc>
          <w:tcPr>
            <w:tcW w:w="945" w:type="dxa"/>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02/25/14</w:t>
            </w:r>
          </w:p>
        </w:tc>
        <w:tc>
          <w:tcPr>
            <w:tcW w:w="6598" w:type="dxa"/>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4-year cliff vesting; grant vested 02/25/18</w:t>
            </w:r>
          </w:p>
        </w:tc>
        <w:tc>
          <w:tcPr>
            <w:tcW w:w="912" w:type="dxa"/>
            <w:tcMar>
              <w:top w:w="30" w:type="dxa"/>
              <w:left w:w="60" w:type="dxa"/>
              <w:bottom w:w="30" w:type="dxa"/>
              <w:right w:w="60" w:type="dxa"/>
            </w:tcMar>
            <w:vAlign w:val="bottom"/>
          </w:tcPr>
          <w:p w:rsidR="00376768" w:rsidRDefault="00EC2B72">
            <w:pPr>
              <w:jc w:val="center"/>
              <w:rPr>
                <w:rFonts w:ascii="Arial" w:hAnsi="Arial" w:cs="Arial"/>
                <w:sz w:val="16"/>
              </w:rPr>
            </w:pPr>
            <w:r>
              <w:rPr>
                <w:rFonts w:ascii="Arial" w:hAnsi="Arial" w:cs="Arial"/>
                <w:sz w:val="16"/>
                <w:szCs w:val="16"/>
              </w:rPr>
              <w:t>5,000</w:t>
            </w:r>
          </w:p>
        </w:tc>
      </w:tr>
      <w:tr w:rsidR="00376768">
        <w:tc>
          <w:tcPr>
            <w:tcW w:w="2465" w:type="dxa"/>
            <w:tcMar>
              <w:top w:w="30" w:type="dxa"/>
              <w:left w:w="60" w:type="dxa"/>
              <w:bottom w:w="30" w:type="dxa"/>
              <w:right w:w="60" w:type="dxa"/>
            </w:tcMar>
          </w:tcPr>
          <w:p w:rsidR="00376768" w:rsidRDefault="00EC2B72">
            <w:pPr>
              <w:rPr>
                <w:rFonts w:ascii="Arial" w:hAnsi="Arial" w:cs="Arial"/>
                <w:sz w:val="16"/>
              </w:rPr>
            </w:pPr>
            <w:r>
              <w:rPr>
                <w:rFonts w:ascii="Arial" w:hAnsi="Arial" w:cs="Arial"/>
                <w:sz w:val="16"/>
                <w:szCs w:val="16"/>
              </w:rPr>
              <w:t xml:space="preserve">Patrick J. </w:t>
            </w:r>
            <w:proofErr w:type="spellStart"/>
            <w:r>
              <w:rPr>
                <w:rFonts w:ascii="Arial" w:hAnsi="Arial" w:cs="Arial"/>
                <w:sz w:val="16"/>
                <w:szCs w:val="16"/>
              </w:rPr>
              <w:t>Guinee</w:t>
            </w:r>
            <w:proofErr w:type="spellEnd"/>
          </w:p>
        </w:tc>
        <w:tc>
          <w:tcPr>
            <w:tcW w:w="945" w:type="dxa"/>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02/26/14</w:t>
            </w:r>
          </w:p>
        </w:tc>
        <w:tc>
          <w:tcPr>
            <w:tcW w:w="6598" w:type="dxa"/>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4-year cliff vesting; grant vested 02/26/18</w:t>
            </w:r>
          </w:p>
        </w:tc>
        <w:tc>
          <w:tcPr>
            <w:tcW w:w="912" w:type="dxa"/>
            <w:tcMar>
              <w:top w:w="30" w:type="dxa"/>
              <w:left w:w="60" w:type="dxa"/>
              <w:bottom w:w="30" w:type="dxa"/>
              <w:right w:w="60" w:type="dxa"/>
            </w:tcMar>
            <w:vAlign w:val="bottom"/>
          </w:tcPr>
          <w:p w:rsidR="00376768" w:rsidRDefault="00EC2B72">
            <w:pPr>
              <w:jc w:val="center"/>
              <w:rPr>
                <w:rFonts w:ascii="Arial" w:hAnsi="Arial" w:cs="Arial"/>
                <w:sz w:val="16"/>
              </w:rPr>
            </w:pPr>
            <w:r>
              <w:rPr>
                <w:rFonts w:ascii="Arial" w:hAnsi="Arial" w:cs="Arial"/>
                <w:sz w:val="16"/>
                <w:szCs w:val="16"/>
              </w:rPr>
              <w:t>600</w:t>
            </w:r>
          </w:p>
        </w:tc>
      </w:tr>
      <w:tr w:rsidR="00376768">
        <w:tc>
          <w:tcPr>
            <w:tcW w:w="2465" w:type="dxa"/>
            <w:tcMar>
              <w:top w:w="30" w:type="dxa"/>
              <w:left w:w="60" w:type="dxa"/>
              <w:bottom w:w="30" w:type="dxa"/>
              <w:right w:w="60" w:type="dxa"/>
            </w:tcMar>
          </w:tcPr>
          <w:p w:rsidR="00376768" w:rsidRDefault="00EC2B72">
            <w:pPr>
              <w:rPr>
                <w:rFonts w:ascii="Arial" w:hAnsi="Arial" w:cs="Arial"/>
                <w:sz w:val="16"/>
              </w:rPr>
            </w:pPr>
            <w:r>
              <w:rPr>
                <w:rFonts w:ascii="Arial" w:hAnsi="Arial" w:cs="Arial"/>
                <w:sz w:val="16"/>
                <w:szCs w:val="16"/>
              </w:rPr>
              <w:t>Brian H. Kelly</w:t>
            </w:r>
          </w:p>
        </w:tc>
        <w:tc>
          <w:tcPr>
            <w:tcW w:w="945" w:type="dxa"/>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02/26/14</w:t>
            </w:r>
          </w:p>
        </w:tc>
        <w:tc>
          <w:tcPr>
            <w:tcW w:w="6598" w:type="dxa"/>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4-year cliff vesting; grant vested 02/26/18</w:t>
            </w:r>
          </w:p>
        </w:tc>
        <w:tc>
          <w:tcPr>
            <w:tcW w:w="912" w:type="dxa"/>
            <w:tcMar>
              <w:top w:w="30" w:type="dxa"/>
              <w:left w:w="60" w:type="dxa"/>
              <w:bottom w:w="30" w:type="dxa"/>
              <w:right w:w="60" w:type="dxa"/>
            </w:tcMar>
            <w:vAlign w:val="bottom"/>
          </w:tcPr>
          <w:p w:rsidR="00376768" w:rsidRDefault="00EC2B72">
            <w:pPr>
              <w:jc w:val="center"/>
              <w:rPr>
                <w:rFonts w:ascii="Arial" w:hAnsi="Arial" w:cs="Arial"/>
                <w:sz w:val="16"/>
              </w:rPr>
            </w:pPr>
            <w:r>
              <w:rPr>
                <w:rFonts w:ascii="Arial" w:hAnsi="Arial" w:cs="Arial"/>
                <w:sz w:val="16"/>
                <w:szCs w:val="16"/>
              </w:rPr>
              <w:t>600</w:t>
            </w:r>
          </w:p>
        </w:tc>
      </w:tr>
    </w:tbl>
    <w:p w:rsidR="00376768" w:rsidRDefault="00376768">
      <w:pPr>
        <w:rPr>
          <w:sz w:val="2"/>
        </w:rPr>
      </w:pPr>
    </w:p>
    <w:tbl>
      <w:tblPr>
        <w:tblW w:w="5000" w:type="pct"/>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47"/>
        <w:gridCol w:w="981"/>
        <w:gridCol w:w="6580"/>
        <w:gridCol w:w="912"/>
      </w:tblGrid>
      <w:tr w:rsidR="00376768">
        <w:tc>
          <w:tcPr>
            <w:tcW w:w="10920" w:type="dxa"/>
            <w:gridSpan w:val="4"/>
            <w:tcBorders>
              <w:top w:val="nil"/>
              <w:left w:val="nil"/>
              <w:bottom w:val="single" w:sz="12" w:space="0" w:color="auto"/>
              <w:right w:val="nil"/>
            </w:tcBorders>
            <w:tcMar>
              <w:top w:w="30" w:type="dxa"/>
              <w:left w:w="60" w:type="dxa"/>
              <w:bottom w:w="30" w:type="dxa"/>
              <w:right w:w="60" w:type="dxa"/>
            </w:tcMar>
          </w:tcPr>
          <w:p w:rsidR="00376768" w:rsidRDefault="00EC2B72">
            <w:pPr>
              <w:rPr>
                <w:rFonts w:ascii="Arial" w:hAnsi="Arial" w:cs="Arial"/>
                <w:b/>
                <w:bCs/>
                <w:sz w:val="16"/>
              </w:rPr>
            </w:pPr>
            <w:r>
              <w:rPr>
                <w:rFonts w:ascii="Arial" w:hAnsi="Arial" w:cs="Arial"/>
                <w:b/>
                <w:bCs/>
                <w:sz w:val="16"/>
                <w:szCs w:val="16"/>
              </w:rPr>
              <w:t>2015 Restricted Stock Awards:</w:t>
            </w:r>
          </w:p>
        </w:tc>
      </w:tr>
      <w:tr w:rsidR="00376768">
        <w:tc>
          <w:tcPr>
            <w:tcW w:w="2447" w:type="dxa"/>
            <w:tcBorders>
              <w:top w:val="single" w:sz="12" w:space="0" w:color="auto"/>
            </w:tcBorders>
            <w:tcMar>
              <w:top w:w="30" w:type="dxa"/>
              <w:left w:w="60" w:type="dxa"/>
              <w:bottom w:w="30" w:type="dxa"/>
              <w:right w:w="60" w:type="dxa"/>
            </w:tcMar>
          </w:tcPr>
          <w:p w:rsidR="00376768" w:rsidRDefault="00EC2B72">
            <w:pPr>
              <w:rPr>
                <w:rFonts w:ascii="Arial" w:hAnsi="Arial" w:cs="Arial"/>
                <w:sz w:val="16"/>
              </w:rPr>
            </w:pPr>
            <w:r>
              <w:rPr>
                <w:rFonts w:ascii="Arial" w:hAnsi="Arial" w:cs="Arial"/>
                <w:sz w:val="16"/>
                <w:szCs w:val="16"/>
              </w:rPr>
              <w:t>Robert P. Bauer</w:t>
            </w:r>
          </w:p>
        </w:tc>
        <w:tc>
          <w:tcPr>
            <w:tcW w:w="981" w:type="dxa"/>
            <w:tcBorders>
              <w:top w:val="single" w:sz="12" w:space="0" w:color="auto"/>
            </w:tcBorders>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03/13/15</w:t>
            </w:r>
          </w:p>
        </w:tc>
        <w:tc>
          <w:tcPr>
            <w:tcW w:w="6580" w:type="dxa"/>
            <w:tcBorders>
              <w:top w:val="single" w:sz="12" w:space="0" w:color="auto"/>
            </w:tcBorders>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3-year graded vesting; vests 33 1/3% per year over 3-year period</w:t>
            </w:r>
          </w:p>
        </w:tc>
        <w:tc>
          <w:tcPr>
            <w:tcW w:w="912" w:type="dxa"/>
            <w:tcBorders>
              <w:top w:val="single" w:sz="12" w:space="0" w:color="auto"/>
            </w:tcBorders>
            <w:tcMar>
              <w:top w:w="30" w:type="dxa"/>
              <w:left w:w="60" w:type="dxa"/>
              <w:bottom w:w="30" w:type="dxa"/>
              <w:right w:w="60" w:type="dxa"/>
            </w:tcMar>
            <w:vAlign w:val="bottom"/>
          </w:tcPr>
          <w:p w:rsidR="00376768" w:rsidRDefault="00EC2B72">
            <w:pPr>
              <w:jc w:val="center"/>
              <w:rPr>
                <w:rFonts w:ascii="Arial" w:hAnsi="Arial" w:cs="Arial"/>
                <w:sz w:val="16"/>
              </w:rPr>
            </w:pPr>
            <w:r>
              <w:rPr>
                <w:rFonts w:ascii="Arial" w:hAnsi="Arial" w:cs="Arial"/>
                <w:sz w:val="16"/>
                <w:szCs w:val="16"/>
              </w:rPr>
              <w:t>1,534</w:t>
            </w:r>
          </w:p>
        </w:tc>
      </w:tr>
      <w:tr w:rsidR="00376768">
        <w:tc>
          <w:tcPr>
            <w:tcW w:w="2447" w:type="dxa"/>
            <w:tcMar>
              <w:top w:w="30" w:type="dxa"/>
              <w:left w:w="60" w:type="dxa"/>
              <w:bottom w:w="30" w:type="dxa"/>
              <w:right w:w="60" w:type="dxa"/>
            </w:tcMar>
          </w:tcPr>
          <w:p w:rsidR="00376768" w:rsidRDefault="00EC2B72">
            <w:pPr>
              <w:rPr>
                <w:rFonts w:ascii="Arial" w:hAnsi="Arial" w:cs="Arial"/>
                <w:sz w:val="16"/>
              </w:rPr>
            </w:pPr>
            <w:r>
              <w:rPr>
                <w:rFonts w:ascii="Arial" w:hAnsi="Arial" w:cs="Arial"/>
                <w:sz w:val="16"/>
                <w:szCs w:val="16"/>
              </w:rPr>
              <w:t>Christopher T. Scanlon</w:t>
            </w:r>
          </w:p>
        </w:tc>
        <w:tc>
          <w:tcPr>
            <w:tcW w:w="981" w:type="dxa"/>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03/13/15</w:t>
            </w:r>
          </w:p>
        </w:tc>
        <w:tc>
          <w:tcPr>
            <w:tcW w:w="6580" w:type="dxa"/>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3-year graded vesting; vests 33 1/3% per year over 3-year period</w:t>
            </w:r>
          </w:p>
        </w:tc>
        <w:tc>
          <w:tcPr>
            <w:tcW w:w="912" w:type="dxa"/>
            <w:tcMar>
              <w:top w:w="30" w:type="dxa"/>
              <w:left w:w="60" w:type="dxa"/>
              <w:bottom w:w="30" w:type="dxa"/>
              <w:right w:w="60" w:type="dxa"/>
            </w:tcMar>
            <w:vAlign w:val="bottom"/>
          </w:tcPr>
          <w:p w:rsidR="00376768" w:rsidRDefault="00EC2B72">
            <w:pPr>
              <w:jc w:val="center"/>
              <w:rPr>
                <w:rFonts w:ascii="Arial" w:hAnsi="Arial" w:cs="Arial"/>
                <w:sz w:val="16"/>
              </w:rPr>
            </w:pPr>
            <w:r>
              <w:rPr>
                <w:rFonts w:ascii="Arial" w:hAnsi="Arial" w:cs="Arial"/>
                <w:sz w:val="16"/>
                <w:szCs w:val="16"/>
              </w:rPr>
              <w:t>109</w:t>
            </w:r>
          </w:p>
        </w:tc>
      </w:tr>
      <w:tr w:rsidR="00376768">
        <w:tc>
          <w:tcPr>
            <w:tcW w:w="2447" w:type="dxa"/>
            <w:tcMar>
              <w:top w:w="30" w:type="dxa"/>
              <w:left w:w="60" w:type="dxa"/>
              <w:bottom w:w="30" w:type="dxa"/>
              <w:right w:w="60" w:type="dxa"/>
            </w:tcMar>
          </w:tcPr>
          <w:p w:rsidR="00376768" w:rsidRDefault="00EC2B72">
            <w:pPr>
              <w:rPr>
                <w:rFonts w:ascii="Arial" w:hAnsi="Arial" w:cs="Arial"/>
                <w:sz w:val="16"/>
              </w:rPr>
            </w:pPr>
            <w:r>
              <w:rPr>
                <w:rFonts w:ascii="Arial" w:hAnsi="Arial" w:cs="Arial"/>
                <w:sz w:val="16"/>
                <w:szCs w:val="16"/>
              </w:rPr>
              <w:t xml:space="preserve">John F. </w:t>
            </w:r>
            <w:proofErr w:type="spellStart"/>
            <w:r>
              <w:rPr>
                <w:rFonts w:ascii="Arial" w:hAnsi="Arial" w:cs="Arial"/>
                <w:sz w:val="16"/>
                <w:szCs w:val="16"/>
              </w:rPr>
              <w:t>Kasel</w:t>
            </w:r>
            <w:proofErr w:type="spellEnd"/>
          </w:p>
        </w:tc>
        <w:tc>
          <w:tcPr>
            <w:tcW w:w="981" w:type="dxa"/>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03/13/15</w:t>
            </w:r>
          </w:p>
        </w:tc>
        <w:tc>
          <w:tcPr>
            <w:tcW w:w="6580" w:type="dxa"/>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3-year graded vesting; vests 33 1/3% per year over 3-year period</w:t>
            </w:r>
          </w:p>
        </w:tc>
        <w:tc>
          <w:tcPr>
            <w:tcW w:w="912" w:type="dxa"/>
            <w:tcMar>
              <w:top w:w="30" w:type="dxa"/>
              <w:left w:w="60" w:type="dxa"/>
              <w:bottom w:w="30" w:type="dxa"/>
              <w:right w:w="60" w:type="dxa"/>
            </w:tcMar>
            <w:vAlign w:val="bottom"/>
          </w:tcPr>
          <w:p w:rsidR="00376768" w:rsidRDefault="00EC2B72">
            <w:pPr>
              <w:jc w:val="center"/>
              <w:rPr>
                <w:rFonts w:ascii="Arial" w:hAnsi="Arial" w:cs="Arial"/>
                <w:sz w:val="16"/>
              </w:rPr>
            </w:pPr>
            <w:r>
              <w:rPr>
                <w:rFonts w:ascii="Arial" w:hAnsi="Arial" w:cs="Arial"/>
                <w:sz w:val="16"/>
                <w:szCs w:val="16"/>
              </w:rPr>
              <w:t>436</w:t>
            </w:r>
          </w:p>
        </w:tc>
      </w:tr>
      <w:tr w:rsidR="00376768">
        <w:tc>
          <w:tcPr>
            <w:tcW w:w="2447" w:type="dxa"/>
            <w:tcMar>
              <w:top w:w="30" w:type="dxa"/>
              <w:left w:w="60" w:type="dxa"/>
              <w:bottom w:w="30" w:type="dxa"/>
              <w:right w:w="60" w:type="dxa"/>
            </w:tcMar>
          </w:tcPr>
          <w:p w:rsidR="00376768" w:rsidRDefault="00EC2B72">
            <w:pPr>
              <w:rPr>
                <w:rFonts w:ascii="Arial" w:hAnsi="Arial" w:cs="Arial"/>
                <w:sz w:val="16"/>
              </w:rPr>
            </w:pPr>
            <w:r>
              <w:rPr>
                <w:rFonts w:ascii="Arial" w:hAnsi="Arial" w:cs="Arial"/>
                <w:sz w:val="16"/>
                <w:szCs w:val="16"/>
              </w:rPr>
              <w:t xml:space="preserve">Patrick J. </w:t>
            </w:r>
            <w:proofErr w:type="spellStart"/>
            <w:r>
              <w:rPr>
                <w:rFonts w:ascii="Arial" w:hAnsi="Arial" w:cs="Arial"/>
                <w:sz w:val="16"/>
                <w:szCs w:val="16"/>
              </w:rPr>
              <w:t>Guinee</w:t>
            </w:r>
            <w:proofErr w:type="spellEnd"/>
          </w:p>
        </w:tc>
        <w:tc>
          <w:tcPr>
            <w:tcW w:w="981" w:type="dxa"/>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03/13/15</w:t>
            </w:r>
          </w:p>
        </w:tc>
        <w:tc>
          <w:tcPr>
            <w:tcW w:w="6580" w:type="dxa"/>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3-year graded vesting; vests 33 1/3% per year over 3-year period</w:t>
            </w:r>
          </w:p>
        </w:tc>
        <w:tc>
          <w:tcPr>
            <w:tcW w:w="912" w:type="dxa"/>
            <w:tcMar>
              <w:top w:w="30" w:type="dxa"/>
              <w:left w:w="60" w:type="dxa"/>
              <w:bottom w:w="30" w:type="dxa"/>
              <w:right w:w="60" w:type="dxa"/>
            </w:tcMar>
            <w:vAlign w:val="bottom"/>
          </w:tcPr>
          <w:p w:rsidR="00376768" w:rsidRDefault="00EC2B72">
            <w:pPr>
              <w:jc w:val="center"/>
              <w:rPr>
                <w:rFonts w:ascii="Arial" w:hAnsi="Arial" w:cs="Arial"/>
                <w:sz w:val="16"/>
              </w:rPr>
            </w:pPr>
            <w:r>
              <w:rPr>
                <w:rFonts w:ascii="Arial" w:hAnsi="Arial" w:cs="Arial"/>
                <w:sz w:val="16"/>
                <w:szCs w:val="16"/>
              </w:rPr>
              <w:t>252</w:t>
            </w:r>
          </w:p>
        </w:tc>
      </w:tr>
      <w:tr w:rsidR="00376768">
        <w:tc>
          <w:tcPr>
            <w:tcW w:w="2447" w:type="dxa"/>
            <w:tcMar>
              <w:top w:w="30" w:type="dxa"/>
              <w:left w:w="60" w:type="dxa"/>
              <w:bottom w:w="30" w:type="dxa"/>
              <w:right w:w="60" w:type="dxa"/>
            </w:tcMar>
          </w:tcPr>
          <w:p w:rsidR="00376768" w:rsidRDefault="00EC2B72">
            <w:pPr>
              <w:rPr>
                <w:rFonts w:ascii="Arial" w:hAnsi="Arial" w:cs="Arial"/>
                <w:sz w:val="16"/>
              </w:rPr>
            </w:pPr>
            <w:r>
              <w:rPr>
                <w:rFonts w:ascii="Arial" w:hAnsi="Arial" w:cs="Arial"/>
                <w:sz w:val="16"/>
                <w:szCs w:val="16"/>
              </w:rPr>
              <w:t>Brian H. Kelly</w:t>
            </w:r>
          </w:p>
        </w:tc>
        <w:tc>
          <w:tcPr>
            <w:tcW w:w="981" w:type="dxa"/>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03/13/15</w:t>
            </w:r>
          </w:p>
        </w:tc>
        <w:tc>
          <w:tcPr>
            <w:tcW w:w="6580" w:type="dxa"/>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3-year graded vesting; vests 33 1/3% per year over 3-year period</w:t>
            </w:r>
          </w:p>
        </w:tc>
        <w:tc>
          <w:tcPr>
            <w:tcW w:w="912" w:type="dxa"/>
            <w:tcMar>
              <w:top w:w="30" w:type="dxa"/>
              <w:left w:w="60" w:type="dxa"/>
              <w:bottom w:w="30" w:type="dxa"/>
              <w:right w:w="60" w:type="dxa"/>
            </w:tcMar>
            <w:vAlign w:val="bottom"/>
          </w:tcPr>
          <w:p w:rsidR="00376768" w:rsidRDefault="00EC2B72">
            <w:pPr>
              <w:jc w:val="center"/>
              <w:rPr>
                <w:rFonts w:ascii="Arial" w:hAnsi="Arial" w:cs="Arial"/>
                <w:sz w:val="16"/>
              </w:rPr>
            </w:pPr>
            <w:r>
              <w:rPr>
                <w:rFonts w:ascii="Arial" w:hAnsi="Arial" w:cs="Arial"/>
                <w:sz w:val="16"/>
                <w:szCs w:val="16"/>
              </w:rPr>
              <w:t>269</w:t>
            </w:r>
          </w:p>
        </w:tc>
      </w:tr>
    </w:tbl>
    <w:p w:rsidR="00376768" w:rsidRDefault="00376768">
      <w:pPr>
        <w:rPr>
          <w:sz w:val="2"/>
        </w:rPr>
      </w:pPr>
    </w:p>
    <w:tbl>
      <w:tblPr>
        <w:tblW w:w="5000" w:type="pct"/>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47"/>
        <w:gridCol w:w="981"/>
        <w:gridCol w:w="6580"/>
        <w:gridCol w:w="912"/>
      </w:tblGrid>
      <w:tr w:rsidR="00376768">
        <w:tc>
          <w:tcPr>
            <w:tcW w:w="10920" w:type="dxa"/>
            <w:gridSpan w:val="4"/>
            <w:tcBorders>
              <w:top w:val="nil"/>
              <w:left w:val="nil"/>
              <w:bottom w:val="single" w:sz="12" w:space="0" w:color="auto"/>
              <w:right w:val="nil"/>
            </w:tcBorders>
            <w:tcMar>
              <w:top w:w="30" w:type="dxa"/>
              <w:left w:w="60" w:type="dxa"/>
              <w:bottom w:w="30" w:type="dxa"/>
              <w:right w:w="60" w:type="dxa"/>
            </w:tcMar>
          </w:tcPr>
          <w:p w:rsidR="00376768" w:rsidRDefault="00EC2B72">
            <w:pPr>
              <w:rPr>
                <w:rFonts w:ascii="Arial" w:hAnsi="Arial" w:cs="Arial"/>
                <w:b/>
                <w:bCs/>
                <w:sz w:val="16"/>
              </w:rPr>
            </w:pPr>
            <w:r>
              <w:rPr>
                <w:rFonts w:ascii="Arial" w:hAnsi="Arial" w:cs="Arial"/>
                <w:b/>
                <w:bCs/>
                <w:sz w:val="16"/>
                <w:szCs w:val="16"/>
              </w:rPr>
              <w:t>2016 Restricted Stock Awards:</w:t>
            </w:r>
          </w:p>
        </w:tc>
      </w:tr>
      <w:tr w:rsidR="00376768">
        <w:tc>
          <w:tcPr>
            <w:tcW w:w="2447" w:type="dxa"/>
            <w:tcBorders>
              <w:top w:val="single" w:sz="12" w:space="0" w:color="auto"/>
            </w:tcBorders>
            <w:tcMar>
              <w:top w:w="30" w:type="dxa"/>
              <w:left w:w="60" w:type="dxa"/>
              <w:bottom w:w="30" w:type="dxa"/>
              <w:right w:w="60" w:type="dxa"/>
            </w:tcMar>
          </w:tcPr>
          <w:p w:rsidR="00376768" w:rsidRDefault="00EC2B72">
            <w:pPr>
              <w:rPr>
                <w:rFonts w:ascii="Arial" w:hAnsi="Arial" w:cs="Arial"/>
                <w:sz w:val="16"/>
              </w:rPr>
            </w:pPr>
            <w:r>
              <w:rPr>
                <w:rFonts w:ascii="Arial" w:hAnsi="Arial" w:cs="Arial"/>
                <w:sz w:val="16"/>
                <w:szCs w:val="16"/>
              </w:rPr>
              <w:t>Robert P. Bauer</w:t>
            </w:r>
          </w:p>
        </w:tc>
        <w:tc>
          <w:tcPr>
            <w:tcW w:w="981" w:type="dxa"/>
            <w:tcBorders>
              <w:top w:val="single" w:sz="12" w:space="0" w:color="auto"/>
            </w:tcBorders>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01/25/16</w:t>
            </w:r>
          </w:p>
        </w:tc>
        <w:tc>
          <w:tcPr>
            <w:tcW w:w="6580" w:type="dxa"/>
            <w:tcBorders>
              <w:top w:val="single" w:sz="12" w:space="0" w:color="auto"/>
            </w:tcBorders>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3-year graded vesting; vests 33 1/3% per year over 3-year period</w:t>
            </w:r>
          </w:p>
        </w:tc>
        <w:tc>
          <w:tcPr>
            <w:tcW w:w="912" w:type="dxa"/>
            <w:tcBorders>
              <w:top w:val="single" w:sz="12" w:space="0" w:color="auto"/>
            </w:tcBorders>
            <w:tcMar>
              <w:top w:w="30" w:type="dxa"/>
              <w:left w:w="60" w:type="dxa"/>
              <w:bottom w:w="30" w:type="dxa"/>
              <w:right w:w="60" w:type="dxa"/>
            </w:tcMar>
            <w:vAlign w:val="bottom"/>
          </w:tcPr>
          <w:p w:rsidR="00376768" w:rsidRDefault="00EC2B72">
            <w:pPr>
              <w:jc w:val="center"/>
              <w:rPr>
                <w:rFonts w:ascii="Arial" w:hAnsi="Arial" w:cs="Arial"/>
                <w:sz w:val="16"/>
              </w:rPr>
            </w:pPr>
            <w:r>
              <w:rPr>
                <w:rFonts w:ascii="Arial" w:hAnsi="Arial" w:cs="Arial"/>
                <w:sz w:val="16"/>
                <w:szCs w:val="16"/>
              </w:rPr>
              <w:t>4,142</w:t>
            </w:r>
          </w:p>
        </w:tc>
      </w:tr>
      <w:tr w:rsidR="00376768">
        <w:tc>
          <w:tcPr>
            <w:tcW w:w="2447" w:type="dxa"/>
            <w:tcMar>
              <w:top w:w="30" w:type="dxa"/>
              <w:left w:w="60" w:type="dxa"/>
              <w:bottom w:w="30" w:type="dxa"/>
              <w:right w:w="60" w:type="dxa"/>
            </w:tcMar>
          </w:tcPr>
          <w:p w:rsidR="00376768" w:rsidRDefault="00EC2B72">
            <w:pPr>
              <w:rPr>
                <w:rFonts w:ascii="Arial" w:hAnsi="Arial" w:cs="Arial"/>
                <w:sz w:val="16"/>
              </w:rPr>
            </w:pPr>
            <w:r>
              <w:rPr>
                <w:rFonts w:ascii="Arial" w:hAnsi="Arial" w:cs="Arial"/>
                <w:sz w:val="16"/>
                <w:szCs w:val="16"/>
              </w:rPr>
              <w:t>Christopher T. Scanlon</w:t>
            </w:r>
          </w:p>
        </w:tc>
        <w:tc>
          <w:tcPr>
            <w:tcW w:w="981" w:type="dxa"/>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02/17/16</w:t>
            </w:r>
          </w:p>
        </w:tc>
        <w:tc>
          <w:tcPr>
            <w:tcW w:w="6580" w:type="dxa"/>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3-year graded vesting; vests 33 1/3% per year over 3-year period</w:t>
            </w:r>
          </w:p>
        </w:tc>
        <w:tc>
          <w:tcPr>
            <w:tcW w:w="912" w:type="dxa"/>
            <w:tcMar>
              <w:top w:w="30" w:type="dxa"/>
              <w:left w:w="60" w:type="dxa"/>
              <w:bottom w:w="30" w:type="dxa"/>
              <w:right w:w="60" w:type="dxa"/>
            </w:tcMar>
            <w:vAlign w:val="bottom"/>
          </w:tcPr>
          <w:p w:rsidR="00376768" w:rsidRDefault="00EC2B72">
            <w:pPr>
              <w:jc w:val="center"/>
              <w:rPr>
                <w:rFonts w:ascii="Arial" w:hAnsi="Arial" w:cs="Arial"/>
                <w:sz w:val="16"/>
              </w:rPr>
            </w:pPr>
            <w:r>
              <w:rPr>
                <w:rFonts w:ascii="Arial" w:hAnsi="Arial" w:cs="Arial"/>
                <w:sz w:val="16"/>
                <w:szCs w:val="16"/>
              </w:rPr>
              <w:t>1,006</w:t>
            </w:r>
          </w:p>
        </w:tc>
      </w:tr>
      <w:tr w:rsidR="00376768">
        <w:tc>
          <w:tcPr>
            <w:tcW w:w="2447" w:type="dxa"/>
            <w:tcMar>
              <w:top w:w="30" w:type="dxa"/>
              <w:left w:w="60" w:type="dxa"/>
              <w:bottom w:w="30" w:type="dxa"/>
              <w:right w:w="60" w:type="dxa"/>
            </w:tcMar>
          </w:tcPr>
          <w:p w:rsidR="00376768" w:rsidRDefault="00EC2B72">
            <w:pPr>
              <w:rPr>
                <w:rFonts w:ascii="Arial" w:hAnsi="Arial" w:cs="Arial"/>
                <w:sz w:val="16"/>
              </w:rPr>
            </w:pPr>
            <w:r>
              <w:rPr>
                <w:rFonts w:ascii="Arial" w:hAnsi="Arial" w:cs="Arial"/>
                <w:sz w:val="16"/>
                <w:szCs w:val="16"/>
              </w:rPr>
              <w:t xml:space="preserve">John F. </w:t>
            </w:r>
            <w:proofErr w:type="spellStart"/>
            <w:r>
              <w:rPr>
                <w:rFonts w:ascii="Arial" w:hAnsi="Arial" w:cs="Arial"/>
                <w:sz w:val="16"/>
                <w:szCs w:val="16"/>
              </w:rPr>
              <w:t>Kasel</w:t>
            </w:r>
            <w:proofErr w:type="spellEnd"/>
          </w:p>
        </w:tc>
        <w:tc>
          <w:tcPr>
            <w:tcW w:w="981" w:type="dxa"/>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02/17/16</w:t>
            </w:r>
          </w:p>
        </w:tc>
        <w:tc>
          <w:tcPr>
            <w:tcW w:w="6580" w:type="dxa"/>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3-year graded vesting; vests 33 1/3% per year over 3-year period</w:t>
            </w:r>
          </w:p>
        </w:tc>
        <w:tc>
          <w:tcPr>
            <w:tcW w:w="912" w:type="dxa"/>
            <w:tcMar>
              <w:top w:w="30" w:type="dxa"/>
              <w:left w:w="60" w:type="dxa"/>
              <w:bottom w:w="30" w:type="dxa"/>
              <w:right w:w="60" w:type="dxa"/>
            </w:tcMar>
            <w:vAlign w:val="bottom"/>
          </w:tcPr>
          <w:p w:rsidR="00376768" w:rsidRDefault="00EC2B72">
            <w:pPr>
              <w:jc w:val="center"/>
              <w:rPr>
                <w:rFonts w:ascii="Arial" w:hAnsi="Arial" w:cs="Arial"/>
                <w:sz w:val="16"/>
              </w:rPr>
            </w:pPr>
            <w:r>
              <w:rPr>
                <w:rFonts w:ascii="Arial" w:hAnsi="Arial" w:cs="Arial"/>
                <w:sz w:val="16"/>
                <w:szCs w:val="16"/>
              </w:rPr>
              <w:t>3,305</w:t>
            </w:r>
          </w:p>
        </w:tc>
      </w:tr>
      <w:tr w:rsidR="00376768">
        <w:tc>
          <w:tcPr>
            <w:tcW w:w="2447" w:type="dxa"/>
            <w:tcMar>
              <w:top w:w="30" w:type="dxa"/>
              <w:left w:w="60" w:type="dxa"/>
              <w:bottom w:w="30" w:type="dxa"/>
              <w:right w:w="60" w:type="dxa"/>
            </w:tcMar>
          </w:tcPr>
          <w:p w:rsidR="00376768" w:rsidRDefault="00EC2B72">
            <w:pPr>
              <w:rPr>
                <w:rFonts w:ascii="Arial" w:hAnsi="Arial" w:cs="Arial"/>
                <w:sz w:val="16"/>
              </w:rPr>
            </w:pPr>
            <w:r>
              <w:rPr>
                <w:rFonts w:ascii="Arial" w:hAnsi="Arial" w:cs="Arial"/>
                <w:sz w:val="16"/>
                <w:szCs w:val="16"/>
              </w:rPr>
              <w:t xml:space="preserve">Patrick J. </w:t>
            </w:r>
            <w:proofErr w:type="spellStart"/>
            <w:r>
              <w:rPr>
                <w:rFonts w:ascii="Arial" w:hAnsi="Arial" w:cs="Arial"/>
                <w:sz w:val="16"/>
                <w:szCs w:val="16"/>
              </w:rPr>
              <w:t>Guinee</w:t>
            </w:r>
            <w:proofErr w:type="spellEnd"/>
          </w:p>
        </w:tc>
        <w:tc>
          <w:tcPr>
            <w:tcW w:w="981" w:type="dxa"/>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02/17/16</w:t>
            </w:r>
          </w:p>
        </w:tc>
        <w:tc>
          <w:tcPr>
            <w:tcW w:w="6580" w:type="dxa"/>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3-year graded vesting; vests 33 1/3% per year over 3-year period</w:t>
            </w:r>
          </w:p>
        </w:tc>
        <w:tc>
          <w:tcPr>
            <w:tcW w:w="912" w:type="dxa"/>
            <w:tcMar>
              <w:top w:w="30" w:type="dxa"/>
              <w:left w:w="60" w:type="dxa"/>
              <w:bottom w:w="30" w:type="dxa"/>
              <w:right w:w="60" w:type="dxa"/>
            </w:tcMar>
            <w:vAlign w:val="bottom"/>
          </w:tcPr>
          <w:p w:rsidR="00376768" w:rsidRDefault="00EC2B72">
            <w:pPr>
              <w:jc w:val="center"/>
              <w:rPr>
                <w:rFonts w:ascii="Arial" w:hAnsi="Arial" w:cs="Arial"/>
                <w:sz w:val="16"/>
              </w:rPr>
            </w:pPr>
            <w:r>
              <w:rPr>
                <w:rFonts w:ascii="Arial" w:hAnsi="Arial" w:cs="Arial"/>
                <w:sz w:val="16"/>
                <w:szCs w:val="16"/>
              </w:rPr>
              <w:t>2,299</w:t>
            </w:r>
          </w:p>
        </w:tc>
      </w:tr>
      <w:tr w:rsidR="00376768">
        <w:tc>
          <w:tcPr>
            <w:tcW w:w="2447" w:type="dxa"/>
            <w:tcMar>
              <w:top w:w="30" w:type="dxa"/>
              <w:left w:w="60" w:type="dxa"/>
              <w:bottom w:w="30" w:type="dxa"/>
              <w:right w:w="60" w:type="dxa"/>
            </w:tcMar>
          </w:tcPr>
          <w:p w:rsidR="00376768" w:rsidRDefault="00EC2B72">
            <w:pPr>
              <w:rPr>
                <w:rFonts w:ascii="Arial" w:hAnsi="Arial" w:cs="Arial"/>
                <w:sz w:val="16"/>
              </w:rPr>
            </w:pPr>
            <w:r>
              <w:rPr>
                <w:rFonts w:ascii="Arial" w:hAnsi="Arial" w:cs="Arial"/>
                <w:sz w:val="16"/>
                <w:szCs w:val="16"/>
              </w:rPr>
              <w:t>Brian H. Kelly</w:t>
            </w:r>
          </w:p>
        </w:tc>
        <w:tc>
          <w:tcPr>
            <w:tcW w:w="981" w:type="dxa"/>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02/17/16</w:t>
            </w:r>
          </w:p>
        </w:tc>
        <w:tc>
          <w:tcPr>
            <w:tcW w:w="6580" w:type="dxa"/>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3-year graded vesting; vests 33 1/3% per year over 3-year period</w:t>
            </w:r>
          </w:p>
        </w:tc>
        <w:tc>
          <w:tcPr>
            <w:tcW w:w="912" w:type="dxa"/>
            <w:tcMar>
              <w:top w:w="30" w:type="dxa"/>
              <w:left w:w="60" w:type="dxa"/>
              <w:bottom w:w="30" w:type="dxa"/>
              <w:right w:w="60" w:type="dxa"/>
            </w:tcMar>
            <w:vAlign w:val="bottom"/>
          </w:tcPr>
          <w:p w:rsidR="00376768" w:rsidRDefault="00EC2B72">
            <w:pPr>
              <w:jc w:val="center"/>
              <w:rPr>
                <w:rFonts w:ascii="Arial" w:hAnsi="Arial" w:cs="Arial"/>
                <w:sz w:val="16"/>
              </w:rPr>
            </w:pPr>
            <w:r>
              <w:rPr>
                <w:rFonts w:ascii="Arial" w:hAnsi="Arial" w:cs="Arial"/>
                <w:sz w:val="16"/>
                <w:szCs w:val="16"/>
              </w:rPr>
              <w:t>2,156</w:t>
            </w:r>
          </w:p>
        </w:tc>
      </w:tr>
    </w:tbl>
    <w:p w:rsidR="00376768" w:rsidRDefault="00376768">
      <w:pPr>
        <w:rPr>
          <w:sz w:val="2"/>
        </w:rPr>
      </w:pPr>
    </w:p>
    <w:tbl>
      <w:tblPr>
        <w:tblW w:w="5000" w:type="pct"/>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47"/>
        <w:gridCol w:w="981"/>
        <w:gridCol w:w="6580"/>
        <w:gridCol w:w="912"/>
      </w:tblGrid>
      <w:tr w:rsidR="00376768">
        <w:tc>
          <w:tcPr>
            <w:tcW w:w="10920" w:type="dxa"/>
            <w:gridSpan w:val="4"/>
            <w:tcBorders>
              <w:top w:val="nil"/>
              <w:left w:val="nil"/>
              <w:bottom w:val="single" w:sz="12" w:space="0" w:color="auto"/>
              <w:right w:val="nil"/>
            </w:tcBorders>
            <w:tcMar>
              <w:top w:w="30" w:type="dxa"/>
              <w:left w:w="60" w:type="dxa"/>
              <w:bottom w:w="30" w:type="dxa"/>
              <w:right w:w="60" w:type="dxa"/>
            </w:tcMar>
          </w:tcPr>
          <w:p w:rsidR="00376768" w:rsidRDefault="00EC2B72">
            <w:pPr>
              <w:rPr>
                <w:rFonts w:ascii="Arial" w:hAnsi="Arial" w:cs="Arial"/>
                <w:b/>
                <w:bCs/>
                <w:sz w:val="16"/>
              </w:rPr>
            </w:pPr>
            <w:r>
              <w:rPr>
                <w:rFonts w:ascii="Arial" w:hAnsi="Arial" w:cs="Arial"/>
                <w:b/>
                <w:bCs/>
                <w:sz w:val="16"/>
                <w:szCs w:val="16"/>
              </w:rPr>
              <w:t>2017 Restricted Stock Awards:</w:t>
            </w:r>
          </w:p>
        </w:tc>
      </w:tr>
      <w:tr w:rsidR="00376768">
        <w:tc>
          <w:tcPr>
            <w:tcW w:w="2447" w:type="dxa"/>
            <w:tcBorders>
              <w:top w:val="single" w:sz="12" w:space="0" w:color="auto"/>
            </w:tcBorders>
            <w:tcMar>
              <w:top w:w="30" w:type="dxa"/>
              <w:left w:w="60" w:type="dxa"/>
              <w:bottom w:w="30" w:type="dxa"/>
              <w:right w:w="60" w:type="dxa"/>
            </w:tcMar>
          </w:tcPr>
          <w:p w:rsidR="00376768" w:rsidRDefault="00EC2B72">
            <w:pPr>
              <w:rPr>
                <w:rFonts w:ascii="Arial" w:hAnsi="Arial" w:cs="Arial"/>
                <w:sz w:val="16"/>
              </w:rPr>
            </w:pPr>
            <w:r>
              <w:rPr>
                <w:rFonts w:ascii="Arial" w:hAnsi="Arial" w:cs="Arial"/>
                <w:sz w:val="16"/>
                <w:szCs w:val="16"/>
              </w:rPr>
              <w:t>Robert P. Bauer</w:t>
            </w:r>
          </w:p>
        </w:tc>
        <w:tc>
          <w:tcPr>
            <w:tcW w:w="981" w:type="dxa"/>
            <w:tcBorders>
              <w:top w:val="single" w:sz="12" w:space="0" w:color="auto"/>
            </w:tcBorders>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02/22/17</w:t>
            </w:r>
          </w:p>
        </w:tc>
        <w:tc>
          <w:tcPr>
            <w:tcW w:w="6580" w:type="dxa"/>
            <w:tcBorders>
              <w:top w:val="single" w:sz="12" w:space="0" w:color="auto"/>
            </w:tcBorders>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3-year graded vesting; vests 33 1/3% per year over 3-year period</w:t>
            </w:r>
          </w:p>
        </w:tc>
        <w:tc>
          <w:tcPr>
            <w:tcW w:w="912" w:type="dxa"/>
            <w:tcBorders>
              <w:top w:val="single" w:sz="12" w:space="0" w:color="auto"/>
            </w:tcBorders>
            <w:tcMar>
              <w:top w:w="30" w:type="dxa"/>
              <w:left w:w="60" w:type="dxa"/>
              <w:bottom w:w="30" w:type="dxa"/>
              <w:right w:w="60" w:type="dxa"/>
            </w:tcMar>
            <w:vAlign w:val="bottom"/>
          </w:tcPr>
          <w:p w:rsidR="00376768" w:rsidRDefault="00EC2B72">
            <w:pPr>
              <w:jc w:val="center"/>
              <w:rPr>
                <w:rFonts w:ascii="Arial" w:hAnsi="Arial" w:cs="Arial"/>
                <w:sz w:val="16"/>
              </w:rPr>
            </w:pPr>
            <w:r>
              <w:rPr>
                <w:rFonts w:ascii="Arial" w:hAnsi="Arial" w:cs="Arial"/>
                <w:sz w:val="16"/>
                <w:szCs w:val="16"/>
              </w:rPr>
              <w:t>12,350</w:t>
            </w:r>
          </w:p>
        </w:tc>
      </w:tr>
      <w:tr w:rsidR="00376768">
        <w:tc>
          <w:tcPr>
            <w:tcW w:w="2447" w:type="dxa"/>
            <w:tcMar>
              <w:top w:w="30" w:type="dxa"/>
              <w:left w:w="60" w:type="dxa"/>
              <w:bottom w:w="30" w:type="dxa"/>
              <w:right w:w="60" w:type="dxa"/>
            </w:tcMar>
          </w:tcPr>
          <w:p w:rsidR="00376768" w:rsidRDefault="00EC2B72">
            <w:pPr>
              <w:rPr>
                <w:rFonts w:ascii="Arial" w:hAnsi="Arial" w:cs="Arial"/>
                <w:sz w:val="16"/>
              </w:rPr>
            </w:pPr>
            <w:r>
              <w:rPr>
                <w:rFonts w:ascii="Arial" w:hAnsi="Arial" w:cs="Arial"/>
                <w:sz w:val="16"/>
                <w:szCs w:val="16"/>
              </w:rPr>
              <w:t>James P. Maloney</w:t>
            </w:r>
          </w:p>
        </w:tc>
        <w:tc>
          <w:tcPr>
            <w:tcW w:w="981" w:type="dxa"/>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09/18/17</w:t>
            </w:r>
          </w:p>
        </w:tc>
        <w:tc>
          <w:tcPr>
            <w:tcW w:w="6580" w:type="dxa"/>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3-year graded vesting; vests 33 1/3% per year over 3-year period</w:t>
            </w:r>
          </w:p>
        </w:tc>
        <w:tc>
          <w:tcPr>
            <w:tcW w:w="912" w:type="dxa"/>
            <w:tcMar>
              <w:top w:w="30" w:type="dxa"/>
              <w:left w:w="60" w:type="dxa"/>
              <w:bottom w:w="30" w:type="dxa"/>
              <w:right w:w="60" w:type="dxa"/>
            </w:tcMar>
            <w:vAlign w:val="bottom"/>
          </w:tcPr>
          <w:p w:rsidR="00376768" w:rsidRDefault="00EC2B72">
            <w:pPr>
              <w:jc w:val="center"/>
              <w:rPr>
                <w:rFonts w:ascii="Arial" w:hAnsi="Arial" w:cs="Arial"/>
                <w:sz w:val="16"/>
              </w:rPr>
            </w:pPr>
            <w:r>
              <w:rPr>
                <w:rFonts w:ascii="Arial" w:hAnsi="Arial" w:cs="Arial"/>
                <w:sz w:val="16"/>
                <w:szCs w:val="16"/>
              </w:rPr>
              <w:t>2,792</w:t>
            </w:r>
          </w:p>
        </w:tc>
      </w:tr>
      <w:tr w:rsidR="00376768">
        <w:tc>
          <w:tcPr>
            <w:tcW w:w="2447" w:type="dxa"/>
            <w:tcMar>
              <w:top w:w="30" w:type="dxa"/>
              <w:left w:w="60" w:type="dxa"/>
              <w:bottom w:w="30" w:type="dxa"/>
              <w:right w:w="60" w:type="dxa"/>
            </w:tcMar>
          </w:tcPr>
          <w:p w:rsidR="00376768" w:rsidRDefault="00EC2B72">
            <w:pPr>
              <w:rPr>
                <w:rFonts w:ascii="Arial" w:hAnsi="Arial" w:cs="Arial"/>
                <w:sz w:val="16"/>
              </w:rPr>
            </w:pPr>
            <w:r>
              <w:rPr>
                <w:rFonts w:ascii="Arial" w:hAnsi="Arial" w:cs="Arial"/>
                <w:sz w:val="16"/>
                <w:szCs w:val="16"/>
              </w:rPr>
              <w:t>Christopher T. Scanlon</w:t>
            </w:r>
          </w:p>
        </w:tc>
        <w:tc>
          <w:tcPr>
            <w:tcW w:w="981" w:type="dxa"/>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02/14/17</w:t>
            </w:r>
          </w:p>
        </w:tc>
        <w:tc>
          <w:tcPr>
            <w:tcW w:w="6580" w:type="dxa"/>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4-year graded vesting; vests 50% on the second year and 25% on the third and fourth year</w:t>
            </w:r>
          </w:p>
        </w:tc>
        <w:tc>
          <w:tcPr>
            <w:tcW w:w="912" w:type="dxa"/>
            <w:tcMar>
              <w:top w:w="30" w:type="dxa"/>
              <w:left w:w="60" w:type="dxa"/>
              <w:bottom w:w="30" w:type="dxa"/>
              <w:right w:w="60" w:type="dxa"/>
            </w:tcMar>
            <w:vAlign w:val="bottom"/>
          </w:tcPr>
          <w:p w:rsidR="00376768" w:rsidRDefault="00EC2B72">
            <w:pPr>
              <w:jc w:val="center"/>
              <w:rPr>
                <w:rFonts w:ascii="Arial" w:hAnsi="Arial" w:cs="Arial"/>
                <w:sz w:val="16"/>
              </w:rPr>
            </w:pPr>
            <w:r>
              <w:rPr>
                <w:rFonts w:ascii="Arial" w:hAnsi="Arial" w:cs="Arial"/>
                <w:sz w:val="16"/>
                <w:szCs w:val="16"/>
              </w:rPr>
              <w:t>8,000</w:t>
            </w:r>
          </w:p>
        </w:tc>
      </w:tr>
      <w:tr w:rsidR="00376768">
        <w:tc>
          <w:tcPr>
            <w:tcW w:w="2447" w:type="dxa"/>
            <w:tcMar>
              <w:top w:w="30" w:type="dxa"/>
              <w:left w:w="60" w:type="dxa"/>
              <w:bottom w:w="30" w:type="dxa"/>
              <w:right w:w="60" w:type="dxa"/>
            </w:tcMar>
          </w:tcPr>
          <w:p w:rsidR="00376768" w:rsidRDefault="00EC2B72">
            <w:pPr>
              <w:rPr>
                <w:rFonts w:ascii="Arial" w:hAnsi="Arial" w:cs="Arial"/>
                <w:sz w:val="16"/>
              </w:rPr>
            </w:pPr>
            <w:r>
              <w:rPr>
                <w:rFonts w:ascii="Arial" w:hAnsi="Arial" w:cs="Arial"/>
                <w:sz w:val="16"/>
                <w:szCs w:val="16"/>
              </w:rPr>
              <w:t>Christopher T. Scanlon</w:t>
            </w:r>
          </w:p>
        </w:tc>
        <w:tc>
          <w:tcPr>
            <w:tcW w:w="981" w:type="dxa"/>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02/22/17</w:t>
            </w:r>
          </w:p>
        </w:tc>
        <w:tc>
          <w:tcPr>
            <w:tcW w:w="6580" w:type="dxa"/>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3-year graded vesting; vests 33 1/3% per year over 3-year period</w:t>
            </w:r>
          </w:p>
        </w:tc>
        <w:tc>
          <w:tcPr>
            <w:tcW w:w="912" w:type="dxa"/>
            <w:tcMar>
              <w:top w:w="30" w:type="dxa"/>
              <w:left w:w="60" w:type="dxa"/>
              <w:bottom w:w="30" w:type="dxa"/>
              <w:right w:w="60" w:type="dxa"/>
            </w:tcMar>
            <w:vAlign w:val="bottom"/>
          </w:tcPr>
          <w:p w:rsidR="00376768" w:rsidRDefault="00EC2B72">
            <w:pPr>
              <w:jc w:val="center"/>
              <w:rPr>
                <w:rFonts w:ascii="Arial" w:hAnsi="Arial" w:cs="Arial"/>
                <w:sz w:val="16"/>
              </w:rPr>
            </w:pPr>
            <w:r>
              <w:rPr>
                <w:rFonts w:ascii="Arial" w:hAnsi="Arial" w:cs="Arial"/>
                <w:sz w:val="16"/>
                <w:szCs w:val="16"/>
              </w:rPr>
              <w:t>1,588</w:t>
            </w:r>
          </w:p>
        </w:tc>
      </w:tr>
      <w:tr w:rsidR="00376768">
        <w:tc>
          <w:tcPr>
            <w:tcW w:w="2447" w:type="dxa"/>
            <w:tcMar>
              <w:top w:w="30" w:type="dxa"/>
              <w:left w:w="60" w:type="dxa"/>
              <w:bottom w:w="30" w:type="dxa"/>
              <w:right w:w="60" w:type="dxa"/>
            </w:tcMar>
          </w:tcPr>
          <w:p w:rsidR="00376768" w:rsidRDefault="00EC2B72">
            <w:pPr>
              <w:rPr>
                <w:rFonts w:ascii="Arial" w:hAnsi="Arial" w:cs="Arial"/>
                <w:sz w:val="16"/>
              </w:rPr>
            </w:pPr>
            <w:r>
              <w:rPr>
                <w:rFonts w:ascii="Arial" w:hAnsi="Arial" w:cs="Arial"/>
                <w:sz w:val="16"/>
                <w:szCs w:val="16"/>
              </w:rPr>
              <w:t xml:space="preserve">John F. </w:t>
            </w:r>
            <w:proofErr w:type="spellStart"/>
            <w:r>
              <w:rPr>
                <w:rFonts w:ascii="Arial" w:hAnsi="Arial" w:cs="Arial"/>
                <w:sz w:val="16"/>
                <w:szCs w:val="16"/>
              </w:rPr>
              <w:t>Kasel</w:t>
            </w:r>
            <w:proofErr w:type="spellEnd"/>
          </w:p>
        </w:tc>
        <w:tc>
          <w:tcPr>
            <w:tcW w:w="981" w:type="dxa"/>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02/14/17</w:t>
            </w:r>
          </w:p>
        </w:tc>
        <w:tc>
          <w:tcPr>
            <w:tcW w:w="6580" w:type="dxa"/>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4-year graded vesting; vests 50% on the second year and 25% on the third and fourth year</w:t>
            </w:r>
          </w:p>
        </w:tc>
        <w:tc>
          <w:tcPr>
            <w:tcW w:w="912" w:type="dxa"/>
            <w:tcMar>
              <w:top w:w="30" w:type="dxa"/>
              <w:left w:w="60" w:type="dxa"/>
              <w:bottom w:w="30" w:type="dxa"/>
              <w:right w:w="60" w:type="dxa"/>
            </w:tcMar>
            <w:vAlign w:val="bottom"/>
          </w:tcPr>
          <w:p w:rsidR="00376768" w:rsidRDefault="00EC2B72">
            <w:pPr>
              <w:jc w:val="center"/>
              <w:rPr>
                <w:rFonts w:ascii="Arial" w:hAnsi="Arial" w:cs="Arial"/>
                <w:sz w:val="16"/>
              </w:rPr>
            </w:pPr>
            <w:r>
              <w:rPr>
                <w:rFonts w:ascii="Arial" w:hAnsi="Arial" w:cs="Arial"/>
                <w:sz w:val="16"/>
                <w:szCs w:val="16"/>
              </w:rPr>
              <w:t>15,000</w:t>
            </w:r>
          </w:p>
        </w:tc>
      </w:tr>
      <w:tr w:rsidR="00376768">
        <w:tc>
          <w:tcPr>
            <w:tcW w:w="2447" w:type="dxa"/>
            <w:tcMar>
              <w:top w:w="30" w:type="dxa"/>
              <w:left w:w="60" w:type="dxa"/>
              <w:bottom w:w="30" w:type="dxa"/>
              <w:right w:w="60" w:type="dxa"/>
            </w:tcMar>
          </w:tcPr>
          <w:p w:rsidR="00376768" w:rsidRDefault="00EC2B72">
            <w:pPr>
              <w:rPr>
                <w:rFonts w:ascii="Arial" w:hAnsi="Arial" w:cs="Arial"/>
                <w:sz w:val="16"/>
              </w:rPr>
            </w:pPr>
            <w:r>
              <w:rPr>
                <w:rFonts w:ascii="Arial" w:hAnsi="Arial" w:cs="Arial"/>
                <w:sz w:val="16"/>
                <w:szCs w:val="16"/>
              </w:rPr>
              <w:t xml:space="preserve">John F. </w:t>
            </w:r>
            <w:proofErr w:type="spellStart"/>
            <w:r>
              <w:rPr>
                <w:rFonts w:ascii="Arial" w:hAnsi="Arial" w:cs="Arial"/>
                <w:sz w:val="16"/>
                <w:szCs w:val="16"/>
              </w:rPr>
              <w:t>Kasel</w:t>
            </w:r>
            <w:proofErr w:type="spellEnd"/>
          </w:p>
        </w:tc>
        <w:tc>
          <w:tcPr>
            <w:tcW w:w="981" w:type="dxa"/>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02/22/17</w:t>
            </w:r>
          </w:p>
        </w:tc>
        <w:tc>
          <w:tcPr>
            <w:tcW w:w="6580" w:type="dxa"/>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3-year graded vesting; vests 33 1/3% per year over 3-year period</w:t>
            </w:r>
          </w:p>
        </w:tc>
        <w:tc>
          <w:tcPr>
            <w:tcW w:w="912" w:type="dxa"/>
            <w:tcMar>
              <w:top w:w="30" w:type="dxa"/>
              <w:left w:w="60" w:type="dxa"/>
              <w:bottom w:w="30" w:type="dxa"/>
              <w:right w:w="60" w:type="dxa"/>
            </w:tcMar>
            <w:vAlign w:val="bottom"/>
          </w:tcPr>
          <w:p w:rsidR="00376768" w:rsidRDefault="00EC2B72">
            <w:pPr>
              <w:jc w:val="center"/>
              <w:rPr>
                <w:rFonts w:ascii="Arial" w:hAnsi="Arial" w:cs="Arial"/>
                <w:sz w:val="16"/>
              </w:rPr>
            </w:pPr>
            <w:r>
              <w:rPr>
                <w:rFonts w:ascii="Arial" w:hAnsi="Arial" w:cs="Arial"/>
                <w:sz w:val="16"/>
                <w:szCs w:val="16"/>
              </w:rPr>
              <w:t>4,058</w:t>
            </w:r>
          </w:p>
        </w:tc>
      </w:tr>
      <w:tr w:rsidR="00376768">
        <w:tc>
          <w:tcPr>
            <w:tcW w:w="2447" w:type="dxa"/>
            <w:tcMar>
              <w:top w:w="30" w:type="dxa"/>
              <w:left w:w="60" w:type="dxa"/>
              <w:bottom w:w="30" w:type="dxa"/>
              <w:right w:w="60" w:type="dxa"/>
            </w:tcMar>
          </w:tcPr>
          <w:p w:rsidR="00376768" w:rsidRDefault="00EC2B72">
            <w:pPr>
              <w:rPr>
                <w:rFonts w:ascii="Arial" w:hAnsi="Arial" w:cs="Arial"/>
                <w:sz w:val="16"/>
              </w:rPr>
            </w:pPr>
            <w:r>
              <w:rPr>
                <w:rFonts w:ascii="Arial" w:hAnsi="Arial" w:cs="Arial"/>
                <w:sz w:val="16"/>
                <w:szCs w:val="16"/>
              </w:rPr>
              <w:t xml:space="preserve">Patrick J. </w:t>
            </w:r>
            <w:proofErr w:type="spellStart"/>
            <w:r>
              <w:rPr>
                <w:rFonts w:ascii="Arial" w:hAnsi="Arial" w:cs="Arial"/>
                <w:sz w:val="16"/>
                <w:szCs w:val="16"/>
              </w:rPr>
              <w:t>Guinee</w:t>
            </w:r>
            <w:proofErr w:type="spellEnd"/>
          </w:p>
        </w:tc>
        <w:tc>
          <w:tcPr>
            <w:tcW w:w="981" w:type="dxa"/>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02/14/17</w:t>
            </w:r>
          </w:p>
        </w:tc>
        <w:tc>
          <w:tcPr>
            <w:tcW w:w="6580" w:type="dxa"/>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4-year graded vesting; vests 50% on the second year and 25% on the third and fourth year</w:t>
            </w:r>
          </w:p>
        </w:tc>
        <w:tc>
          <w:tcPr>
            <w:tcW w:w="912" w:type="dxa"/>
            <w:tcMar>
              <w:top w:w="30" w:type="dxa"/>
              <w:left w:w="60" w:type="dxa"/>
              <w:bottom w:w="30" w:type="dxa"/>
              <w:right w:w="60" w:type="dxa"/>
            </w:tcMar>
            <w:vAlign w:val="bottom"/>
          </w:tcPr>
          <w:p w:rsidR="00376768" w:rsidRDefault="00EC2B72">
            <w:pPr>
              <w:jc w:val="center"/>
              <w:rPr>
                <w:rFonts w:ascii="Arial" w:hAnsi="Arial" w:cs="Arial"/>
                <w:sz w:val="16"/>
              </w:rPr>
            </w:pPr>
            <w:r>
              <w:rPr>
                <w:rFonts w:ascii="Arial" w:hAnsi="Arial" w:cs="Arial"/>
                <w:sz w:val="16"/>
                <w:szCs w:val="16"/>
              </w:rPr>
              <w:t>15,000</w:t>
            </w:r>
          </w:p>
        </w:tc>
      </w:tr>
      <w:tr w:rsidR="00376768">
        <w:tc>
          <w:tcPr>
            <w:tcW w:w="2447" w:type="dxa"/>
            <w:tcMar>
              <w:top w:w="30" w:type="dxa"/>
              <w:left w:w="60" w:type="dxa"/>
              <w:bottom w:w="30" w:type="dxa"/>
              <w:right w:w="60" w:type="dxa"/>
            </w:tcMar>
          </w:tcPr>
          <w:p w:rsidR="00376768" w:rsidRDefault="00EC2B72">
            <w:pPr>
              <w:rPr>
                <w:rFonts w:ascii="Arial" w:hAnsi="Arial" w:cs="Arial"/>
                <w:sz w:val="16"/>
              </w:rPr>
            </w:pPr>
            <w:r>
              <w:rPr>
                <w:rFonts w:ascii="Arial" w:hAnsi="Arial" w:cs="Arial"/>
                <w:sz w:val="16"/>
                <w:szCs w:val="16"/>
              </w:rPr>
              <w:t xml:space="preserve">Patrick J. </w:t>
            </w:r>
            <w:proofErr w:type="spellStart"/>
            <w:r>
              <w:rPr>
                <w:rFonts w:ascii="Arial" w:hAnsi="Arial" w:cs="Arial"/>
                <w:sz w:val="16"/>
                <w:szCs w:val="16"/>
              </w:rPr>
              <w:t>Guinee</w:t>
            </w:r>
            <w:proofErr w:type="spellEnd"/>
          </w:p>
        </w:tc>
        <w:tc>
          <w:tcPr>
            <w:tcW w:w="981" w:type="dxa"/>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02/22/17</w:t>
            </w:r>
          </w:p>
        </w:tc>
        <w:tc>
          <w:tcPr>
            <w:tcW w:w="6580" w:type="dxa"/>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3-year graded vesting; vests 33 1/3% per year over 3-year period</w:t>
            </w:r>
          </w:p>
        </w:tc>
        <w:tc>
          <w:tcPr>
            <w:tcW w:w="912" w:type="dxa"/>
            <w:tcMar>
              <w:top w:w="30" w:type="dxa"/>
              <w:left w:w="60" w:type="dxa"/>
              <w:bottom w:w="30" w:type="dxa"/>
              <w:right w:w="60" w:type="dxa"/>
            </w:tcMar>
            <w:vAlign w:val="bottom"/>
          </w:tcPr>
          <w:p w:rsidR="00376768" w:rsidRDefault="00EC2B72">
            <w:pPr>
              <w:jc w:val="center"/>
              <w:rPr>
                <w:rFonts w:ascii="Arial" w:hAnsi="Arial" w:cs="Arial"/>
                <w:sz w:val="16"/>
              </w:rPr>
            </w:pPr>
            <w:r>
              <w:rPr>
                <w:rFonts w:ascii="Arial" w:hAnsi="Arial" w:cs="Arial"/>
                <w:sz w:val="16"/>
                <w:szCs w:val="16"/>
              </w:rPr>
              <w:t>2,823</w:t>
            </w:r>
          </w:p>
        </w:tc>
      </w:tr>
      <w:tr w:rsidR="00376768">
        <w:tc>
          <w:tcPr>
            <w:tcW w:w="2447" w:type="dxa"/>
            <w:tcMar>
              <w:top w:w="30" w:type="dxa"/>
              <w:left w:w="60" w:type="dxa"/>
              <w:bottom w:w="30" w:type="dxa"/>
              <w:right w:w="60" w:type="dxa"/>
            </w:tcMar>
          </w:tcPr>
          <w:p w:rsidR="00376768" w:rsidRDefault="00EC2B72">
            <w:pPr>
              <w:rPr>
                <w:rFonts w:ascii="Arial" w:hAnsi="Arial" w:cs="Arial"/>
                <w:sz w:val="16"/>
              </w:rPr>
            </w:pPr>
            <w:r>
              <w:rPr>
                <w:rFonts w:ascii="Arial" w:hAnsi="Arial" w:cs="Arial"/>
                <w:sz w:val="16"/>
                <w:szCs w:val="16"/>
              </w:rPr>
              <w:t>Brian H. Kelly</w:t>
            </w:r>
          </w:p>
        </w:tc>
        <w:tc>
          <w:tcPr>
            <w:tcW w:w="981" w:type="dxa"/>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02/14/17</w:t>
            </w:r>
          </w:p>
        </w:tc>
        <w:tc>
          <w:tcPr>
            <w:tcW w:w="6580" w:type="dxa"/>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4-year graded vesting; vests 50% on the second year and 25% on the third and fourth year</w:t>
            </w:r>
          </w:p>
        </w:tc>
        <w:tc>
          <w:tcPr>
            <w:tcW w:w="912" w:type="dxa"/>
            <w:tcMar>
              <w:top w:w="30" w:type="dxa"/>
              <w:left w:w="60" w:type="dxa"/>
              <w:bottom w:w="30" w:type="dxa"/>
              <w:right w:w="60" w:type="dxa"/>
            </w:tcMar>
            <w:vAlign w:val="bottom"/>
          </w:tcPr>
          <w:p w:rsidR="00376768" w:rsidRDefault="00EC2B72">
            <w:pPr>
              <w:jc w:val="center"/>
              <w:rPr>
                <w:rFonts w:ascii="Arial" w:hAnsi="Arial" w:cs="Arial"/>
                <w:sz w:val="16"/>
              </w:rPr>
            </w:pPr>
            <w:r>
              <w:rPr>
                <w:rFonts w:ascii="Arial" w:hAnsi="Arial" w:cs="Arial"/>
                <w:sz w:val="16"/>
                <w:szCs w:val="16"/>
              </w:rPr>
              <w:t>15,000</w:t>
            </w:r>
          </w:p>
        </w:tc>
      </w:tr>
      <w:tr w:rsidR="00376768">
        <w:tc>
          <w:tcPr>
            <w:tcW w:w="2447" w:type="dxa"/>
            <w:tcMar>
              <w:top w:w="30" w:type="dxa"/>
              <w:left w:w="60" w:type="dxa"/>
              <w:bottom w:w="30" w:type="dxa"/>
              <w:right w:w="60" w:type="dxa"/>
            </w:tcMar>
          </w:tcPr>
          <w:p w:rsidR="00376768" w:rsidRDefault="00EC2B72">
            <w:pPr>
              <w:tabs>
                <w:tab w:val="left" w:leader="dot" w:pos="7200"/>
              </w:tabs>
              <w:rPr>
                <w:rFonts w:ascii="Arial" w:hAnsi="Arial" w:cs="Arial"/>
                <w:sz w:val="16"/>
              </w:rPr>
            </w:pPr>
            <w:r>
              <w:rPr>
                <w:rFonts w:ascii="Arial" w:hAnsi="Arial" w:cs="Arial"/>
                <w:sz w:val="16"/>
                <w:szCs w:val="16"/>
              </w:rPr>
              <w:t>Brian H. Kelly</w:t>
            </w:r>
          </w:p>
        </w:tc>
        <w:tc>
          <w:tcPr>
            <w:tcW w:w="981" w:type="dxa"/>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02/22/17</w:t>
            </w:r>
          </w:p>
        </w:tc>
        <w:tc>
          <w:tcPr>
            <w:tcW w:w="6580" w:type="dxa"/>
            <w:tcMar>
              <w:top w:w="30" w:type="dxa"/>
              <w:left w:w="60" w:type="dxa"/>
              <w:bottom w:w="30" w:type="dxa"/>
              <w:right w:w="60" w:type="dxa"/>
            </w:tcMar>
            <w:vAlign w:val="bottom"/>
          </w:tcPr>
          <w:p w:rsidR="00376768" w:rsidRDefault="00EC2B72">
            <w:pPr>
              <w:rPr>
                <w:rFonts w:ascii="Arial" w:hAnsi="Arial" w:cs="Arial"/>
                <w:sz w:val="16"/>
              </w:rPr>
            </w:pPr>
            <w:r>
              <w:rPr>
                <w:rFonts w:ascii="Arial" w:hAnsi="Arial" w:cs="Arial"/>
                <w:sz w:val="16"/>
                <w:szCs w:val="16"/>
              </w:rPr>
              <w:t>3-year graded vesting; vests 33 1/3% per year over 3-year period</w:t>
            </w:r>
          </w:p>
        </w:tc>
        <w:tc>
          <w:tcPr>
            <w:tcW w:w="912" w:type="dxa"/>
            <w:tcMar>
              <w:top w:w="30" w:type="dxa"/>
              <w:left w:w="60" w:type="dxa"/>
              <w:bottom w:w="30" w:type="dxa"/>
              <w:right w:w="60" w:type="dxa"/>
            </w:tcMar>
            <w:vAlign w:val="bottom"/>
          </w:tcPr>
          <w:p w:rsidR="00376768" w:rsidRDefault="00EC2B72">
            <w:pPr>
              <w:jc w:val="center"/>
              <w:rPr>
                <w:rFonts w:ascii="Arial" w:hAnsi="Arial" w:cs="Arial"/>
                <w:sz w:val="16"/>
              </w:rPr>
            </w:pPr>
            <w:r>
              <w:rPr>
                <w:rFonts w:ascii="Arial" w:hAnsi="Arial" w:cs="Arial"/>
                <w:sz w:val="16"/>
                <w:szCs w:val="16"/>
              </w:rPr>
              <w:t>2,646</w:t>
            </w:r>
          </w:p>
        </w:tc>
      </w:tr>
    </w:tbl>
    <w:p w:rsidR="00376768" w:rsidRDefault="00376768"/>
    <w:tbl>
      <w:tblPr>
        <w:tblW w:w="1000" w:type="pct"/>
        <w:tblLayout w:type="fixed"/>
        <w:tblCellMar>
          <w:left w:w="0" w:type="dxa"/>
          <w:right w:w="0" w:type="dxa"/>
        </w:tblCellMar>
        <w:tblLook w:val="0000" w:firstRow="0" w:lastRow="0" w:firstColumn="0" w:lastColumn="0" w:noHBand="0" w:noVBand="0"/>
      </w:tblPr>
      <w:tblGrid>
        <w:gridCol w:w="2160"/>
      </w:tblGrid>
      <w:tr w:rsidR="00376768">
        <w:tc>
          <w:tcPr>
            <w:tcW w:w="2163" w:type="dxa"/>
            <w:tcBorders>
              <w:bottom w:val="single" w:sz="4" w:space="0" w:color="auto"/>
            </w:tcBorders>
          </w:tcPr>
          <w:p w:rsidR="00376768" w:rsidRDefault="00EC2B72">
            <w:pPr>
              <w:rPr>
                <w:rFonts w:ascii="Arial" w:hAnsi="Arial" w:cs="Arial"/>
                <w:sz w:val="8"/>
              </w:rPr>
            </w:pPr>
            <w:r>
              <w:rPr>
                <w:rFonts w:ascii="Arial" w:hAnsi="Arial" w:cs="Arial"/>
              </w:rPr>
              <w:br w:type="page"/>
            </w:r>
          </w:p>
        </w:tc>
      </w:tr>
    </w:tbl>
    <w:p w:rsidR="00376768" w:rsidRDefault="00EC2B72">
      <w:pPr>
        <w:spacing w:before="160"/>
        <w:ind w:left="360" w:hanging="360"/>
        <w:jc w:val="both"/>
        <w:rPr>
          <w:rFonts w:ascii="Arial" w:hAnsi="Arial" w:cs="Arial"/>
        </w:rPr>
      </w:pPr>
      <w:r>
        <w:rPr>
          <w:rFonts w:ascii="Arial" w:hAnsi="Arial" w:cs="Arial"/>
          <w:sz w:val="16"/>
          <w:szCs w:val="12"/>
          <w:vertAlign w:val="superscript"/>
        </w:rPr>
        <w:t>(2)</w:t>
      </w:r>
      <w:r>
        <w:rPr>
          <w:rFonts w:ascii="Arial" w:hAnsi="Arial" w:cs="Arial"/>
          <w:sz w:val="16"/>
          <w:szCs w:val="12"/>
          <w:vertAlign w:val="superscript"/>
        </w:rPr>
        <w:tab/>
      </w:r>
      <w:r>
        <w:rPr>
          <w:rFonts w:ascii="Arial" w:hAnsi="Arial" w:cs="Arial"/>
          <w:sz w:val="16"/>
          <w:szCs w:val="16"/>
        </w:rPr>
        <w:t>Based on the Company’s December 29, 2017 closing share price of $27.15 per share.</w:t>
      </w:r>
    </w:p>
    <w:p w:rsidR="00376768" w:rsidRDefault="00EC2B72">
      <w:pPr>
        <w:spacing w:before="160"/>
        <w:ind w:left="360" w:hanging="360"/>
        <w:jc w:val="both"/>
        <w:rPr>
          <w:rFonts w:ascii="Arial" w:hAnsi="Arial" w:cs="Arial"/>
          <w:sz w:val="16"/>
        </w:rPr>
      </w:pPr>
      <w:r>
        <w:rPr>
          <w:rFonts w:ascii="Arial" w:hAnsi="Arial" w:cs="Arial"/>
          <w:sz w:val="16"/>
          <w:szCs w:val="12"/>
          <w:vertAlign w:val="superscript"/>
        </w:rPr>
        <w:lastRenderedPageBreak/>
        <w:t>(3)</w:t>
      </w:r>
      <w:r>
        <w:rPr>
          <w:rFonts w:ascii="Arial" w:hAnsi="Arial" w:cs="Arial"/>
          <w:sz w:val="16"/>
          <w:szCs w:val="12"/>
          <w:vertAlign w:val="superscript"/>
        </w:rPr>
        <w:tab/>
      </w:r>
      <w:r>
        <w:rPr>
          <w:rFonts w:ascii="Arial" w:hAnsi="Arial" w:cs="Arial"/>
          <w:sz w:val="16"/>
          <w:szCs w:val="16"/>
        </w:rPr>
        <w:t>This column reflects the number of unvested PSU awards granted under the LTIP (for which the performance conditions have not been satisfied) as of December 31, 2017. Mr. Russo’s employment with the Company terminated on 04/21/17 and Mr. Scanlon’s employment with the Company terminated on March 30, 2018. All outstanding PSU awards were forfeited at the time of their termination. The unvested PSU awards include the 2016 and 2017 awards as described below:</w:t>
      </w:r>
    </w:p>
    <w:p w:rsidR="00376768" w:rsidRDefault="00EC2B72">
      <w:pPr>
        <w:spacing w:before="160"/>
        <w:ind w:left="360" w:firstLine="360"/>
        <w:jc w:val="both"/>
        <w:rPr>
          <w:rFonts w:ascii="Arial" w:hAnsi="Arial" w:cs="Arial"/>
        </w:rPr>
      </w:pPr>
      <w:r>
        <w:rPr>
          <w:rFonts w:ascii="Arial" w:hAnsi="Arial" w:cs="Arial"/>
          <w:szCs w:val="16"/>
        </w:rPr>
        <w:t xml:space="preserve">(3a) the 2016-2018 PSU awards were granted on January 25, 2016 for Mr. Bauer and February 17, 2016 for Messrs. Scanlon, </w:t>
      </w:r>
      <w:proofErr w:type="spellStart"/>
      <w:r>
        <w:rPr>
          <w:rFonts w:ascii="Arial" w:hAnsi="Arial" w:cs="Arial"/>
          <w:szCs w:val="16"/>
        </w:rPr>
        <w:t>Kasel</w:t>
      </w:r>
      <w:proofErr w:type="spellEnd"/>
      <w:r>
        <w:rPr>
          <w:rFonts w:ascii="Arial" w:hAnsi="Arial" w:cs="Arial"/>
          <w:szCs w:val="16"/>
        </w:rPr>
        <w:t xml:space="preserve">, </w:t>
      </w:r>
      <w:proofErr w:type="spellStart"/>
      <w:r>
        <w:rPr>
          <w:rFonts w:ascii="Arial" w:hAnsi="Arial" w:cs="Arial"/>
          <w:szCs w:val="16"/>
        </w:rPr>
        <w:t>Guinee</w:t>
      </w:r>
      <w:proofErr w:type="spellEnd"/>
      <w:r>
        <w:rPr>
          <w:rFonts w:ascii="Arial" w:hAnsi="Arial" w:cs="Arial"/>
          <w:szCs w:val="16"/>
        </w:rPr>
        <w:t xml:space="preserve"> and Kelly. Assuming the achievement of the underlying performance conditions, PSU awards will be settled and paid in shares of the Company’s common stock in the calendar year immediately following the end of the performance period on a date determined in the Compensation Committee’s discretion, but in no event later than March 15, 2018. The number of shares included for these awards assumes threshold performance and includes as follows: Mr. Bauer 6,523 shares; Mr. Scanlon 1,584 shares; Mr. </w:t>
      </w:r>
      <w:proofErr w:type="spellStart"/>
      <w:r>
        <w:rPr>
          <w:rFonts w:ascii="Arial" w:hAnsi="Arial" w:cs="Arial"/>
          <w:szCs w:val="16"/>
        </w:rPr>
        <w:t>Kasel</w:t>
      </w:r>
      <w:proofErr w:type="spellEnd"/>
      <w:r>
        <w:rPr>
          <w:rFonts w:ascii="Arial" w:hAnsi="Arial" w:cs="Arial"/>
          <w:szCs w:val="16"/>
        </w:rPr>
        <w:t xml:space="preserve"> 5,205 shares; Mr. </w:t>
      </w:r>
      <w:proofErr w:type="spellStart"/>
      <w:r>
        <w:rPr>
          <w:rFonts w:ascii="Arial" w:hAnsi="Arial" w:cs="Arial"/>
          <w:szCs w:val="16"/>
        </w:rPr>
        <w:t>Guinee</w:t>
      </w:r>
      <w:proofErr w:type="spellEnd"/>
      <w:r>
        <w:rPr>
          <w:rFonts w:ascii="Arial" w:hAnsi="Arial" w:cs="Arial"/>
          <w:szCs w:val="16"/>
        </w:rPr>
        <w:t xml:space="preserve"> 3,620 shares and Mr. Kelly 3,394 shares. The expected performance attainment for the ROIC portion of this grant as of December 31, 2017 is 0%</w:t>
      </w:r>
      <w:proofErr w:type="gramStart"/>
      <w:r>
        <w:rPr>
          <w:rFonts w:ascii="Arial" w:hAnsi="Arial" w:cs="Arial"/>
          <w:szCs w:val="16"/>
        </w:rPr>
        <w:t>,</w:t>
      </w:r>
      <w:proofErr w:type="gramEnd"/>
      <w:r>
        <w:rPr>
          <w:rFonts w:ascii="Arial" w:hAnsi="Arial" w:cs="Arial"/>
          <w:szCs w:val="16"/>
        </w:rPr>
        <w:t xml:space="preserve"> the expected attainment of the Earnings CAGR portion of this grant is 0%.</w:t>
      </w:r>
    </w:p>
    <w:p w:rsidR="00376768" w:rsidRDefault="00EC2B72">
      <w:pPr>
        <w:spacing w:before="160"/>
        <w:ind w:left="360" w:firstLine="360"/>
        <w:jc w:val="both"/>
        <w:rPr>
          <w:rFonts w:ascii="Arial" w:hAnsi="Arial" w:cs="Arial"/>
        </w:rPr>
      </w:pPr>
      <w:r>
        <w:rPr>
          <w:rFonts w:ascii="Arial" w:hAnsi="Arial" w:cs="Arial"/>
          <w:szCs w:val="16"/>
        </w:rPr>
        <w:t xml:space="preserve">(3b) the 2017-2019 PSU awards were granted on February 22, 2017. Assuming the achievement of the underlying performance conditions, PSU awards will be settled and paid in shares of the Company’s common stock in the calendar year immediately following the end of the performance period on a date determined in the Compensation Committee’s discretion, but in no event later than March 15, 2019. The number of shares included for these awards assumes maximum performance and includes as follows: Mr. Bauer 92,625 shares; Mr. Maloney 20,938 shares; Mr. Scanlon 11,910 shares; Mr. </w:t>
      </w:r>
      <w:proofErr w:type="spellStart"/>
      <w:r>
        <w:rPr>
          <w:rFonts w:ascii="Arial" w:hAnsi="Arial" w:cs="Arial"/>
          <w:szCs w:val="16"/>
        </w:rPr>
        <w:t>Kasel</w:t>
      </w:r>
      <w:proofErr w:type="spellEnd"/>
      <w:r>
        <w:rPr>
          <w:rFonts w:ascii="Arial" w:hAnsi="Arial" w:cs="Arial"/>
          <w:szCs w:val="16"/>
        </w:rPr>
        <w:t xml:space="preserve"> 30,435 shares; Mr. </w:t>
      </w:r>
      <w:proofErr w:type="spellStart"/>
      <w:r>
        <w:rPr>
          <w:rFonts w:ascii="Arial" w:hAnsi="Arial" w:cs="Arial"/>
          <w:szCs w:val="16"/>
        </w:rPr>
        <w:t>Guinee</w:t>
      </w:r>
      <w:proofErr w:type="spellEnd"/>
      <w:r>
        <w:rPr>
          <w:rFonts w:ascii="Arial" w:hAnsi="Arial" w:cs="Arial"/>
          <w:szCs w:val="16"/>
        </w:rPr>
        <w:t xml:space="preserve"> 21,170 shares and Mr. Kelly 19,850 shares. The expected performance attainment for the ROIC portion of this grant as of December 31, 2017 is 79%</w:t>
      </w:r>
      <w:proofErr w:type="gramStart"/>
      <w:r>
        <w:rPr>
          <w:rFonts w:ascii="Arial" w:hAnsi="Arial" w:cs="Arial"/>
          <w:szCs w:val="16"/>
        </w:rPr>
        <w:t>,</w:t>
      </w:r>
      <w:proofErr w:type="gramEnd"/>
      <w:r>
        <w:rPr>
          <w:rFonts w:ascii="Arial" w:hAnsi="Arial" w:cs="Arial"/>
          <w:szCs w:val="16"/>
        </w:rPr>
        <w:t xml:space="preserve"> the expected attainment of the Earnings CAGR portion of this grant is 300%.</w:t>
      </w:r>
    </w:p>
    <w:p w:rsidR="00376768" w:rsidRDefault="00EC2B72">
      <w:pPr>
        <w:spacing w:before="160"/>
        <w:jc w:val="center"/>
        <w:rPr>
          <w:rFonts w:ascii="Arial" w:hAnsi="Arial" w:cs="Arial"/>
          <w:b/>
          <w:bCs/>
        </w:rPr>
      </w:pPr>
      <w:r>
        <w:rPr>
          <w:rFonts w:ascii="Arial" w:hAnsi="Arial" w:cs="Arial"/>
          <w:b/>
          <w:bCs/>
        </w:rPr>
        <w:t>20</w:t>
      </w:r>
      <w:bookmarkStart w:id="35" w:name="a035_v1"/>
      <w:bookmarkEnd w:id="35"/>
      <w:r>
        <w:rPr>
          <w:rFonts w:ascii="Arial" w:hAnsi="Arial" w:cs="Arial"/>
          <w:b/>
          <w:bCs/>
        </w:rPr>
        <w:t>17 OPTION EXERCISES AND STOCK VESTED</w:t>
      </w:r>
    </w:p>
    <w:p w:rsidR="00376768" w:rsidRDefault="00EC2B72">
      <w:pPr>
        <w:spacing w:before="160"/>
        <w:jc w:val="both"/>
        <w:rPr>
          <w:rFonts w:ascii="Arial" w:hAnsi="Arial" w:cs="Arial"/>
        </w:rPr>
      </w:pPr>
      <w:r>
        <w:rPr>
          <w:rFonts w:ascii="Arial" w:hAnsi="Arial" w:cs="Arial"/>
        </w:rPr>
        <w:t>There were no stock options exercised or vested by our NEOs during 2017. The following table discloses the number of stock awards held by our NEOs that vested during 2017</w:t>
      </w:r>
    </w:p>
    <w:p w:rsidR="00376768" w:rsidRDefault="00EC2B72">
      <w:pPr>
        <w:spacing w:before="160"/>
        <w:jc w:val="both"/>
        <w:rPr>
          <w:rFonts w:ascii="Arial" w:hAnsi="Arial" w:cs="Arial"/>
        </w:rPr>
      </w:pPr>
      <w:r>
        <w:rPr>
          <w:rFonts w:ascii="Arial" w:hAnsi="Arial" w:cs="Arial"/>
        </w:rPr>
        <w:t>:</w:t>
      </w:r>
    </w:p>
    <w:tbl>
      <w:tblPr>
        <w:tblW w:w="3998" w:type="pct"/>
        <w:jc w:val="center"/>
        <w:tblInd w:w="7" w:type="dxa"/>
        <w:tblLayout w:type="fixed"/>
        <w:tblCellMar>
          <w:left w:w="0" w:type="dxa"/>
          <w:right w:w="0" w:type="dxa"/>
        </w:tblCellMar>
        <w:tblLook w:val="0000" w:firstRow="0" w:lastRow="0" w:firstColumn="0" w:lastColumn="0" w:noHBand="0" w:noVBand="0"/>
      </w:tblPr>
      <w:tblGrid>
        <w:gridCol w:w="3024"/>
        <w:gridCol w:w="3023"/>
        <w:gridCol w:w="2591"/>
      </w:tblGrid>
      <w:tr w:rsidR="00376768">
        <w:trPr>
          <w:cantSplit/>
          <w:jc w:val="center"/>
        </w:trPr>
        <w:tc>
          <w:tcPr>
            <w:tcW w:w="1750" w:type="pct"/>
            <w:tcBorders>
              <w:bottom w:val="single" w:sz="2" w:space="0" w:color="auto"/>
              <w:right w:val="single" w:sz="12" w:space="0" w:color="auto"/>
            </w:tcBorders>
          </w:tcPr>
          <w:p w:rsidR="00376768" w:rsidRDefault="00376768">
            <w:pPr>
              <w:rPr>
                <w:rFonts w:ascii="Arial" w:hAnsi="Arial" w:cs="Arial"/>
                <w:b/>
                <w:bCs/>
                <w:sz w:val="18"/>
                <w:szCs w:val="2"/>
              </w:rPr>
            </w:pPr>
          </w:p>
        </w:tc>
        <w:tc>
          <w:tcPr>
            <w:tcW w:w="3250" w:type="pct"/>
            <w:gridSpan w:val="2"/>
            <w:tcBorders>
              <w:top w:val="single" w:sz="2" w:space="0" w:color="auto"/>
              <w:left w:val="single" w:sz="12" w:space="0" w:color="auto"/>
              <w:bottom w:val="single" w:sz="12" w:space="0" w:color="auto"/>
              <w:right w:val="single" w:sz="2" w:space="0" w:color="auto"/>
            </w:tcBorders>
          </w:tcPr>
          <w:p w:rsidR="00376768" w:rsidRDefault="00EC2B72">
            <w:pPr>
              <w:jc w:val="center"/>
              <w:rPr>
                <w:rFonts w:ascii="Arial" w:hAnsi="Arial" w:cs="Arial"/>
                <w:b/>
                <w:bCs/>
                <w:sz w:val="18"/>
              </w:rPr>
            </w:pPr>
            <w:r>
              <w:rPr>
                <w:rFonts w:ascii="Arial" w:hAnsi="Arial" w:cs="Arial"/>
                <w:b/>
                <w:bCs/>
                <w:sz w:val="18"/>
                <w:szCs w:val="18"/>
              </w:rPr>
              <w:t>Stock Awards</w:t>
            </w:r>
          </w:p>
        </w:tc>
      </w:tr>
      <w:tr w:rsidR="00376768">
        <w:trPr>
          <w:jc w:val="center"/>
        </w:trPr>
        <w:tc>
          <w:tcPr>
            <w:tcW w:w="1750" w:type="pct"/>
            <w:tcBorders>
              <w:top w:val="single" w:sz="2" w:space="0" w:color="auto"/>
              <w:left w:val="single" w:sz="2" w:space="0" w:color="auto"/>
              <w:bottom w:val="single" w:sz="12" w:space="0" w:color="auto"/>
              <w:right w:val="single" w:sz="12" w:space="0" w:color="auto"/>
            </w:tcBorders>
            <w:vAlign w:val="center"/>
          </w:tcPr>
          <w:p w:rsidR="00376768" w:rsidRDefault="00EC2B72">
            <w:pPr>
              <w:jc w:val="center"/>
              <w:rPr>
                <w:rFonts w:ascii="Arial" w:hAnsi="Arial" w:cs="Arial"/>
                <w:b/>
                <w:bCs/>
                <w:sz w:val="18"/>
              </w:rPr>
            </w:pPr>
            <w:r>
              <w:rPr>
                <w:rFonts w:ascii="Arial" w:hAnsi="Arial" w:cs="Arial"/>
                <w:b/>
                <w:bCs/>
                <w:sz w:val="18"/>
                <w:szCs w:val="18"/>
              </w:rPr>
              <w:t>Name</w:t>
            </w:r>
          </w:p>
        </w:tc>
        <w:tc>
          <w:tcPr>
            <w:tcW w:w="1750" w:type="pct"/>
            <w:tcBorders>
              <w:top w:val="single" w:sz="12" w:space="0" w:color="auto"/>
              <w:left w:val="single" w:sz="12" w:space="0" w:color="auto"/>
              <w:bottom w:val="single" w:sz="12" w:space="0" w:color="auto"/>
              <w:right w:val="single" w:sz="2" w:space="0" w:color="auto"/>
            </w:tcBorders>
            <w:vAlign w:val="center"/>
          </w:tcPr>
          <w:p w:rsidR="00376768" w:rsidRDefault="00EC2B72">
            <w:pPr>
              <w:jc w:val="center"/>
              <w:rPr>
                <w:rFonts w:ascii="Arial" w:hAnsi="Arial" w:cs="Arial"/>
                <w:b/>
                <w:bCs/>
                <w:sz w:val="18"/>
              </w:rPr>
            </w:pPr>
            <w:r>
              <w:rPr>
                <w:rFonts w:ascii="Arial" w:hAnsi="Arial" w:cs="Arial"/>
                <w:b/>
                <w:bCs/>
                <w:sz w:val="18"/>
                <w:szCs w:val="18"/>
              </w:rPr>
              <w:t>Number of Shares</w:t>
            </w:r>
            <w:r>
              <w:rPr>
                <w:rFonts w:ascii="Arial" w:hAnsi="Arial" w:cs="Arial"/>
                <w:b/>
                <w:bCs/>
                <w:sz w:val="18"/>
                <w:szCs w:val="18"/>
              </w:rPr>
              <w:br/>
              <w:t>Acquired on Vesting (#)</w:t>
            </w:r>
          </w:p>
        </w:tc>
        <w:tc>
          <w:tcPr>
            <w:tcW w:w="1500" w:type="pct"/>
            <w:tcBorders>
              <w:top w:val="single" w:sz="12" w:space="0" w:color="auto"/>
              <w:left w:val="single" w:sz="2" w:space="0" w:color="auto"/>
              <w:bottom w:val="single" w:sz="12" w:space="0" w:color="auto"/>
              <w:right w:val="single" w:sz="2" w:space="0" w:color="auto"/>
            </w:tcBorders>
            <w:vAlign w:val="center"/>
          </w:tcPr>
          <w:p w:rsidR="00376768" w:rsidRDefault="00EC2B72">
            <w:pPr>
              <w:jc w:val="center"/>
              <w:rPr>
                <w:rFonts w:ascii="Arial" w:hAnsi="Arial" w:cs="Arial"/>
                <w:b/>
                <w:bCs/>
                <w:sz w:val="18"/>
              </w:rPr>
            </w:pPr>
            <w:r>
              <w:rPr>
                <w:rFonts w:ascii="Arial" w:hAnsi="Arial" w:cs="Arial"/>
                <w:b/>
                <w:bCs/>
                <w:sz w:val="18"/>
                <w:szCs w:val="18"/>
              </w:rPr>
              <w:t>Value Realized</w:t>
            </w:r>
            <w:r>
              <w:rPr>
                <w:rFonts w:ascii="Arial" w:hAnsi="Arial" w:cs="Arial"/>
                <w:b/>
                <w:bCs/>
                <w:sz w:val="18"/>
                <w:szCs w:val="18"/>
              </w:rPr>
              <w:br/>
              <w:t>on Vesting ($)</w:t>
            </w:r>
            <w:r>
              <w:rPr>
                <w:rFonts w:ascii="Arial" w:hAnsi="Arial" w:cs="Arial"/>
                <w:b/>
                <w:bCs/>
                <w:sz w:val="18"/>
                <w:szCs w:val="14"/>
                <w:vertAlign w:val="superscript"/>
              </w:rPr>
              <w:t>(1)</w:t>
            </w:r>
          </w:p>
        </w:tc>
      </w:tr>
      <w:tr w:rsidR="00376768">
        <w:trPr>
          <w:jc w:val="center"/>
        </w:trPr>
        <w:tc>
          <w:tcPr>
            <w:tcW w:w="1750" w:type="pct"/>
            <w:tcBorders>
              <w:top w:val="single" w:sz="12" w:space="0" w:color="auto"/>
              <w:left w:val="single" w:sz="2" w:space="0" w:color="auto"/>
              <w:bottom w:val="single" w:sz="2" w:space="0" w:color="auto"/>
              <w:right w:val="single" w:sz="12" w:space="0" w:color="auto"/>
            </w:tcBorders>
          </w:tcPr>
          <w:p w:rsidR="00376768" w:rsidRDefault="00EC2B72">
            <w:pPr>
              <w:ind w:left="144"/>
              <w:rPr>
                <w:rFonts w:ascii="Arial" w:hAnsi="Arial" w:cs="Arial"/>
                <w:sz w:val="18"/>
              </w:rPr>
            </w:pPr>
            <w:r>
              <w:rPr>
                <w:rFonts w:ascii="Arial" w:hAnsi="Arial" w:cs="Arial"/>
                <w:sz w:val="18"/>
                <w:szCs w:val="18"/>
              </w:rPr>
              <w:t>Robert P. Bauer</w:t>
            </w:r>
          </w:p>
        </w:tc>
        <w:tc>
          <w:tcPr>
            <w:tcW w:w="1750" w:type="pct"/>
            <w:tcBorders>
              <w:top w:val="single" w:sz="12" w:space="0" w:color="auto"/>
              <w:left w:val="single" w:sz="12" w:space="0" w:color="auto"/>
              <w:bottom w:val="single" w:sz="2" w:space="0" w:color="auto"/>
              <w:right w:val="single" w:sz="2" w:space="0" w:color="auto"/>
            </w:tcBorders>
          </w:tcPr>
          <w:p w:rsidR="00376768" w:rsidRDefault="00EC2B72">
            <w:pPr>
              <w:jc w:val="center"/>
              <w:rPr>
                <w:rFonts w:ascii="Arial" w:hAnsi="Arial" w:cs="Arial"/>
                <w:sz w:val="18"/>
              </w:rPr>
            </w:pPr>
            <w:r>
              <w:rPr>
                <w:rFonts w:ascii="Arial" w:hAnsi="Arial" w:cs="Arial"/>
                <w:sz w:val="18"/>
                <w:szCs w:val="18"/>
              </w:rPr>
              <w:t>6,474</w:t>
            </w:r>
          </w:p>
        </w:tc>
        <w:tc>
          <w:tcPr>
            <w:tcW w:w="1500" w:type="pct"/>
            <w:tcBorders>
              <w:top w:val="single" w:sz="12" w:space="0" w:color="auto"/>
              <w:left w:val="single" w:sz="2" w:space="0" w:color="auto"/>
              <w:bottom w:val="single" w:sz="2" w:space="0" w:color="auto"/>
              <w:right w:val="single" w:sz="2" w:space="0" w:color="auto"/>
            </w:tcBorders>
          </w:tcPr>
          <w:p w:rsidR="00376768" w:rsidRDefault="00EC2B72">
            <w:pPr>
              <w:jc w:val="center"/>
              <w:rPr>
                <w:rFonts w:ascii="Arial" w:hAnsi="Arial" w:cs="Arial"/>
                <w:sz w:val="18"/>
              </w:rPr>
            </w:pPr>
            <w:r>
              <w:rPr>
                <w:rFonts w:ascii="Arial" w:hAnsi="Arial" w:cs="Arial"/>
                <w:sz w:val="18"/>
                <w:szCs w:val="18"/>
              </w:rPr>
              <w:t>93,912</w:t>
            </w:r>
          </w:p>
        </w:tc>
      </w:tr>
      <w:tr w:rsidR="00376768">
        <w:trPr>
          <w:jc w:val="center"/>
        </w:trPr>
        <w:tc>
          <w:tcPr>
            <w:tcW w:w="1750" w:type="pct"/>
            <w:tcBorders>
              <w:top w:val="single" w:sz="2" w:space="0" w:color="auto"/>
              <w:left w:val="single" w:sz="2" w:space="0" w:color="auto"/>
              <w:bottom w:val="single" w:sz="2" w:space="0" w:color="auto"/>
              <w:right w:val="single" w:sz="12" w:space="0" w:color="auto"/>
            </w:tcBorders>
          </w:tcPr>
          <w:p w:rsidR="00376768" w:rsidRDefault="00EC2B72">
            <w:pPr>
              <w:ind w:left="144"/>
              <w:rPr>
                <w:rFonts w:ascii="Arial" w:hAnsi="Arial" w:cs="Arial"/>
                <w:sz w:val="18"/>
              </w:rPr>
            </w:pPr>
            <w:r>
              <w:rPr>
                <w:rFonts w:ascii="Arial" w:hAnsi="Arial" w:cs="Arial"/>
                <w:sz w:val="18"/>
                <w:szCs w:val="18"/>
              </w:rPr>
              <w:t>James P. Maloney</w:t>
            </w:r>
          </w:p>
        </w:tc>
        <w:tc>
          <w:tcPr>
            <w:tcW w:w="1750" w:type="pct"/>
            <w:tcBorders>
              <w:top w:val="single" w:sz="2" w:space="0" w:color="auto"/>
              <w:left w:val="single" w:sz="12" w:space="0" w:color="auto"/>
              <w:bottom w:val="single" w:sz="2" w:space="0" w:color="auto"/>
              <w:right w:val="single" w:sz="2" w:space="0" w:color="auto"/>
            </w:tcBorders>
          </w:tcPr>
          <w:p w:rsidR="00376768" w:rsidRDefault="00EC2B72">
            <w:pPr>
              <w:jc w:val="center"/>
              <w:rPr>
                <w:rFonts w:ascii="Arial" w:hAnsi="Arial" w:cs="Arial"/>
                <w:sz w:val="18"/>
              </w:rPr>
            </w:pPr>
            <w:r>
              <w:rPr>
                <w:rFonts w:ascii="Arial" w:hAnsi="Arial" w:cs="Arial"/>
                <w:sz w:val="18"/>
                <w:szCs w:val="18"/>
              </w:rPr>
              <w:t>---</w:t>
            </w:r>
          </w:p>
        </w:tc>
        <w:tc>
          <w:tcPr>
            <w:tcW w:w="1500" w:type="pct"/>
            <w:tcBorders>
              <w:top w:val="single" w:sz="2" w:space="0" w:color="auto"/>
              <w:left w:val="single" w:sz="2" w:space="0" w:color="auto"/>
              <w:bottom w:val="single" w:sz="2" w:space="0" w:color="auto"/>
              <w:right w:val="single" w:sz="2" w:space="0" w:color="auto"/>
            </w:tcBorders>
          </w:tcPr>
          <w:p w:rsidR="00376768" w:rsidRDefault="00EC2B72">
            <w:pPr>
              <w:jc w:val="center"/>
              <w:rPr>
                <w:rFonts w:ascii="Arial" w:hAnsi="Arial" w:cs="Arial"/>
                <w:sz w:val="18"/>
              </w:rPr>
            </w:pPr>
            <w:r>
              <w:rPr>
                <w:rFonts w:ascii="Arial" w:hAnsi="Arial" w:cs="Arial"/>
                <w:sz w:val="18"/>
                <w:szCs w:val="18"/>
              </w:rPr>
              <w:t>---</w:t>
            </w:r>
          </w:p>
        </w:tc>
      </w:tr>
      <w:tr w:rsidR="00376768">
        <w:trPr>
          <w:jc w:val="center"/>
        </w:trPr>
        <w:tc>
          <w:tcPr>
            <w:tcW w:w="1750" w:type="pct"/>
            <w:tcBorders>
              <w:top w:val="single" w:sz="2" w:space="0" w:color="auto"/>
              <w:left w:val="single" w:sz="2" w:space="0" w:color="auto"/>
              <w:bottom w:val="single" w:sz="2" w:space="0" w:color="auto"/>
              <w:right w:val="single" w:sz="12" w:space="0" w:color="auto"/>
            </w:tcBorders>
          </w:tcPr>
          <w:p w:rsidR="00376768" w:rsidRDefault="00EC2B72">
            <w:pPr>
              <w:ind w:left="144"/>
              <w:rPr>
                <w:rFonts w:ascii="Arial" w:hAnsi="Arial" w:cs="Arial"/>
                <w:sz w:val="18"/>
              </w:rPr>
            </w:pPr>
            <w:r>
              <w:rPr>
                <w:rFonts w:ascii="Arial" w:hAnsi="Arial" w:cs="Arial"/>
                <w:sz w:val="18"/>
                <w:szCs w:val="18"/>
              </w:rPr>
              <w:t>David J. Russo</w:t>
            </w:r>
          </w:p>
        </w:tc>
        <w:tc>
          <w:tcPr>
            <w:tcW w:w="1750" w:type="pct"/>
            <w:tcBorders>
              <w:top w:val="single" w:sz="2" w:space="0" w:color="auto"/>
              <w:left w:val="single" w:sz="12" w:space="0" w:color="auto"/>
              <w:bottom w:val="single" w:sz="2" w:space="0" w:color="auto"/>
              <w:right w:val="single" w:sz="2" w:space="0" w:color="auto"/>
            </w:tcBorders>
          </w:tcPr>
          <w:p w:rsidR="00376768" w:rsidRDefault="00EC2B72">
            <w:pPr>
              <w:jc w:val="center"/>
              <w:rPr>
                <w:rFonts w:ascii="Arial" w:hAnsi="Arial" w:cs="Arial"/>
                <w:sz w:val="18"/>
              </w:rPr>
            </w:pPr>
            <w:r>
              <w:rPr>
                <w:rFonts w:ascii="Arial" w:hAnsi="Arial" w:cs="Arial"/>
                <w:sz w:val="18"/>
                <w:szCs w:val="18"/>
              </w:rPr>
              <w:t>3,576</w:t>
            </w:r>
          </w:p>
        </w:tc>
        <w:tc>
          <w:tcPr>
            <w:tcW w:w="1500" w:type="pct"/>
            <w:tcBorders>
              <w:top w:val="single" w:sz="2" w:space="0" w:color="auto"/>
              <w:left w:val="single" w:sz="2" w:space="0" w:color="auto"/>
              <w:bottom w:val="single" w:sz="2" w:space="0" w:color="auto"/>
              <w:right w:val="single" w:sz="2" w:space="0" w:color="auto"/>
            </w:tcBorders>
          </w:tcPr>
          <w:p w:rsidR="00376768" w:rsidRDefault="00EC2B72">
            <w:pPr>
              <w:jc w:val="center"/>
              <w:rPr>
                <w:rFonts w:ascii="Arial" w:hAnsi="Arial" w:cs="Arial"/>
                <w:sz w:val="18"/>
              </w:rPr>
            </w:pPr>
            <w:r>
              <w:rPr>
                <w:rFonts w:ascii="Arial" w:hAnsi="Arial" w:cs="Arial"/>
                <w:sz w:val="18"/>
                <w:szCs w:val="18"/>
              </w:rPr>
              <w:t>49,291</w:t>
            </w:r>
          </w:p>
        </w:tc>
      </w:tr>
      <w:tr w:rsidR="00376768">
        <w:trPr>
          <w:jc w:val="center"/>
        </w:trPr>
        <w:tc>
          <w:tcPr>
            <w:tcW w:w="1750" w:type="pct"/>
            <w:tcBorders>
              <w:top w:val="single" w:sz="2" w:space="0" w:color="auto"/>
              <w:left w:val="single" w:sz="2" w:space="0" w:color="auto"/>
              <w:bottom w:val="single" w:sz="2" w:space="0" w:color="auto"/>
              <w:right w:val="single" w:sz="12" w:space="0" w:color="auto"/>
            </w:tcBorders>
          </w:tcPr>
          <w:p w:rsidR="00376768" w:rsidRDefault="00EC2B72">
            <w:pPr>
              <w:ind w:left="144"/>
              <w:rPr>
                <w:rFonts w:ascii="Arial" w:hAnsi="Arial" w:cs="Arial"/>
                <w:sz w:val="18"/>
              </w:rPr>
            </w:pPr>
            <w:r>
              <w:rPr>
                <w:rFonts w:ascii="Arial" w:hAnsi="Arial" w:cs="Arial"/>
                <w:sz w:val="18"/>
                <w:szCs w:val="18"/>
              </w:rPr>
              <w:t>Christopher T. Scanlon</w:t>
            </w:r>
          </w:p>
        </w:tc>
        <w:tc>
          <w:tcPr>
            <w:tcW w:w="1750" w:type="pct"/>
            <w:tcBorders>
              <w:top w:val="single" w:sz="2" w:space="0" w:color="auto"/>
              <w:left w:val="single" w:sz="12" w:space="0" w:color="auto"/>
              <w:bottom w:val="single" w:sz="2" w:space="0" w:color="auto"/>
              <w:right w:val="single" w:sz="2" w:space="0" w:color="auto"/>
            </w:tcBorders>
          </w:tcPr>
          <w:p w:rsidR="00376768" w:rsidRDefault="00EC2B72">
            <w:pPr>
              <w:jc w:val="center"/>
              <w:rPr>
                <w:rFonts w:ascii="Arial" w:hAnsi="Arial" w:cs="Arial"/>
                <w:sz w:val="18"/>
              </w:rPr>
            </w:pPr>
            <w:r>
              <w:rPr>
                <w:rFonts w:ascii="Arial" w:hAnsi="Arial" w:cs="Arial"/>
                <w:sz w:val="18"/>
                <w:szCs w:val="18"/>
              </w:rPr>
              <w:t>870</w:t>
            </w:r>
          </w:p>
        </w:tc>
        <w:tc>
          <w:tcPr>
            <w:tcW w:w="1500" w:type="pct"/>
            <w:tcBorders>
              <w:top w:val="single" w:sz="2" w:space="0" w:color="auto"/>
              <w:left w:val="single" w:sz="2" w:space="0" w:color="auto"/>
              <w:bottom w:val="single" w:sz="2" w:space="0" w:color="auto"/>
              <w:right w:val="single" w:sz="2" w:space="0" w:color="auto"/>
            </w:tcBorders>
          </w:tcPr>
          <w:p w:rsidR="00376768" w:rsidRDefault="00EC2B72">
            <w:pPr>
              <w:jc w:val="center"/>
              <w:rPr>
                <w:rFonts w:ascii="Arial" w:hAnsi="Arial" w:cs="Arial"/>
                <w:sz w:val="18"/>
              </w:rPr>
            </w:pPr>
            <w:r>
              <w:rPr>
                <w:rFonts w:ascii="Arial" w:hAnsi="Arial" w:cs="Arial"/>
                <w:sz w:val="18"/>
                <w:szCs w:val="18"/>
              </w:rPr>
              <w:t>12,037</w:t>
            </w:r>
          </w:p>
        </w:tc>
      </w:tr>
      <w:tr w:rsidR="00376768">
        <w:trPr>
          <w:jc w:val="center"/>
        </w:trPr>
        <w:tc>
          <w:tcPr>
            <w:tcW w:w="1750" w:type="pct"/>
            <w:tcBorders>
              <w:top w:val="single" w:sz="2" w:space="0" w:color="auto"/>
              <w:left w:val="single" w:sz="2" w:space="0" w:color="auto"/>
              <w:bottom w:val="single" w:sz="2" w:space="0" w:color="auto"/>
              <w:right w:val="single" w:sz="12" w:space="0" w:color="auto"/>
            </w:tcBorders>
          </w:tcPr>
          <w:p w:rsidR="00376768" w:rsidRDefault="00EC2B72">
            <w:pPr>
              <w:ind w:left="144"/>
              <w:rPr>
                <w:rFonts w:ascii="Arial" w:hAnsi="Arial" w:cs="Arial"/>
                <w:sz w:val="18"/>
              </w:rPr>
            </w:pPr>
            <w:r>
              <w:rPr>
                <w:rFonts w:ascii="Arial" w:hAnsi="Arial" w:cs="Arial"/>
                <w:sz w:val="18"/>
                <w:szCs w:val="18"/>
              </w:rPr>
              <w:t xml:space="preserve">John F. </w:t>
            </w:r>
            <w:proofErr w:type="spellStart"/>
            <w:r>
              <w:rPr>
                <w:rFonts w:ascii="Arial" w:hAnsi="Arial" w:cs="Arial"/>
                <w:sz w:val="18"/>
                <w:szCs w:val="18"/>
              </w:rPr>
              <w:t>Kasel</w:t>
            </w:r>
            <w:proofErr w:type="spellEnd"/>
          </w:p>
        </w:tc>
        <w:tc>
          <w:tcPr>
            <w:tcW w:w="1750" w:type="pct"/>
            <w:tcBorders>
              <w:top w:val="single" w:sz="2" w:space="0" w:color="auto"/>
              <w:left w:val="single" w:sz="12" w:space="0" w:color="auto"/>
              <w:bottom w:val="single" w:sz="2" w:space="0" w:color="auto"/>
              <w:right w:val="single" w:sz="2" w:space="0" w:color="auto"/>
            </w:tcBorders>
          </w:tcPr>
          <w:p w:rsidR="00376768" w:rsidRDefault="00EC2B72">
            <w:pPr>
              <w:jc w:val="center"/>
              <w:rPr>
                <w:rFonts w:ascii="Arial" w:hAnsi="Arial" w:cs="Arial"/>
                <w:sz w:val="18"/>
              </w:rPr>
            </w:pPr>
            <w:r>
              <w:rPr>
                <w:rFonts w:ascii="Arial" w:hAnsi="Arial" w:cs="Arial"/>
                <w:sz w:val="18"/>
                <w:szCs w:val="18"/>
              </w:rPr>
              <w:t>3,006</w:t>
            </w:r>
          </w:p>
        </w:tc>
        <w:tc>
          <w:tcPr>
            <w:tcW w:w="1500" w:type="pct"/>
            <w:tcBorders>
              <w:top w:val="single" w:sz="2" w:space="0" w:color="auto"/>
              <w:left w:val="single" w:sz="2" w:space="0" w:color="auto"/>
              <w:bottom w:val="single" w:sz="2" w:space="0" w:color="auto"/>
              <w:right w:val="single" w:sz="2" w:space="0" w:color="auto"/>
            </w:tcBorders>
          </w:tcPr>
          <w:p w:rsidR="00376768" w:rsidRDefault="00EC2B72">
            <w:pPr>
              <w:jc w:val="center"/>
              <w:rPr>
                <w:rFonts w:ascii="Arial" w:hAnsi="Arial" w:cs="Arial"/>
                <w:sz w:val="18"/>
              </w:rPr>
            </w:pPr>
            <w:r>
              <w:rPr>
                <w:rFonts w:ascii="Arial" w:hAnsi="Arial" w:cs="Arial"/>
                <w:sz w:val="18"/>
                <w:szCs w:val="18"/>
              </w:rPr>
              <w:t>41,624</w:t>
            </w:r>
          </w:p>
        </w:tc>
      </w:tr>
      <w:tr w:rsidR="00376768">
        <w:trPr>
          <w:jc w:val="center"/>
        </w:trPr>
        <w:tc>
          <w:tcPr>
            <w:tcW w:w="1750" w:type="pct"/>
            <w:tcBorders>
              <w:top w:val="single" w:sz="2" w:space="0" w:color="auto"/>
              <w:left w:val="single" w:sz="2" w:space="0" w:color="auto"/>
              <w:bottom w:val="single" w:sz="2" w:space="0" w:color="auto"/>
              <w:right w:val="single" w:sz="12" w:space="0" w:color="auto"/>
            </w:tcBorders>
          </w:tcPr>
          <w:p w:rsidR="00376768" w:rsidRDefault="00EC2B72">
            <w:pPr>
              <w:ind w:left="144"/>
              <w:rPr>
                <w:rFonts w:ascii="Arial" w:hAnsi="Arial" w:cs="Arial"/>
                <w:sz w:val="18"/>
              </w:rPr>
            </w:pPr>
            <w:r>
              <w:rPr>
                <w:rFonts w:ascii="Arial" w:hAnsi="Arial" w:cs="Arial"/>
                <w:sz w:val="18"/>
                <w:szCs w:val="18"/>
              </w:rPr>
              <w:t xml:space="preserve">Patrick J. </w:t>
            </w:r>
            <w:proofErr w:type="spellStart"/>
            <w:r>
              <w:rPr>
                <w:rFonts w:ascii="Arial" w:hAnsi="Arial" w:cs="Arial"/>
                <w:sz w:val="18"/>
                <w:szCs w:val="18"/>
              </w:rPr>
              <w:t>Guinee</w:t>
            </w:r>
            <w:proofErr w:type="spellEnd"/>
          </w:p>
        </w:tc>
        <w:tc>
          <w:tcPr>
            <w:tcW w:w="1750" w:type="pct"/>
            <w:tcBorders>
              <w:top w:val="single" w:sz="2" w:space="0" w:color="auto"/>
              <w:left w:val="single" w:sz="12" w:space="0" w:color="auto"/>
              <w:bottom w:val="single" w:sz="2" w:space="0" w:color="auto"/>
              <w:right w:val="single" w:sz="2" w:space="0" w:color="auto"/>
            </w:tcBorders>
          </w:tcPr>
          <w:p w:rsidR="00376768" w:rsidRDefault="00EC2B72">
            <w:pPr>
              <w:jc w:val="center"/>
              <w:rPr>
                <w:rFonts w:ascii="Arial" w:hAnsi="Arial" w:cs="Arial"/>
                <w:sz w:val="18"/>
              </w:rPr>
            </w:pPr>
            <w:r>
              <w:rPr>
                <w:rFonts w:ascii="Arial" w:hAnsi="Arial" w:cs="Arial"/>
                <w:sz w:val="18"/>
                <w:szCs w:val="18"/>
              </w:rPr>
              <w:t>1,400</w:t>
            </w:r>
          </w:p>
        </w:tc>
        <w:tc>
          <w:tcPr>
            <w:tcW w:w="1500" w:type="pct"/>
            <w:tcBorders>
              <w:top w:val="single" w:sz="2" w:space="0" w:color="auto"/>
              <w:left w:val="single" w:sz="2" w:space="0" w:color="auto"/>
              <w:bottom w:val="single" w:sz="2" w:space="0" w:color="auto"/>
              <w:right w:val="single" w:sz="2" w:space="0" w:color="auto"/>
            </w:tcBorders>
          </w:tcPr>
          <w:p w:rsidR="00376768" w:rsidRDefault="00EC2B72">
            <w:pPr>
              <w:jc w:val="center"/>
              <w:rPr>
                <w:rFonts w:ascii="Arial" w:hAnsi="Arial" w:cs="Arial"/>
                <w:sz w:val="18"/>
              </w:rPr>
            </w:pPr>
            <w:r>
              <w:rPr>
                <w:rFonts w:ascii="Arial" w:hAnsi="Arial" w:cs="Arial"/>
                <w:sz w:val="18"/>
                <w:szCs w:val="18"/>
              </w:rPr>
              <w:t>18,830</w:t>
            </w:r>
          </w:p>
        </w:tc>
      </w:tr>
      <w:tr w:rsidR="00376768">
        <w:trPr>
          <w:jc w:val="center"/>
        </w:trPr>
        <w:tc>
          <w:tcPr>
            <w:tcW w:w="1750" w:type="pct"/>
            <w:tcBorders>
              <w:top w:val="single" w:sz="2" w:space="0" w:color="auto"/>
              <w:left w:val="single" w:sz="2" w:space="0" w:color="auto"/>
              <w:bottom w:val="single" w:sz="2" w:space="0" w:color="auto"/>
              <w:right w:val="single" w:sz="12" w:space="0" w:color="auto"/>
            </w:tcBorders>
          </w:tcPr>
          <w:p w:rsidR="00376768" w:rsidRDefault="00EC2B72">
            <w:pPr>
              <w:ind w:left="144"/>
              <w:rPr>
                <w:rFonts w:ascii="Arial" w:hAnsi="Arial" w:cs="Arial"/>
                <w:sz w:val="18"/>
              </w:rPr>
            </w:pPr>
            <w:r>
              <w:rPr>
                <w:rFonts w:ascii="Arial" w:hAnsi="Arial" w:cs="Arial"/>
                <w:sz w:val="18"/>
                <w:szCs w:val="18"/>
              </w:rPr>
              <w:t>Brian H. Kelly</w:t>
            </w:r>
          </w:p>
        </w:tc>
        <w:tc>
          <w:tcPr>
            <w:tcW w:w="1750" w:type="pct"/>
            <w:tcBorders>
              <w:top w:val="single" w:sz="2" w:space="0" w:color="auto"/>
              <w:left w:val="single" w:sz="12" w:space="0" w:color="auto"/>
              <w:bottom w:val="single" w:sz="2" w:space="0" w:color="auto"/>
              <w:right w:val="single" w:sz="2" w:space="0" w:color="auto"/>
            </w:tcBorders>
          </w:tcPr>
          <w:p w:rsidR="00376768" w:rsidRDefault="00EC2B72">
            <w:pPr>
              <w:jc w:val="center"/>
              <w:rPr>
                <w:rFonts w:ascii="Arial" w:hAnsi="Arial" w:cs="Arial"/>
                <w:sz w:val="18"/>
              </w:rPr>
            </w:pPr>
            <w:r>
              <w:rPr>
                <w:rFonts w:ascii="Arial" w:hAnsi="Arial" w:cs="Arial"/>
                <w:sz w:val="18"/>
                <w:szCs w:val="18"/>
              </w:rPr>
              <w:t>1,919</w:t>
            </w:r>
          </w:p>
        </w:tc>
        <w:tc>
          <w:tcPr>
            <w:tcW w:w="1500" w:type="pct"/>
            <w:tcBorders>
              <w:top w:val="single" w:sz="2" w:space="0" w:color="auto"/>
              <w:left w:val="single" w:sz="2" w:space="0" w:color="auto"/>
              <w:bottom w:val="single" w:sz="2" w:space="0" w:color="auto"/>
              <w:right w:val="single" w:sz="2" w:space="0" w:color="auto"/>
            </w:tcBorders>
          </w:tcPr>
          <w:p w:rsidR="00376768" w:rsidRDefault="00EC2B72">
            <w:pPr>
              <w:jc w:val="center"/>
              <w:rPr>
                <w:rFonts w:ascii="Arial" w:hAnsi="Arial" w:cs="Arial"/>
                <w:sz w:val="18"/>
              </w:rPr>
            </w:pPr>
            <w:r>
              <w:rPr>
                <w:rFonts w:ascii="Arial" w:hAnsi="Arial" w:cs="Arial"/>
                <w:sz w:val="18"/>
                <w:szCs w:val="18"/>
              </w:rPr>
              <w:t>26,557</w:t>
            </w:r>
          </w:p>
        </w:tc>
      </w:tr>
    </w:tbl>
    <w:p w:rsidR="00376768" w:rsidRDefault="00376768"/>
    <w:tbl>
      <w:tblPr>
        <w:tblW w:w="999" w:type="pct"/>
        <w:tblLayout w:type="fixed"/>
        <w:tblCellMar>
          <w:left w:w="0" w:type="dxa"/>
          <w:right w:w="0" w:type="dxa"/>
        </w:tblCellMar>
        <w:tblLook w:val="0000" w:firstRow="0" w:lastRow="0" w:firstColumn="0" w:lastColumn="0" w:noHBand="0" w:noVBand="0"/>
      </w:tblPr>
      <w:tblGrid>
        <w:gridCol w:w="2158"/>
      </w:tblGrid>
      <w:tr w:rsidR="00376768">
        <w:tc>
          <w:tcPr>
            <w:tcW w:w="5000" w:type="pct"/>
            <w:tcBorders>
              <w:bottom w:val="single" w:sz="4" w:space="0" w:color="auto"/>
            </w:tcBorders>
          </w:tcPr>
          <w:p w:rsidR="00376768" w:rsidRDefault="00376768">
            <w:pPr>
              <w:rPr>
                <w:rFonts w:ascii="Arial" w:hAnsi="Arial" w:cs="Arial"/>
                <w:sz w:val="8"/>
              </w:rPr>
            </w:pPr>
          </w:p>
        </w:tc>
      </w:tr>
    </w:tbl>
    <w:p w:rsidR="00376768" w:rsidRDefault="00EC2B72">
      <w:pPr>
        <w:spacing w:before="160"/>
        <w:ind w:left="360" w:hanging="360"/>
        <w:jc w:val="both"/>
        <w:rPr>
          <w:rFonts w:ascii="Arial" w:hAnsi="Arial" w:cs="Arial"/>
          <w:sz w:val="16"/>
        </w:rPr>
      </w:pPr>
      <w:r>
        <w:rPr>
          <w:rFonts w:ascii="Arial" w:hAnsi="Arial" w:cs="Arial"/>
          <w:sz w:val="16"/>
          <w:szCs w:val="12"/>
          <w:vertAlign w:val="superscript"/>
        </w:rPr>
        <w:t>(1)</w:t>
      </w:r>
      <w:r>
        <w:rPr>
          <w:rFonts w:ascii="Arial" w:hAnsi="Arial" w:cs="Arial"/>
          <w:sz w:val="16"/>
          <w:szCs w:val="12"/>
          <w:vertAlign w:val="superscript"/>
        </w:rPr>
        <w:tab/>
      </w:r>
      <w:r>
        <w:rPr>
          <w:rFonts w:ascii="Arial" w:hAnsi="Arial" w:cs="Arial"/>
          <w:sz w:val="16"/>
          <w:szCs w:val="16"/>
        </w:rPr>
        <w:t xml:space="preserve">With respect to restricted stock, Mr. Bauer received distributions of 2,071 shares on January 25, 2017 at $14.95 (closing price on that day) per share, 2,869 shares on February 27, 2017 at $14.75 (closing price on that day) per share, and 1,534 shares on March 13, 2017 at $13.45 (closing price on that day) per share; Mr. Russo received distributions of 2,155 shares on February 17, 2017 at $13.45 (closing price on that day) per share, 918 shares on February 27, 2017 at $14.75 (closing price on that day) per share, and 503 shares on March 13, 2017 at $13.45 (closing price on that day) per share; Mr. Scanlon received distributions of 503 shares on February 17, 2017 at $13.45 (closing price on that day) per share, 258 shares on February 27, 2017 at $14.75 (closing price on that day) per share, and 109 shares on March 13, 2017 at $13.45 (closing price on that day) per share; Mr. </w:t>
      </w:r>
      <w:proofErr w:type="spellStart"/>
      <w:r>
        <w:rPr>
          <w:rFonts w:ascii="Arial" w:hAnsi="Arial" w:cs="Arial"/>
          <w:sz w:val="16"/>
          <w:szCs w:val="16"/>
        </w:rPr>
        <w:t>Kasel</w:t>
      </w:r>
      <w:proofErr w:type="spellEnd"/>
      <w:r>
        <w:rPr>
          <w:rFonts w:ascii="Arial" w:hAnsi="Arial" w:cs="Arial"/>
          <w:sz w:val="16"/>
          <w:szCs w:val="16"/>
        </w:rPr>
        <w:t xml:space="preserve"> received distributions of 1,652 shares on February 17, 2017 at $13.45 (closing price on that day) per share, 918 shares on February 27, 2017 at $14.75 (closing price on that day) per share, and 436 shares on March 13, 2017 at $13.45 (closing price on that day) per share; Mr. </w:t>
      </w:r>
      <w:proofErr w:type="spellStart"/>
      <w:r>
        <w:rPr>
          <w:rFonts w:ascii="Arial" w:hAnsi="Arial" w:cs="Arial"/>
          <w:sz w:val="16"/>
          <w:szCs w:val="16"/>
        </w:rPr>
        <w:t>Guinee</w:t>
      </w:r>
      <w:proofErr w:type="spellEnd"/>
      <w:r>
        <w:rPr>
          <w:rFonts w:ascii="Arial" w:hAnsi="Arial" w:cs="Arial"/>
          <w:sz w:val="16"/>
          <w:szCs w:val="16"/>
        </w:rPr>
        <w:t xml:space="preserve"> received a distribution of 1,149 shares on February 17, 2017 at $13.45 (closing price on that day) per share and 251 shares on March 13, 2017 at $13.45 (closing price on that day) per share; Mr. Kelly received distributions of 1,077 on February 17, 2017 at $13.45 (closing price on that day) per share, 574 shares on February 27, 2017 at $14.75 (closing price on that day) per share, and 268 shares on March 13, 2017 at $13.45 (closing price on that day) per share. No PSUs were earned or distributed in 2017.</w:t>
      </w:r>
    </w:p>
    <w:p w:rsidR="00376768" w:rsidRDefault="00EC2B72">
      <w:pPr>
        <w:jc w:val="center"/>
        <w:rPr>
          <w:rFonts w:ascii="Arial" w:hAnsi="Arial" w:cs="Arial"/>
          <w:b/>
        </w:rPr>
      </w:pPr>
      <w:r>
        <w:rPr>
          <w:rFonts w:ascii="Arial" w:hAnsi="Arial" w:cs="Arial"/>
        </w:rPr>
        <w:br w:type="page"/>
      </w:r>
      <w:r>
        <w:rPr>
          <w:rFonts w:ascii="Arial" w:hAnsi="Arial" w:cs="Arial"/>
          <w:b/>
        </w:rPr>
        <w:lastRenderedPageBreak/>
        <w:t>2017 NO</w:t>
      </w:r>
      <w:bookmarkStart w:id="36" w:name="a036_v1"/>
      <w:bookmarkEnd w:id="36"/>
      <w:r>
        <w:rPr>
          <w:rFonts w:ascii="Arial" w:hAnsi="Arial" w:cs="Arial"/>
          <w:b/>
        </w:rPr>
        <w:t>N-QUALIFIED DEFERRED COMPENSATION</w:t>
      </w:r>
    </w:p>
    <w:p w:rsidR="00376768" w:rsidRDefault="00EC2B72">
      <w:pPr>
        <w:spacing w:before="160" w:after="160"/>
        <w:ind w:firstLine="360"/>
        <w:jc w:val="both"/>
        <w:rPr>
          <w:rFonts w:ascii="Arial" w:hAnsi="Arial" w:cs="Arial"/>
        </w:rPr>
      </w:pPr>
      <w:r>
        <w:rPr>
          <w:rFonts w:ascii="Arial" w:hAnsi="Arial" w:cs="Arial"/>
          <w:szCs w:val="20"/>
        </w:rPr>
        <w:t>The following table discloses the contribution, earnings, and balances under the Company’s defined contribution plan that provides for the deferred compensation on a non-qualified tax basis:</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60"/>
        <w:gridCol w:w="2475"/>
        <w:gridCol w:w="2323"/>
        <w:gridCol w:w="2271"/>
      </w:tblGrid>
      <w:tr w:rsidR="00376768">
        <w:trPr>
          <w:jc w:val="center"/>
        </w:trPr>
        <w:tc>
          <w:tcPr>
            <w:tcW w:w="1367" w:type="pct"/>
            <w:vAlign w:val="bottom"/>
          </w:tcPr>
          <w:p w:rsidR="00376768" w:rsidRDefault="00EC2B72">
            <w:pPr>
              <w:spacing w:before="40" w:after="40"/>
              <w:ind w:left="43"/>
              <w:jc w:val="center"/>
              <w:rPr>
                <w:rFonts w:ascii="Arial" w:hAnsi="Arial" w:cs="Arial"/>
                <w:sz w:val="18"/>
                <w:szCs w:val="16"/>
              </w:rPr>
            </w:pPr>
            <w:r>
              <w:rPr>
                <w:rFonts w:ascii="Arial" w:hAnsi="Arial" w:cs="Arial"/>
                <w:b/>
                <w:bCs/>
                <w:sz w:val="18"/>
                <w:szCs w:val="16"/>
              </w:rPr>
              <w:t>Name</w:t>
            </w:r>
          </w:p>
        </w:tc>
        <w:tc>
          <w:tcPr>
            <w:tcW w:w="1272" w:type="pct"/>
          </w:tcPr>
          <w:p w:rsidR="00376768" w:rsidRDefault="00EC2B72">
            <w:pPr>
              <w:spacing w:before="40" w:after="40"/>
              <w:jc w:val="center"/>
              <w:rPr>
                <w:rFonts w:ascii="Arial" w:hAnsi="Arial" w:cs="Arial"/>
                <w:sz w:val="18"/>
                <w:szCs w:val="16"/>
              </w:rPr>
            </w:pPr>
            <w:r>
              <w:rPr>
                <w:rFonts w:ascii="Arial" w:hAnsi="Arial" w:cs="Arial"/>
                <w:b/>
                <w:bCs/>
                <w:sz w:val="18"/>
                <w:szCs w:val="16"/>
              </w:rPr>
              <w:t>Registrant Contributions</w:t>
            </w:r>
            <w:r>
              <w:rPr>
                <w:rFonts w:ascii="Arial" w:hAnsi="Arial" w:cs="Arial"/>
                <w:b/>
                <w:bCs/>
                <w:sz w:val="18"/>
                <w:szCs w:val="16"/>
              </w:rPr>
              <w:br/>
              <w:t xml:space="preserve"> in 2017</w:t>
            </w:r>
            <w:r>
              <w:rPr>
                <w:rFonts w:ascii="Arial" w:hAnsi="Arial" w:cs="Arial"/>
                <w:b/>
                <w:bCs/>
                <w:sz w:val="18"/>
                <w:szCs w:val="16"/>
                <w:vertAlign w:val="superscript"/>
              </w:rPr>
              <w:t>(1)</w:t>
            </w:r>
          </w:p>
        </w:tc>
        <w:tc>
          <w:tcPr>
            <w:tcW w:w="1194" w:type="pct"/>
          </w:tcPr>
          <w:p w:rsidR="00376768" w:rsidRDefault="00EC2B72">
            <w:pPr>
              <w:spacing w:before="40" w:after="40"/>
              <w:jc w:val="center"/>
              <w:rPr>
                <w:rFonts w:ascii="Arial" w:hAnsi="Arial" w:cs="Arial"/>
                <w:sz w:val="18"/>
                <w:szCs w:val="16"/>
              </w:rPr>
            </w:pPr>
            <w:r>
              <w:rPr>
                <w:rFonts w:ascii="Arial" w:hAnsi="Arial" w:cs="Arial"/>
                <w:b/>
                <w:bCs/>
                <w:sz w:val="18"/>
                <w:szCs w:val="16"/>
              </w:rPr>
              <w:t xml:space="preserve">Aggregate Earnings </w:t>
            </w:r>
            <w:r>
              <w:rPr>
                <w:rFonts w:ascii="Arial" w:hAnsi="Arial" w:cs="Arial"/>
                <w:b/>
                <w:bCs/>
                <w:sz w:val="18"/>
                <w:szCs w:val="16"/>
              </w:rPr>
              <w:br/>
              <w:t>in 2017</w:t>
            </w:r>
            <w:r>
              <w:rPr>
                <w:rFonts w:ascii="Arial" w:hAnsi="Arial" w:cs="Arial"/>
                <w:b/>
                <w:bCs/>
                <w:sz w:val="18"/>
                <w:szCs w:val="16"/>
                <w:vertAlign w:val="superscript"/>
              </w:rPr>
              <w:t>(2)</w:t>
            </w:r>
          </w:p>
        </w:tc>
        <w:tc>
          <w:tcPr>
            <w:tcW w:w="1167" w:type="pct"/>
          </w:tcPr>
          <w:p w:rsidR="00376768" w:rsidRDefault="00EC2B72">
            <w:pPr>
              <w:spacing w:before="40" w:after="40"/>
              <w:jc w:val="center"/>
              <w:rPr>
                <w:rFonts w:ascii="Arial" w:hAnsi="Arial" w:cs="Arial"/>
                <w:sz w:val="18"/>
                <w:szCs w:val="16"/>
              </w:rPr>
            </w:pPr>
            <w:r>
              <w:rPr>
                <w:rFonts w:ascii="Arial" w:hAnsi="Arial" w:cs="Arial"/>
                <w:b/>
                <w:bCs/>
                <w:sz w:val="18"/>
                <w:szCs w:val="16"/>
              </w:rPr>
              <w:t>Aggregate Balance at</w:t>
            </w:r>
            <w:r>
              <w:rPr>
                <w:rFonts w:ascii="Arial" w:hAnsi="Arial" w:cs="Arial"/>
                <w:b/>
                <w:bCs/>
                <w:sz w:val="18"/>
                <w:szCs w:val="16"/>
              </w:rPr>
              <w:br/>
              <w:t xml:space="preserve"> December 31, 2017</w:t>
            </w:r>
            <w:r>
              <w:rPr>
                <w:rFonts w:ascii="Arial" w:hAnsi="Arial" w:cs="Arial"/>
                <w:b/>
                <w:bCs/>
                <w:sz w:val="18"/>
                <w:szCs w:val="16"/>
                <w:vertAlign w:val="superscript"/>
              </w:rPr>
              <w:t>(3)</w:t>
            </w:r>
          </w:p>
        </w:tc>
      </w:tr>
      <w:tr w:rsidR="00376768">
        <w:trPr>
          <w:jc w:val="center"/>
        </w:trPr>
        <w:tc>
          <w:tcPr>
            <w:tcW w:w="1367" w:type="pct"/>
          </w:tcPr>
          <w:p w:rsidR="00376768" w:rsidRDefault="00EC2B72">
            <w:pPr>
              <w:spacing w:before="40" w:after="40"/>
              <w:ind w:left="43"/>
              <w:rPr>
                <w:rFonts w:ascii="Arial" w:hAnsi="Arial" w:cs="Arial"/>
                <w:sz w:val="18"/>
              </w:rPr>
            </w:pPr>
            <w:r>
              <w:rPr>
                <w:rFonts w:ascii="Arial" w:hAnsi="Arial" w:cs="Arial"/>
                <w:sz w:val="18"/>
                <w:szCs w:val="18"/>
              </w:rPr>
              <w:t>Robert P. Bauer</w:t>
            </w:r>
          </w:p>
        </w:tc>
        <w:tc>
          <w:tcPr>
            <w:tcW w:w="1272" w:type="pct"/>
          </w:tcPr>
          <w:p w:rsidR="00376768" w:rsidRDefault="00EC2B72">
            <w:pPr>
              <w:spacing w:before="40" w:after="40"/>
              <w:jc w:val="center"/>
              <w:rPr>
                <w:rFonts w:ascii="Arial" w:hAnsi="Arial" w:cs="Arial"/>
                <w:sz w:val="18"/>
              </w:rPr>
            </w:pPr>
            <w:r>
              <w:rPr>
                <w:rFonts w:ascii="Arial" w:hAnsi="Arial" w:cs="Arial"/>
                <w:sz w:val="18"/>
                <w:szCs w:val="18"/>
              </w:rPr>
              <w:t>$20,832</w:t>
            </w:r>
          </w:p>
        </w:tc>
        <w:tc>
          <w:tcPr>
            <w:tcW w:w="1194" w:type="pct"/>
          </w:tcPr>
          <w:p w:rsidR="00376768" w:rsidRDefault="00EC2B72">
            <w:pPr>
              <w:spacing w:before="40" w:after="40"/>
              <w:jc w:val="center"/>
              <w:rPr>
                <w:rFonts w:ascii="Arial" w:hAnsi="Arial" w:cs="Arial"/>
                <w:sz w:val="18"/>
              </w:rPr>
            </w:pPr>
            <w:r>
              <w:rPr>
                <w:rFonts w:ascii="Arial" w:hAnsi="Arial" w:cs="Arial"/>
                <w:sz w:val="18"/>
                <w:szCs w:val="18"/>
              </w:rPr>
              <w:t>$3,815</w:t>
            </w:r>
          </w:p>
        </w:tc>
        <w:tc>
          <w:tcPr>
            <w:tcW w:w="1167" w:type="pct"/>
          </w:tcPr>
          <w:p w:rsidR="00376768" w:rsidRDefault="00EC2B72">
            <w:pPr>
              <w:spacing w:before="40" w:after="40"/>
              <w:jc w:val="center"/>
              <w:rPr>
                <w:rFonts w:ascii="Arial" w:hAnsi="Arial" w:cs="Arial"/>
                <w:sz w:val="18"/>
              </w:rPr>
            </w:pPr>
            <w:r>
              <w:rPr>
                <w:rFonts w:ascii="Arial" w:hAnsi="Arial" w:cs="Arial"/>
                <w:sz w:val="18"/>
                <w:szCs w:val="18"/>
              </w:rPr>
              <w:t>$220,597</w:t>
            </w:r>
          </w:p>
        </w:tc>
      </w:tr>
      <w:tr w:rsidR="00376768">
        <w:trPr>
          <w:jc w:val="center"/>
        </w:trPr>
        <w:tc>
          <w:tcPr>
            <w:tcW w:w="1367" w:type="pct"/>
          </w:tcPr>
          <w:p w:rsidR="00376768" w:rsidRDefault="00EC2B72">
            <w:pPr>
              <w:spacing w:before="40" w:after="40"/>
              <w:ind w:left="43"/>
              <w:rPr>
                <w:rFonts w:ascii="Arial" w:hAnsi="Arial" w:cs="Arial"/>
                <w:sz w:val="18"/>
              </w:rPr>
            </w:pPr>
            <w:r>
              <w:rPr>
                <w:rFonts w:ascii="Arial" w:hAnsi="Arial" w:cs="Arial"/>
                <w:sz w:val="18"/>
                <w:szCs w:val="18"/>
              </w:rPr>
              <w:t>James P. Maloney</w:t>
            </w:r>
          </w:p>
        </w:tc>
        <w:tc>
          <w:tcPr>
            <w:tcW w:w="1272" w:type="pct"/>
          </w:tcPr>
          <w:p w:rsidR="00376768" w:rsidRDefault="00EC2B72">
            <w:pPr>
              <w:spacing w:before="40" w:after="40"/>
              <w:jc w:val="center"/>
              <w:rPr>
                <w:rFonts w:ascii="Arial" w:hAnsi="Arial" w:cs="Arial"/>
                <w:sz w:val="18"/>
              </w:rPr>
            </w:pPr>
            <w:r>
              <w:rPr>
                <w:rFonts w:ascii="Arial" w:hAnsi="Arial" w:cs="Arial"/>
                <w:sz w:val="18"/>
                <w:szCs w:val="18"/>
              </w:rPr>
              <w:t>$0</w:t>
            </w:r>
          </w:p>
        </w:tc>
        <w:tc>
          <w:tcPr>
            <w:tcW w:w="1194" w:type="pct"/>
          </w:tcPr>
          <w:p w:rsidR="00376768" w:rsidRDefault="00EC2B72">
            <w:pPr>
              <w:spacing w:before="40" w:after="40"/>
              <w:jc w:val="center"/>
              <w:rPr>
                <w:rFonts w:ascii="Arial" w:hAnsi="Arial" w:cs="Arial"/>
                <w:sz w:val="18"/>
              </w:rPr>
            </w:pPr>
            <w:r>
              <w:rPr>
                <w:rFonts w:ascii="Arial" w:hAnsi="Arial" w:cs="Arial"/>
                <w:sz w:val="18"/>
                <w:szCs w:val="18"/>
              </w:rPr>
              <w:t>$0</w:t>
            </w:r>
          </w:p>
        </w:tc>
        <w:tc>
          <w:tcPr>
            <w:tcW w:w="1167" w:type="pct"/>
          </w:tcPr>
          <w:p w:rsidR="00376768" w:rsidRDefault="00EC2B72">
            <w:pPr>
              <w:spacing w:before="40" w:after="40"/>
              <w:jc w:val="center"/>
              <w:rPr>
                <w:rFonts w:ascii="Arial" w:hAnsi="Arial" w:cs="Arial"/>
                <w:sz w:val="18"/>
              </w:rPr>
            </w:pPr>
            <w:r>
              <w:rPr>
                <w:rFonts w:ascii="Arial" w:hAnsi="Arial" w:cs="Arial"/>
                <w:sz w:val="18"/>
                <w:szCs w:val="18"/>
              </w:rPr>
              <w:t>$0</w:t>
            </w:r>
          </w:p>
        </w:tc>
      </w:tr>
      <w:tr w:rsidR="00376768">
        <w:trPr>
          <w:jc w:val="center"/>
        </w:trPr>
        <w:tc>
          <w:tcPr>
            <w:tcW w:w="1367" w:type="pct"/>
          </w:tcPr>
          <w:p w:rsidR="00376768" w:rsidRDefault="00EC2B72">
            <w:pPr>
              <w:spacing w:before="40" w:after="40"/>
              <w:ind w:left="43"/>
              <w:rPr>
                <w:rFonts w:ascii="Arial" w:hAnsi="Arial" w:cs="Arial"/>
                <w:sz w:val="18"/>
              </w:rPr>
            </w:pPr>
            <w:r>
              <w:rPr>
                <w:rFonts w:ascii="Arial" w:hAnsi="Arial" w:cs="Arial"/>
                <w:sz w:val="18"/>
                <w:szCs w:val="18"/>
              </w:rPr>
              <w:t>David J. Russo</w:t>
            </w:r>
          </w:p>
        </w:tc>
        <w:tc>
          <w:tcPr>
            <w:tcW w:w="1272" w:type="pct"/>
          </w:tcPr>
          <w:p w:rsidR="00376768" w:rsidRDefault="00EC2B72">
            <w:pPr>
              <w:spacing w:before="40" w:after="40"/>
              <w:jc w:val="center"/>
              <w:rPr>
                <w:rFonts w:ascii="Arial" w:hAnsi="Arial" w:cs="Arial"/>
                <w:sz w:val="18"/>
              </w:rPr>
            </w:pPr>
            <w:r>
              <w:rPr>
                <w:rFonts w:ascii="Arial" w:hAnsi="Arial" w:cs="Arial"/>
                <w:sz w:val="18"/>
                <w:szCs w:val="18"/>
              </w:rPr>
              <w:t>$0</w:t>
            </w:r>
          </w:p>
        </w:tc>
        <w:tc>
          <w:tcPr>
            <w:tcW w:w="1194" w:type="pct"/>
          </w:tcPr>
          <w:p w:rsidR="00376768" w:rsidRDefault="00EC2B72">
            <w:pPr>
              <w:spacing w:before="40" w:after="40"/>
              <w:jc w:val="center"/>
              <w:rPr>
                <w:rFonts w:ascii="Arial" w:hAnsi="Arial" w:cs="Arial"/>
                <w:sz w:val="18"/>
              </w:rPr>
            </w:pPr>
            <w:r>
              <w:rPr>
                <w:rFonts w:ascii="Arial" w:hAnsi="Arial" w:cs="Arial"/>
                <w:sz w:val="18"/>
                <w:szCs w:val="18"/>
              </w:rPr>
              <w:t>$0</w:t>
            </w:r>
          </w:p>
        </w:tc>
        <w:tc>
          <w:tcPr>
            <w:tcW w:w="1167" w:type="pct"/>
          </w:tcPr>
          <w:p w:rsidR="00376768" w:rsidRDefault="00EC2B72">
            <w:pPr>
              <w:spacing w:before="40" w:after="40"/>
              <w:jc w:val="center"/>
              <w:rPr>
                <w:rFonts w:ascii="Arial" w:hAnsi="Arial" w:cs="Arial"/>
                <w:sz w:val="18"/>
              </w:rPr>
            </w:pPr>
            <w:r>
              <w:rPr>
                <w:rFonts w:ascii="Arial" w:hAnsi="Arial" w:cs="Arial"/>
                <w:sz w:val="18"/>
                <w:szCs w:val="18"/>
              </w:rPr>
              <w:t>$0</w:t>
            </w:r>
          </w:p>
        </w:tc>
      </w:tr>
      <w:tr w:rsidR="00376768">
        <w:trPr>
          <w:jc w:val="center"/>
        </w:trPr>
        <w:tc>
          <w:tcPr>
            <w:tcW w:w="1367" w:type="pct"/>
          </w:tcPr>
          <w:p w:rsidR="00376768" w:rsidRDefault="00EC2B72">
            <w:pPr>
              <w:spacing w:before="40" w:after="40"/>
              <w:ind w:left="43"/>
              <w:rPr>
                <w:rFonts w:ascii="Arial" w:hAnsi="Arial" w:cs="Arial"/>
                <w:sz w:val="18"/>
              </w:rPr>
            </w:pPr>
            <w:r>
              <w:rPr>
                <w:rFonts w:ascii="Arial" w:hAnsi="Arial" w:cs="Arial"/>
                <w:sz w:val="18"/>
                <w:szCs w:val="18"/>
              </w:rPr>
              <w:t>Christopher T. Scanlon</w:t>
            </w:r>
          </w:p>
        </w:tc>
        <w:tc>
          <w:tcPr>
            <w:tcW w:w="1272" w:type="pct"/>
          </w:tcPr>
          <w:p w:rsidR="00376768" w:rsidRDefault="00EC2B72">
            <w:pPr>
              <w:spacing w:before="40" w:after="40"/>
              <w:jc w:val="center"/>
              <w:rPr>
                <w:rFonts w:ascii="Arial" w:hAnsi="Arial" w:cs="Arial"/>
                <w:sz w:val="18"/>
              </w:rPr>
            </w:pPr>
            <w:r>
              <w:rPr>
                <w:rFonts w:ascii="Arial" w:hAnsi="Arial" w:cs="Arial"/>
                <w:sz w:val="18"/>
                <w:szCs w:val="18"/>
              </w:rPr>
              <w:t>$0</w:t>
            </w:r>
          </w:p>
        </w:tc>
        <w:tc>
          <w:tcPr>
            <w:tcW w:w="1194" w:type="pct"/>
          </w:tcPr>
          <w:p w:rsidR="00376768" w:rsidRDefault="00EC2B72">
            <w:pPr>
              <w:spacing w:before="40" w:after="40"/>
              <w:jc w:val="center"/>
              <w:rPr>
                <w:rFonts w:ascii="Arial" w:hAnsi="Arial" w:cs="Arial"/>
                <w:sz w:val="18"/>
              </w:rPr>
            </w:pPr>
            <w:r>
              <w:rPr>
                <w:rFonts w:ascii="Arial" w:hAnsi="Arial" w:cs="Arial"/>
                <w:sz w:val="18"/>
                <w:szCs w:val="18"/>
              </w:rPr>
              <w:t>$0</w:t>
            </w:r>
          </w:p>
        </w:tc>
        <w:tc>
          <w:tcPr>
            <w:tcW w:w="1167" w:type="pct"/>
          </w:tcPr>
          <w:p w:rsidR="00376768" w:rsidRDefault="00EC2B72">
            <w:pPr>
              <w:spacing w:before="40" w:after="40"/>
              <w:jc w:val="center"/>
              <w:rPr>
                <w:rFonts w:ascii="Arial" w:hAnsi="Arial" w:cs="Arial"/>
                <w:sz w:val="18"/>
              </w:rPr>
            </w:pPr>
            <w:r>
              <w:rPr>
                <w:rFonts w:ascii="Arial" w:hAnsi="Arial" w:cs="Arial"/>
                <w:sz w:val="18"/>
                <w:szCs w:val="18"/>
              </w:rPr>
              <w:t>$0</w:t>
            </w:r>
          </w:p>
        </w:tc>
      </w:tr>
      <w:tr w:rsidR="00376768">
        <w:trPr>
          <w:jc w:val="center"/>
        </w:trPr>
        <w:tc>
          <w:tcPr>
            <w:tcW w:w="1367" w:type="pct"/>
          </w:tcPr>
          <w:p w:rsidR="00376768" w:rsidRDefault="00EC2B72">
            <w:pPr>
              <w:spacing w:before="40" w:after="40"/>
              <w:ind w:left="43"/>
              <w:rPr>
                <w:rFonts w:ascii="Arial" w:hAnsi="Arial" w:cs="Arial"/>
                <w:sz w:val="18"/>
              </w:rPr>
            </w:pPr>
            <w:r>
              <w:rPr>
                <w:rFonts w:ascii="Arial" w:hAnsi="Arial" w:cs="Arial"/>
                <w:sz w:val="18"/>
                <w:szCs w:val="18"/>
              </w:rPr>
              <w:t xml:space="preserve">John F. </w:t>
            </w:r>
            <w:proofErr w:type="spellStart"/>
            <w:r>
              <w:rPr>
                <w:rFonts w:ascii="Arial" w:hAnsi="Arial" w:cs="Arial"/>
                <w:sz w:val="18"/>
                <w:szCs w:val="18"/>
              </w:rPr>
              <w:t>Kasel</w:t>
            </w:r>
            <w:proofErr w:type="spellEnd"/>
          </w:p>
        </w:tc>
        <w:tc>
          <w:tcPr>
            <w:tcW w:w="1272" w:type="pct"/>
          </w:tcPr>
          <w:p w:rsidR="00376768" w:rsidRDefault="00EC2B72">
            <w:pPr>
              <w:spacing w:before="40" w:after="40"/>
              <w:jc w:val="center"/>
              <w:rPr>
                <w:rFonts w:ascii="Arial" w:hAnsi="Arial" w:cs="Arial"/>
                <w:sz w:val="18"/>
              </w:rPr>
            </w:pPr>
            <w:r>
              <w:rPr>
                <w:rFonts w:ascii="Arial" w:hAnsi="Arial" w:cs="Arial"/>
                <w:sz w:val="18"/>
                <w:szCs w:val="18"/>
              </w:rPr>
              <w:t>$4,157</w:t>
            </w:r>
          </w:p>
        </w:tc>
        <w:tc>
          <w:tcPr>
            <w:tcW w:w="1194" w:type="pct"/>
          </w:tcPr>
          <w:p w:rsidR="00376768" w:rsidRDefault="00EC2B72">
            <w:pPr>
              <w:spacing w:before="40" w:after="40"/>
              <w:jc w:val="center"/>
              <w:rPr>
                <w:rFonts w:ascii="Arial" w:hAnsi="Arial" w:cs="Arial"/>
                <w:sz w:val="18"/>
              </w:rPr>
            </w:pPr>
            <w:r>
              <w:rPr>
                <w:rFonts w:ascii="Arial" w:hAnsi="Arial" w:cs="Arial"/>
                <w:sz w:val="18"/>
                <w:szCs w:val="18"/>
              </w:rPr>
              <w:t>$1,594</w:t>
            </w:r>
          </w:p>
        </w:tc>
        <w:tc>
          <w:tcPr>
            <w:tcW w:w="1167" w:type="pct"/>
          </w:tcPr>
          <w:p w:rsidR="00376768" w:rsidRDefault="00EC2B72">
            <w:pPr>
              <w:spacing w:before="40" w:after="40"/>
              <w:jc w:val="center"/>
              <w:rPr>
                <w:rFonts w:ascii="Arial" w:hAnsi="Arial" w:cs="Arial"/>
                <w:sz w:val="18"/>
              </w:rPr>
            </w:pPr>
            <w:r>
              <w:rPr>
                <w:rFonts w:ascii="Arial" w:hAnsi="Arial" w:cs="Arial"/>
                <w:sz w:val="18"/>
                <w:szCs w:val="18"/>
              </w:rPr>
              <w:t>$92,162</w:t>
            </w:r>
          </w:p>
        </w:tc>
      </w:tr>
      <w:tr w:rsidR="00376768">
        <w:trPr>
          <w:jc w:val="center"/>
        </w:trPr>
        <w:tc>
          <w:tcPr>
            <w:tcW w:w="1367" w:type="pct"/>
          </w:tcPr>
          <w:p w:rsidR="00376768" w:rsidRDefault="00EC2B72">
            <w:pPr>
              <w:spacing w:before="40" w:after="40"/>
              <w:ind w:left="43"/>
              <w:rPr>
                <w:rFonts w:ascii="Arial" w:hAnsi="Arial" w:cs="Arial"/>
                <w:sz w:val="18"/>
              </w:rPr>
            </w:pPr>
            <w:r>
              <w:rPr>
                <w:rFonts w:ascii="Arial" w:hAnsi="Arial" w:cs="Arial"/>
                <w:sz w:val="18"/>
                <w:szCs w:val="18"/>
              </w:rPr>
              <w:t xml:space="preserve">Patrick J. </w:t>
            </w:r>
            <w:proofErr w:type="spellStart"/>
            <w:r>
              <w:rPr>
                <w:rFonts w:ascii="Arial" w:hAnsi="Arial" w:cs="Arial"/>
                <w:sz w:val="18"/>
                <w:szCs w:val="18"/>
              </w:rPr>
              <w:t>Guinee</w:t>
            </w:r>
            <w:proofErr w:type="spellEnd"/>
          </w:p>
        </w:tc>
        <w:tc>
          <w:tcPr>
            <w:tcW w:w="1272" w:type="pct"/>
          </w:tcPr>
          <w:p w:rsidR="00376768" w:rsidRDefault="00EC2B72">
            <w:pPr>
              <w:spacing w:before="40" w:after="40"/>
              <w:jc w:val="center"/>
              <w:rPr>
                <w:rFonts w:ascii="Arial" w:hAnsi="Arial" w:cs="Arial"/>
                <w:sz w:val="18"/>
              </w:rPr>
            </w:pPr>
            <w:r>
              <w:rPr>
                <w:rFonts w:ascii="Arial" w:hAnsi="Arial" w:cs="Arial"/>
                <w:sz w:val="18"/>
                <w:szCs w:val="18"/>
              </w:rPr>
              <w:t>$789</w:t>
            </w:r>
          </w:p>
        </w:tc>
        <w:tc>
          <w:tcPr>
            <w:tcW w:w="1194" w:type="pct"/>
          </w:tcPr>
          <w:p w:rsidR="00376768" w:rsidRDefault="00EC2B72">
            <w:pPr>
              <w:spacing w:before="40" w:after="40"/>
              <w:jc w:val="center"/>
              <w:rPr>
                <w:rFonts w:ascii="Arial" w:hAnsi="Arial" w:cs="Arial"/>
                <w:sz w:val="18"/>
              </w:rPr>
            </w:pPr>
            <w:r>
              <w:rPr>
                <w:rFonts w:ascii="Arial" w:hAnsi="Arial" w:cs="Arial"/>
                <w:sz w:val="18"/>
                <w:szCs w:val="18"/>
              </w:rPr>
              <w:t>$155</w:t>
            </w:r>
          </w:p>
        </w:tc>
        <w:tc>
          <w:tcPr>
            <w:tcW w:w="1167" w:type="pct"/>
          </w:tcPr>
          <w:p w:rsidR="00376768" w:rsidRDefault="00EC2B72">
            <w:pPr>
              <w:spacing w:before="40" w:after="40"/>
              <w:jc w:val="center"/>
              <w:rPr>
                <w:rFonts w:ascii="Arial" w:hAnsi="Arial" w:cs="Arial"/>
                <w:sz w:val="18"/>
              </w:rPr>
            </w:pPr>
            <w:r>
              <w:rPr>
                <w:rFonts w:ascii="Arial" w:hAnsi="Arial" w:cs="Arial"/>
                <w:sz w:val="18"/>
                <w:szCs w:val="18"/>
              </w:rPr>
              <w:t>$8,938</w:t>
            </w:r>
          </w:p>
        </w:tc>
      </w:tr>
      <w:tr w:rsidR="00376768">
        <w:trPr>
          <w:jc w:val="center"/>
        </w:trPr>
        <w:tc>
          <w:tcPr>
            <w:tcW w:w="1367" w:type="pct"/>
          </w:tcPr>
          <w:p w:rsidR="00376768" w:rsidRDefault="00EC2B72">
            <w:pPr>
              <w:spacing w:before="40" w:after="40"/>
              <w:ind w:left="43"/>
              <w:rPr>
                <w:rFonts w:ascii="Arial" w:hAnsi="Arial" w:cs="Arial"/>
                <w:sz w:val="18"/>
              </w:rPr>
            </w:pPr>
            <w:r>
              <w:rPr>
                <w:rFonts w:ascii="Arial" w:hAnsi="Arial" w:cs="Arial"/>
                <w:sz w:val="18"/>
                <w:szCs w:val="18"/>
              </w:rPr>
              <w:t>Brian H. Kelly</w:t>
            </w:r>
          </w:p>
        </w:tc>
        <w:tc>
          <w:tcPr>
            <w:tcW w:w="1272" w:type="pct"/>
          </w:tcPr>
          <w:p w:rsidR="00376768" w:rsidRDefault="00EC2B72">
            <w:pPr>
              <w:spacing w:before="40" w:after="40"/>
              <w:jc w:val="center"/>
              <w:rPr>
                <w:rFonts w:ascii="Arial" w:hAnsi="Arial" w:cs="Arial"/>
                <w:sz w:val="18"/>
              </w:rPr>
            </w:pPr>
            <w:r>
              <w:rPr>
                <w:rFonts w:ascii="Arial" w:hAnsi="Arial" w:cs="Arial"/>
                <w:sz w:val="18"/>
                <w:szCs w:val="18"/>
              </w:rPr>
              <w:t>$0</w:t>
            </w:r>
          </w:p>
        </w:tc>
        <w:tc>
          <w:tcPr>
            <w:tcW w:w="1194" w:type="pct"/>
          </w:tcPr>
          <w:p w:rsidR="00376768" w:rsidRDefault="00EC2B72">
            <w:pPr>
              <w:spacing w:before="40" w:after="40"/>
              <w:jc w:val="center"/>
              <w:rPr>
                <w:rFonts w:ascii="Arial" w:hAnsi="Arial" w:cs="Arial"/>
                <w:sz w:val="18"/>
              </w:rPr>
            </w:pPr>
            <w:r>
              <w:rPr>
                <w:rFonts w:ascii="Arial" w:hAnsi="Arial" w:cs="Arial"/>
                <w:sz w:val="18"/>
                <w:szCs w:val="18"/>
              </w:rPr>
              <w:t>$437</w:t>
            </w:r>
          </w:p>
        </w:tc>
        <w:tc>
          <w:tcPr>
            <w:tcW w:w="1167" w:type="pct"/>
          </w:tcPr>
          <w:p w:rsidR="00376768" w:rsidRDefault="00EC2B72">
            <w:pPr>
              <w:spacing w:before="40" w:after="40"/>
              <w:jc w:val="center"/>
              <w:rPr>
                <w:rFonts w:ascii="Arial" w:hAnsi="Arial" w:cs="Arial"/>
                <w:sz w:val="18"/>
              </w:rPr>
            </w:pPr>
            <w:r>
              <w:rPr>
                <w:rFonts w:ascii="Arial" w:hAnsi="Arial" w:cs="Arial"/>
                <w:sz w:val="18"/>
                <w:szCs w:val="18"/>
              </w:rPr>
              <w:t>$25,279</w:t>
            </w:r>
          </w:p>
        </w:tc>
      </w:tr>
    </w:tbl>
    <w:p w:rsidR="00376768" w:rsidRDefault="00376768">
      <w:pPr>
        <w:jc w:val="both"/>
        <w:rPr>
          <w:rFonts w:ascii="Arial" w:hAnsi="Arial" w:cs="Arial"/>
          <w:szCs w:val="14"/>
          <w:vertAlign w:val="superscript"/>
        </w:rPr>
      </w:pPr>
    </w:p>
    <w:tbl>
      <w:tblPr>
        <w:tblW w:w="1000" w:type="pct"/>
        <w:tblBorders>
          <w:bottom w:val="single" w:sz="4" w:space="0" w:color="auto"/>
        </w:tblBorders>
        <w:tblLayout w:type="fixed"/>
        <w:tblCellMar>
          <w:left w:w="0" w:type="dxa"/>
          <w:right w:w="0" w:type="dxa"/>
        </w:tblCellMar>
        <w:tblLook w:val="0000" w:firstRow="0" w:lastRow="0" w:firstColumn="0" w:lastColumn="0" w:noHBand="0" w:noVBand="0"/>
      </w:tblPr>
      <w:tblGrid>
        <w:gridCol w:w="2160"/>
      </w:tblGrid>
      <w:tr w:rsidR="00376768">
        <w:tc>
          <w:tcPr>
            <w:tcW w:w="5000" w:type="pct"/>
          </w:tcPr>
          <w:p w:rsidR="00376768" w:rsidRDefault="00376768">
            <w:pPr>
              <w:rPr>
                <w:rFonts w:ascii="Arial" w:hAnsi="Arial" w:cs="Arial"/>
                <w:sz w:val="2"/>
                <w:szCs w:val="14"/>
                <w:vertAlign w:val="superscript"/>
              </w:rPr>
            </w:pPr>
          </w:p>
        </w:tc>
      </w:tr>
    </w:tbl>
    <w:p w:rsidR="00376768" w:rsidRDefault="00EC2B72">
      <w:pPr>
        <w:spacing w:before="160"/>
        <w:ind w:left="360" w:hanging="360"/>
        <w:jc w:val="both"/>
        <w:rPr>
          <w:rFonts w:ascii="Arial" w:hAnsi="Arial" w:cs="Arial"/>
          <w:sz w:val="16"/>
          <w:szCs w:val="16"/>
        </w:rPr>
      </w:pPr>
      <w:r>
        <w:rPr>
          <w:rFonts w:ascii="Arial" w:hAnsi="Arial" w:cs="Arial"/>
          <w:sz w:val="16"/>
          <w:szCs w:val="16"/>
          <w:vertAlign w:val="superscript"/>
        </w:rPr>
        <w:t>(1)</w:t>
      </w:r>
      <w:r>
        <w:rPr>
          <w:rFonts w:ascii="Arial" w:hAnsi="Arial" w:cs="Arial"/>
          <w:sz w:val="16"/>
          <w:szCs w:val="16"/>
          <w:vertAlign w:val="superscript"/>
        </w:rPr>
        <w:tab/>
      </w:r>
      <w:r>
        <w:rPr>
          <w:rFonts w:ascii="Arial" w:hAnsi="Arial" w:cs="Arial"/>
          <w:sz w:val="16"/>
          <w:szCs w:val="16"/>
        </w:rPr>
        <w:t>Amounts represent 2017 Company contributions to the SERP, which are included in the “All Other Compensation” column of the Summary Compensation table as described on page 54.</w:t>
      </w:r>
    </w:p>
    <w:p w:rsidR="00376768" w:rsidRDefault="00EC2B72">
      <w:pPr>
        <w:spacing w:before="160"/>
        <w:ind w:left="360" w:hanging="360"/>
        <w:jc w:val="both"/>
        <w:rPr>
          <w:rFonts w:ascii="Arial" w:hAnsi="Arial" w:cs="Arial"/>
          <w:sz w:val="16"/>
          <w:szCs w:val="16"/>
        </w:rPr>
      </w:pPr>
      <w:r>
        <w:rPr>
          <w:rFonts w:ascii="Arial" w:hAnsi="Arial" w:cs="Arial"/>
          <w:sz w:val="16"/>
          <w:szCs w:val="16"/>
          <w:vertAlign w:val="superscript"/>
        </w:rPr>
        <w:t>(2)</w:t>
      </w:r>
      <w:r>
        <w:rPr>
          <w:rFonts w:ascii="Arial" w:hAnsi="Arial" w:cs="Arial"/>
          <w:sz w:val="16"/>
          <w:szCs w:val="16"/>
          <w:vertAlign w:val="superscript"/>
        </w:rPr>
        <w:tab/>
      </w:r>
      <w:r>
        <w:rPr>
          <w:rFonts w:ascii="Arial" w:hAnsi="Arial" w:cs="Arial"/>
          <w:sz w:val="16"/>
          <w:szCs w:val="16"/>
        </w:rPr>
        <w:t xml:space="preserve">Amounts represent interest earned in 2017. In accordance with the SERP, the Company applies interest to the benefit amount using the calendar year’s rate of return of Fidelity’s Managed Income Portfolio as of December 31, 2017 or a one-year annualized Treasury </w:t>
      </w:r>
      <w:proofErr w:type="gramStart"/>
      <w:r>
        <w:rPr>
          <w:rFonts w:ascii="Arial" w:hAnsi="Arial" w:cs="Arial"/>
          <w:sz w:val="16"/>
          <w:szCs w:val="16"/>
        </w:rPr>
        <w:t>Bill</w:t>
      </w:r>
      <w:proofErr w:type="gramEnd"/>
      <w:r>
        <w:rPr>
          <w:rFonts w:ascii="Arial" w:hAnsi="Arial" w:cs="Arial"/>
          <w:sz w:val="16"/>
          <w:szCs w:val="16"/>
        </w:rPr>
        <w:t xml:space="preserve"> interest rate as of the last Friday of the year, whichever is higher. For 2017, these rates were 1.29% and 1.76%, respectively. The interest rate applied to the benefit in 2017 was 1.76%. The amounts are not included in the Summary Compensation Table as they are not considered to be “above market” or preferential.</w:t>
      </w:r>
    </w:p>
    <w:p w:rsidR="00376768" w:rsidRDefault="00EC2B72">
      <w:pPr>
        <w:spacing w:before="160"/>
        <w:ind w:left="360" w:hanging="360"/>
        <w:jc w:val="both"/>
        <w:rPr>
          <w:rFonts w:ascii="Arial" w:hAnsi="Arial" w:cs="Arial"/>
          <w:sz w:val="16"/>
          <w:szCs w:val="16"/>
        </w:rPr>
      </w:pPr>
      <w:r>
        <w:rPr>
          <w:rFonts w:ascii="Arial" w:hAnsi="Arial" w:cs="Arial"/>
          <w:sz w:val="16"/>
          <w:szCs w:val="16"/>
          <w:vertAlign w:val="superscript"/>
        </w:rPr>
        <w:t>(3)</w:t>
      </w:r>
      <w:r>
        <w:rPr>
          <w:rFonts w:ascii="Arial" w:hAnsi="Arial" w:cs="Arial"/>
          <w:sz w:val="16"/>
          <w:szCs w:val="16"/>
          <w:vertAlign w:val="superscript"/>
        </w:rPr>
        <w:tab/>
      </w:r>
      <w:r>
        <w:rPr>
          <w:rFonts w:ascii="Arial" w:hAnsi="Arial" w:cs="Arial"/>
          <w:sz w:val="16"/>
          <w:szCs w:val="16"/>
        </w:rPr>
        <w:t xml:space="preserve">Amounts represent total SERP balance as of December 31, 2017. Mr. Russo’s SERP benefit was forfeited upon termination of employment. Amounts also include Company contributions to the SERP which were reported in the Summary Compensation Table for the fiscal years in which the executive was a NEO: $27,298 (2016), $45,911 (2015) for Mr. Bauer; $7,732 (2016), $11,663 (2015) for Mr. Russo; $3,590 (2016), $4,255 (2015) for Mr. </w:t>
      </w:r>
      <w:proofErr w:type="spellStart"/>
      <w:r>
        <w:rPr>
          <w:rFonts w:ascii="Arial" w:hAnsi="Arial" w:cs="Arial"/>
          <w:sz w:val="16"/>
          <w:szCs w:val="16"/>
        </w:rPr>
        <w:t>Guinee</w:t>
      </w:r>
      <w:proofErr w:type="spellEnd"/>
      <w:r>
        <w:rPr>
          <w:rFonts w:ascii="Arial" w:hAnsi="Arial" w:cs="Arial"/>
          <w:sz w:val="16"/>
          <w:szCs w:val="16"/>
        </w:rPr>
        <w:t xml:space="preserve">; and $6,121 (2016), $9,268 (2015) for Mr. </w:t>
      </w:r>
      <w:proofErr w:type="spellStart"/>
      <w:r>
        <w:rPr>
          <w:rFonts w:ascii="Arial" w:hAnsi="Arial" w:cs="Arial"/>
          <w:sz w:val="16"/>
          <w:szCs w:val="16"/>
        </w:rPr>
        <w:t>Kasel</w:t>
      </w:r>
      <w:proofErr w:type="spellEnd"/>
      <w:r>
        <w:rPr>
          <w:rFonts w:ascii="Arial" w:hAnsi="Arial" w:cs="Arial"/>
          <w:sz w:val="16"/>
          <w:szCs w:val="16"/>
        </w:rPr>
        <w:t>.</w:t>
      </w:r>
    </w:p>
    <w:p w:rsidR="00376768" w:rsidRDefault="00EC2B72">
      <w:pPr>
        <w:spacing w:before="160"/>
        <w:jc w:val="both"/>
        <w:rPr>
          <w:rFonts w:ascii="Arial" w:hAnsi="Arial" w:cs="Arial"/>
        </w:rPr>
      </w:pPr>
      <w:r>
        <w:rPr>
          <w:rFonts w:ascii="Arial" w:hAnsi="Arial" w:cs="Arial"/>
          <w:b/>
          <w:bCs/>
          <w:i/>
          <w:iCs/>
        </w:rPr>
        <w:t>D</w:t>
      </w:r>
      <w:bookmarkStart w:id="37" w:name="a037_v1"/>
      <w:bookmarkEnd w:id="37"/>
      <w:r>
        <w:rPr>
          <w:rFonts w:ascii="Arial" w:hAnsi="Arial" w:cs="Arial"/>
          <w:b/>
          <w:bCs/>
          <w:i/>
          <w:iCs/>
        </w:rPr>
        <w:t>escription of Supplemental Executive Retirement Plan (“SERP”)</w:t>
      </w:r>
    </w:p>
    <w:p w:rsidR="00376768" w:rsidRDefault="00EC2B72">
      <w:pPr>
        <w:spacing w:before="160"/>
        <w:ind w:firstLine="360"/>
        <w:jc w:val="both"/>
        <w:rPr>
          <w:rFonts w:ascii="Arial" w:hAnsi="Arial" w:cs="Arial"/>
        </w:rPr>
      </w:pPr>
      <w:r>
        <w:rPr>
          <w:rFonts w:ascii="Arial" w:hAnsi="Arial" w:cs="Arial"/>
        </w:rPr>
        <w:t>The SERP is designed primarily for the purpose of providing benefits for a select group of management or highly compensated employees of the Company and its affiliates and is intended to qualify as a “top hat” plan under the Employee Retirement Income Security Act of 1974, as amended. The SERP is an unfunded, unsecured obligation of the Company, the benefits of which will be paid from its general assets.</w:t>
      </w:r>
    </w:p>
    <w:p w:rsidR="00376768" w:rsidRDefault="00EC2B72">
      <w:pPr>
        <w:spacing w:before="160"/>
        <w:ind w:firstLine="360"/>
        <w:jc w:val="both"/>
        <w:rPr>
          <w:rFonts w:ascii="Arial" w:hAnsi="Arial" w:cs="Arial"/>
        </w:rPr>
      </w:pPr>
      <w:r>
        <w:rPr>
          <w:rFonts w:ascii="Arial" w:hAnsi="Arial" w:cs="Arial"/>
        </w:rPr>
        <w:t>We established the SERP in order to attract and retain persons that we consider to be important to our success by providing benefits that are not restricted by the statutory limitations imposed on tax-qualified retirement plans by the federal income tax laws. Executives and other eligible individuals are participants in the SERP.</w:t>
      </w:r>
    </w:p>
    <w:p w:rsidR="00376768" w:rsidRDefault="00EC2B72">
      <w:pPr>
        <w:spacing w:before="160"/>
        <w:ind w:firstLine="360"/>
        <w:jc w:val="both"/>
        <w:rPr>
          <w:rFonts w:ascii="Arial" w:hAnsi="Arial" w:cs="Arial"/>
        </w:rPr>
      </w:pPr>
      <w:r>
        <w:rPr>
          <w:rFonts w:ascii="Arial" w:hAnsi="Arial" w:cs="Arial"/>
        </w:rPr>
        <w:t>The Compensation Committee has reserved the right to terminate a participant’s participation in the SERP at any time. Additionally, if a participant’s employment with the Company or its affiliates is terminated, or if the Compensation Committee, in its sole discretion, determines that a participant will no longer be a participant, the participant’s participation in the SERP (and such person’s right to accrue any benefits thereunder) will terminate.</w:t>
      </w:r>
    </w:p>
    <w:p w:rsidR="00376768" w:rsidRDefault="00EC2B72">
      <w:pPr>
        <w:spacing w:before="160"/>
        <w:ind w:firstLine="360"/>
        <w:jc w:val="both"/>
        <w:rPr>
          <w:rFonts w:ascii="Arial" w:hAnsi="Arial" w:cs="Arial"/>
        </w:rPr>
      </w:pPr>
      <w:r>
        <w:rPr>
          <w:rFonts w:ascii="Arial" w:hAnsi="Arial" w:cs="Arial"/>
        </w:rPr>
        <w:t>The benefit provided under the SERP equals the supplemental retirement contributions credited to the participant’s account under the SERP, if any, as adjusted for interest credits. For each year or portion of a year in which a participant participates in the SERP, the participant may be credited with a matching contribution and/or a profit sharing contribution. The matching contribution is the difference, if any, between (a) the matching contribution that would have been made under the 401(k) Plan if the participant had made elective contributions to such plan sufficient to generate the maximum rate of matching contribution available under such plan, without imposition of any statutory limits imposed on tax-qualified retirement plans by the federal income tax laws and (b) the same amount with the imposition of such limits. The profit sharing contribution is the difference, if any, between (a) the profit sharing contribution that would have resulted if the applicable percentage rate had been applied on the participant’s compensation without regard to any statutory limits imposed on tax-qualified retirement plans by the federal income tax laws and (b) the actual profit sharing contribution allocated to the participant under the 401(k) Plan. The interest credit is applied by the Company each December 31 to the amounts credited to each participant’s bookkeeping account at the greater of (a) a one-year annualized treasury bill interest rate as reported for the last Friday of each year, or (b) calendar year’s rate of return of Fidelity’s Managed Income Portfolio as of December 31 of such year.</w:t>
      </w:r>
    </w:p>
    <w:p w:rsidR="00376768" w:rsidRDefault="00EC2B72">
      <w:pPr>
        <w:spacing w:before="160"/>
        <w:ind w:firstLine="360"/>
        <w:jc w:val="both"/>
        <w:rPr>
          <w:rFonts w:ascii="Arial" w:hAnsi="Arial" w:cs="Arial"/>
        </w:rPr>
      </w:pPr>
      <w:r>
        <w:rPr>
          <w:rFonts w:ascii="Arial" w:hAnsi="Arial" w:cs="Arial"/>
        </w:rPr>
        <w:t xml:space="preserve">The balance in a participant’s bookkeeping account generally becomes distributable, in the form of a lump sum, following the six-month anniversary of a participant’s separation from service due to involuntary termination by the </w:t>
      </w:r>
      <w:r>
        <w:rPr>
          <w:rFonts w:ascii="Arial" w:hAnsi="Arial" w:cs="Arial"/>
        </w:rPr>
        <w:lastRenderedPageBreak/>
        <w:t>Company (other than for cause) or retirement upon attainment of age 65 (or 55 with the Compensation Committee’s approval). Distributions may commence sooner for participants who are not considered “key employees” under the federal income tax laws and/or in the event of a participant’s death or separation from service due to disability, as defined in the SERP. No benefits are payable under the SERP if a participant terminates employment for any reason other than those specified above.</w:t>
      </w:r>
    </w:p>
    <w:p w:rsidR="00376768" w:rsidRDefault="00EC2B72">
      <w:pPr>
        <w:spacing w:before="160"/>
        <w:ind w:firstLine="360"/>
        <w:jc w:val="both"/>
        <w:rPr>
          <w:rFonts w:ascii="Arial" w:hAnsi="Arial" w:cs="Arial"/>
        </w:rPr>
      </w:pPr>
      <w:r>
        <w:rPr>
          <w:rFonts w:ascii="Arial" w:hAnsi="Arial" w:cs="Arial"/>
        </w:rPr>
        <w:t>If a participant is discharged by the Company for cause (i.e., conduct that is injurious to the Company, conduct which intentionally violates either the Company’s written policies or the reasonable directives of the Company’s CEO, or the commission of a felony), such participant’s rights to any benefits under the SERP will be forfeited. If the Compensation Committee determines that a participant is engaged in conduct detrimental to the interests of the Company or has used or is using trade secrets or other confidential information gained while employed with the Company, the Compensation Committee may, upon written notice to the participant, suspend or forfeit the participant’s right to any benefit under the SERP.</w:t>
      </w:r>
    </w:p>
    <w:p w:rsidR="00376768" w:rsidRDefault="00EC2B72">
      <w:pPr>
        <w:spacing w:before="160"/>
        <w:jc w:val="both"/>
        <w:rPr>
          <w:rFonts w:ascii="Arial" w:hAnsi="Arial" w:cs="Arial"/>
        </w:rPr>
      </w:pPr>
      <w:r>
        <w:rPr>
          <w:rFonts w:ascii="Arial" w:hAnsi="Arial" w:cs="Arial"/>
          <w:b/>
          <w:bCs/>
        </w:rPr>
        <w:t>POTENTIAL PAYMENTS UPON TERMINATION OR CHANGE-IN-CONTROL</w:t>
      </w:r>
    </w:p>
    <w:p w:rsidR="00376768" w:rsidRDefault="00EC2B72">
      <w:pPr>
        <w:spacing w:before="160"/>
        <w:jc w:val="both"/>
        <w:rPr>
          <w:rFonts w:ascii="Arial" w:hAnsi="Arial" w:cs="Arial"/>
        </w:rPr>
      </w:pPr>
      <w:r>
        <w:rPr>
          <w:rFonts w:ascii="Arial" w:hAnsi="Arial" w:cs="Arial"/>
          <w:b/>
          <w:bCs/>
          <w:i/>
          <w:iCs/>
        </w:rPr>
        <w:t>Change-In-Control</w:t>
      </w:r>
    </w:p>
    <w:p w:rsidR="00376768" w:rsidRDefault="00EC2B72">
      <w:pPr>
        <w:spacing w:before="160"/>
        <w:ind w:firstLine="360"/>
        <w:jc w:val="both"/>
        <w:rPr>
          <w:rFonts w:ascii="Arial" w:hAnsi="Arial" w:cs="Arial"/>
        </w:rPr>
      </w:pPr>
      <w:r>
        <w:rPr>
          <w:rFonts w:ascii="Arial" w:hAnsi="Arial" w:cs="Arial"/>
        </w:rPr>
        <w:t>As discussed on page 35 and page 47, the Company has established the Separation Plan in order to retain and motivate its executives to focus on the Company’s successful operation, regardless of any real or perceived threat from a change-in-control. In certain circumstances, the Separation Plan provides for severance payments to our NEOs only upon a qualifying termination of employment in connection with a change-in-control. Certain of our stock and incentive plans and programs, and certain of our retirement plans also include change-in-control provisions or additional benefits upon termination. The following discussion explains the effects of termination, both within and outside of the context of a change-in-control, under the Separation Plan, our stock and incentive plans and programs, and our applicable retirement plans.</w:t>
      </w:r>
    </w:p>
    <w:p w:rsidR="00376768" w:rsidRDefault="00EC2B72">
      <w:pPr>
        <w:spacing w:before="160"/>
        <w:ind w:firstLine="360"/>
        <w:jc w:val="both"/>
        <w:rPr>
          <w:rFonts w:ascii="Arial" w:hAnsi="Arial" w:cs="Arial"/>
        </w:rPr>
      </w:pPr>
      <w:r>
        <w:rPr>
          <w:rFonts w:ascii="Arial" w:hAnsi="Arial" w:cs="Arial"/>
        </w:rPr>
        <w:t>The payments and benefits detailed below are in addition to (i) any payments and benefits under our plans or arrangements which are offered or provided generally to all salaried employees on a non-discriminatory basis, and (ii) any accumulated vested benefits for each NEO, including those set forth in the 2017 Non-Qualified Deferred Compensation Table.</w:t>
      </w:r>
    </w:p>
    <w:p w:rsidR="00376768" w:rsidRDefault="00EC2B72">
      <w:pPr>
        <w:spacing w:before="160"/>
        <w:jc w:val="center"/>
        <w:rPr>
          <w:rFonts w:ascii="Arial" w:hAnsi="Arial" w:cs="Arial"/>
        </w:rPr>
      </w:pPr>
      <w:r>
        <w:rPr>
          <w:rFonts w:ascii="Arial" w:hAnsi="Arial" w:cs="Arial"/>
          <w:b/>
          <w:bCs/>
          <w:i/>
          <w:iCs/>
          <w:u w:val="single"/>
        </w:rPr>
        <w:t>Term</w:t>
      </w:r>
      <w:bookmarkStart w:id="38" w:name="a038_v1"/>
      <w:bookmarkEnd w:id="38"/>
      <w:r>
        <w:rPr>
          <w:rFonts w:ascii="Arial" w:hAnsi="Arial" w:cs="Arial"/>
          <w:b/>
          <w:bCs/>
          <w:i/>
          <w:iCs/>
          <w:u w:val="single"/>
        </w:rPr>
        <w:t>ination of Employment - Outside of a Change-in-Control</w:t>
      </w:r>
    </w:p>
    <w:p w:rsidR="00376768" w:rsidRDefault="00EC2B72">
      <w:pPr>
        <w:spacing w:before="160"/>
        <w:jc w:val="both"/>
        <w:rPr>
          <w:rFonts w:ascii="Arial" w:hAnsi="Arial" w:cs="Arial"/>
        </w:rPr>
      </w:pPr>
      <w:r>
        <w:rPr>
          <w:rFonts w:ascii="Arial" w:hAnsi="Arial" w:cs="Arial"/>
          <w:i/>
          <w:iCs/>
        </w:rPr>
        <w:t>Te</w:t>
      </w:r>
      <w:bookmarkStart w:id="39" w:name="a039_v1"/>
      <w:bookmarkEnd w:id="39"/>
      <w:r>
        <w:rPr>
          <w:rFonts w:ascii="Arial" w:hAnsi="Arial" w:cs="Arial"/>
          <w:i/>
          <w:iCs/>
        </w:rPr>
        <w:t xml:space="preserve">rmination Provisions </w:t>
      </w:r>
      <w:proofErr w:type="gramStart"/>
      <w:r>
        <w:rPr>
          <w:rFonts w:ascii="Arial" w:hAnsi="Arial" w:cs="Arial"/>
          <w:i/>
          <w:iCs/>
        </w:rPr>
        <w:t>Under</w:t>
      </w:r>
      <w:proofErr w:type="gramEnd"/>
      <w:r>
        <w:rPr>
          <w:rFonts w:ascii="Arial" w:hAnsi="Arial" w:cs="Arial"/>
          <w:i/>
          <w:iCs/>
        </w:rPr>
        <w:t xml:space="preserve"> Our Equity and Annual Compensation Plans and Programs</w:t>
      </w:r>
    </w:p>
    <w:p w:rsidR="00376768" w:rsidRDefault="00EC2B72">
      <w:pPr>
        <w:spacing w:before="160"/>
        <w:ind w:firstLine="360"/>
        <w:jc w:val="both"/>
        <w:rPr>
          <w:rFonts w:ascii="Arial" w:hAnsi="Arial" w:cs="Arial"/>
        </w:rPr>
      </w:pPr>
      <w:r>
        <w:rPr>
          <w:rFonts w:ascii="Arial" w:hAnsi="Arial" w:cs="Arial"/>
        </w:rPr>
        <w:t>We provide equity-based and cash-based long-term incentive awards for executives. Please see the Compensation Discussion and Analysis for further details of these programs.</w:t>
      </w:r>
    </w:p>
    <w:p w:rsidR="00376768" w:rsidRDefault="00EC2B72">
      <w:pPr>
        <w:spacing w:before="160"/>
        <w:ind w:firstLine="360"/>
        <w:jc w:val="both"/>
        <w:rPr>
          <w:rFonts w:ascii="Arial" w:hAnsi="Arial" w:cs="Arial"/>
        </w:rPr>
      </w:pPr>
      <w:r>
        <w:rPr>
          <w:rFonts w:ascii="Arial" w:hAnsi="Arial" w:cs="Arial"/>
        </w:rPr>
        <w:t>Under the terms of the PSU Awards, in the event an awardee’s employment is terminated during a performance period by reason of death, disability, or retirement (as defined in the 2006 Omnibus Incentive Plan) on or after the one-year anniversary of the commencement of the applicable performance period, the awardee will be entitled to receive a pro-rated payment for any PSU, if earned, based on the number of complete months served by the awardee during such performance period (or the number of remaining months in the performance period, if the awardee commenced employment after the start of the applicable performance period).</w:t>
      </w:r>
    </w:p>
    <w:p w:rsidR="00376768" w:rsidRDefault="00EC2B72">
      <w:pPr>
        <w:spacing w:before="160"/>
        <w:ind w:firstLine="360"/>
        <w:jc w:val="both"/>
        <w:rPr>
          <w:rFonts w:ascii="Arial" w:hAnsi="Arial" w:cs="Arial"/>
        </w:rPr>
      </w:pPr>
      <w:r>
        <w:rPr>
          <w:rFonts w:ascii="Arial" w:hAnsi="Arial" w:cs="Arial"/>
        </w:rPr>
        <w:t>The Executive Annual Incentive Compensation Plan provides that, in the event an awardee terminates employment prior to the actual payment of an award, such awardee generally will not be entitled to any payment except in the event of termination by reason of death, disability, or retirement (as such terms are defined in the Executive Annual Incentive Compensation Plan), in which case the awardee will be entitled to receive a pro-rated award reflecting the awardee’s service during the applicable performance period, subject to the Committee’s certification of the achievement of applicable performance goals, among other matters.</w:t>
      </w:r>
    </w:p>
    <w:p w:rsidR="00376768" w:rsidRDefault="00EC2B72">
      <w:pPr>
        <w:spacing w:before="160"/>
        <w:jc w:val="both"/>
        <w:rPr>
          <w:rFonts w:ascii="Arial" w:hAnsi="Arial" w:cs="Arial"/>
        </w:rPr>
      </w:pPr>
      <w:r>
        <w:rPr>
          <w:rFonts w:ascii="Arial" w:hAnsi="Arial" w:cs="Arial"/>
          <w:i/>
          <w:iCs/>
        </w:rPr>
        <w:t>Ter</w:t>
      </w:r>
      <w:bookmarkStart w:id="40" w:name="a040_v1"/>
      <w:bookmarkEnd w:id="40"/>
      <w:r>
        <w:rPr>
          <w:rFonts w:ascii="Arial" w:hAnsi="Arial" w:cs="Arial"/>
          <w:i/>
          <w:iCs/>
        </w:rPr>
        <w:t xml:space="preserve">mination Provisions </w:t>
      </w:r>
      <w:proofErr w:type="gramStart"/>
      <w:r>
        <w:rPr>
          <w:rFonts w:ascii="Arial" w:hAnsi="Arial" w:cs="Arial"/>
          <w:i/>
          <w:iCs/>
        </w:rPr>
        <w:t>Under</w:t>
      </w:r>
      <w:proofErr w:type="gramEnd"/>
      <w:r>
        <w:rPr>
          <w:rFonts w:ascii="Arial" w:hAnsi="Arial" w:cs="Arial"/>
          <w:i/>
          <w:iCs/>
        </w:rPr>
        <w:t xml:space="preserve"> Our Supplemental Executive Retirement Plan (“SERP”)</w:t>
      </w:r>
    </w:p>
    <w:p w:rsidR="00376768" w:rsidRDefault="00EC2B72">
      <w:pPr>
        <w:spacing w:before="160"/>
        <w:ind w:firstLine="360"/>
        <w:jc w:val="both"/>
        <w:rPr>
          <w:rFonts w:ascii="Arial" w:hAnsi="Arial" w:cs="Arial"/>
        </w:rPr>
      </w:pPr>
      <w:r>
        <w:rPr>
          <w:rFonts w:ascii="Arial" w:hAnsi="Arial" w:cs="Arial"/>
        </w:rPr>
        <w:t>We maintain various retirement programs, including the SERP. There are no additional benefits provided to our NEOs in the event of a termination of employment prior to a change-in-control. Additionally, an executive is not entitled to benefits under SERP if that executive is terminated for “cause” or if the executive terminates employment with the Company, other than pursuant to a retirement (including an early retirement approved by the Company), death, or disability.</w:t>
      </w:r>
    </w:p>
    <w:p w:rsidR="00376768" w:rsidRDefault="00EC2B72">
      <w:pPr>
        <w:spacing w:before="160"/>
        <w:jc w:val="center"/>
        <w:rPr>
          <w:rFonts w:ascii="Arial" w:hAnsi="Arial" w:cs="Arial"/>
        </w:rPr>
      </w:pPr>
      <w:r>
        <w:rPr>
          <w:rFonts w:ascii="Arial" w:hAnsi="Arial" w:cs="Arial"/>
          <w:b/>
          <w:bCs/>
          <w:i/>
          <w:iCs/>
          <w:u w:val="single"/>
        </w:rPr>
        <w:t>C</w:t>
      </w:r>
      <w:bookmarkStart w:id="41" w:name="a041_v1"/>
      <w:bookmarkEnd w:id="41"/>
      <w:r>
        <w:rPr>
          <w:rFonts w:ascii="Arial" w:hAnsi="Arial" w:cs="Arial"/>
          <w:b/>
          <w:bCs/>
          <w:i/>
          <w:iCs/>
          <w:u w:val="single"/>
        </w:rPr>
        <w:t>hange-In-Control and/or Related Termination of Employment</w:t>
      </w:r>
    </w:p>
    <w:p w:rsidR="00376768" w:rsidRDefault="00EC2B72">
      <w:pPr>
        <w:spacing w:before="160"/>
        <w:jc w:val="both"/>
        <w:rPr>
          <w:rFonts w:ascii="Arial" w:hAnsi="Arial" w:cs="Arial"/>
        </w:rPr>
      </w:pPr>
      <w:r>
        <w:rPr>
          <w:rFonts w:ascii="Arial" w:hAnsi="Arial" w:cs="Arial"/>
          <w:i/>
          <w:iCs/>
        </w:rPr>
        <w:t>Ch</w:t>
      </w:r>
      <w:bookmarkStart w:id="42" w:name="a042_v1"/>
      <w:bookmarkEnd w:id="42"/>
      <w:r>
        <w:rPr>
          <w:rFonts w:ascii="Arial" w:hAnsi="Arial" w:cs="Arial"/>
          <w:i/>
          <w:iCs/>
        </w:rPr>
        <w:t xml:space="preserve">ange-In-Control Provisions </w:t>
      </w:r>
      <w:proofErr w:type="gramStart"/>
      <w:r>
        <w:rPr>
          <w:rFonts w:ascii="Arial" w:hAnsi="Arial" w:cs="Arial"/>
          <w:i/>
          <w:iCs/>
        </w:rPr>
        <w:t>Under</w:t>
      </w:r>
      <w:proofErr w:type="gramEnd"/>
      <w:r>
        <w:rPr>
          <w:rFonts w:ascii="Arial" w:hAnsi="Arial" w:cs="Arial"/>
          <w:i/>
          <w:iCs/>
        </w:rPr>
        <w:t xml:space="preserve"> the Executive Annual Incentive Compensation Plan</w:t>
      </w:r>
    </w:p>
    <w:p w:rsidR="00376768" w:rsidRDefault="00EC2B72">
      <w:pPr>
        <w:spacing w:before="160"/>
        <w:ind w:firstLine="360"/>
        <w:jc w:val="both"/>
        <w:rPr>
          <w:rFonts w:ascii="Arial" w:hAnsi="Arial" w:cs="Arial"/>
        </w:rPr>
      </w:pPr>
      <w:r>
        <w:rPr>
          <w:rFonts w:ascii="Arial" w:hAnsi="Arial" w:cs="Arial"/>
        </w:rPr>
        <w:lastRenderedPageBreak/>
        <w:t>In the event of a Change-in-Control (as defined in the Annual Plan), an awardee will generally be entitled to receive a lump sum cash payment equal to the pro-rated target bonus for the year in which the Change-in-Control occurs, which will be based on the portion of the year that the awardee was employed by the Company prior to the Change-in-Control. The Compensation Committee may, in its sole discretion, determine that an awardee is not entitled to such payment.</w:t>
      </w:r>
    </w:p>
    <w:p w:rsidR="00376768" w:rsidRDefault="00EC2B72">
      <w:pPr>
        <w:spacing w:before="160"/>
        <w:jc w:val="both"/>
        <w:rPr>
          <w:rFonts w:ascii="Arial" w:hAnsi="Arial" w:cs="Arial"/>
        </w:rPr>
      </w:pPr>
      <w:r>
        <w:rPr>
          <w:rFonts w:ascii="Arial" w:hAnsi="Arial" w:cs="Arial"/>
          <w:i/>
          <w:iCs/>
        </w:rPr>
        <w:t>Cha</w:t>
      </w:r>
      <w:bookmarkStart w:id="43" w:name="a043_v1"/>
      <w:bookmarkEnd w:id="43"/>
      <w:r>
        <w:rPr>
          <w:rFonts w:ascii="Arial" w:hAnsi="Arial" w:cs="Arial"/>
          <w:i/>
          <w:iCs/>
        </w:rPr>
        <w:t xml:space="preserve">nge-In-Control Provisions </w:t>
      </w:r>
      <w:proofErr w:type="gramStart"/>
      <w:r>
        <w:rPr>
          <w:rFonts w:ascii="Arial" w:hAnsi="Arial" w:cs="Arial"/>
          <w:i/>
          <w:iCs/>
        </w:rPr>
        <w:t>Under</w:t>
      </w:r>
      <w:proofErr w:type="gramEnd"/>
      <w:r>
        <w:rPr>
          <w:rFonts w:ascii="Arial" w:hAnsi="Arial" w:cs="Arial"/>
          <w:i/>
          <w:iCs/>
        </w:rPr>
        <w:t xml:space="preserve"> the Key Employee Separation Plan</w:t>
      </w:r>
    </w:p>
    <w:p w:rsidR="00376768" w:rsidRDefault="00EC2B72">
      <w:pPr>
        <w:spacing w:before="160"/>
        <w:ind w:firstLine="360"/>
        <w:jc w:val="both"/>
        <w:rPr>
          <w:rFonts w:ascii="Arial" w:hAnsi="Arial" w:cs="Arial"/>
        </w:rPr>
      </w:pPr>
      <w:r>
        <w:rPr>
          <w:rFonts w:ascii="Arial" w:hAnsi="Arial" w:cs="Arial"/>
          <w:i/>
          <w:iCs/>
        </w:rPr>
        <w:t>Cash severance pay.</w:t>
      </w:r>
      <w:r>
        <w:rPr>
          <w:rFonts w:ascii="Arial" w:hAnsi="Arial" w:cs="Arial"/>
        </w:rPr>
        <w:t xml:space="preserve"> If a NEO’s employment is terminated during the 90-day period prior to, on, or within two years of a change-in-control, either by the executive for good reason or by the Company other than for cause, death, or disability, the executive will receive, in cash as severance pay (in addition to amounts earned by such NEO through the termination date), an amount equal to the product of: the NEO’s benefit factor (as noted on page 47 of this Proxy Statement) times the sum of (x) and (y) below:</w:t>
      </w:r>
    </w:p>
    <w:p w:rsidR="00376768" w:rsidRDefault="00EC2B72">
      <w:pPr>
        <w:spacing w:before="160"/>
        <w:ind w:left="720" w:hanging="360"/>
        <w:jc w:val="both"/>
        <w:rPr>
          <w:rFonts w:ascii="Arial" w:hAnsi="Arial" w:cs="Arial"/>
        </w:rPr>
      </w:pPr>
      <w:r>
        <w:rPr>
          <w:rFonts w:ascii="Arial" w:hAnsi="Arial" w:cs="Arial"/>
        </w:rPr>
        <w:t>(x)</w:t>
      </w:r>
      <w:r>
        <w:rPr>
          <w:rFonts w:ascii="Arial" w:hAnsi="Arial" w:cs="Arial"/>
        </w:rPr>
        <w:tab/>
      </w:r>
      <w:proofErr w:type="gramStart"/>
      <w:r>
        <w:rPr>
          <w:rFonts w:ascii="Arial" w:hAnsi="Arial" w:cs="Arial"/>
        </w:rPr>
        <w:t>the</w:t>
      </w:r>
      <w:proofErr w:type="gramEnd"/>
      <w:r>
        <w:rPr>
          <w:rFonts w:ascii="Arial" w:hAnsi="Arial" w:cs="Arial"/>
        </w:rPr>
        <w:t xml:space="preserve"> NEO’s base salary at the annual rate in effect on the termination date, plus</w:t>
      </w:r>
    </w:p>
    <w:p w:rsidR="00376768" w:rsidRDefault="00EC2B72">
      <w:pPr>
        <w:spacing w:before="160"/>
        <w:ind w:left="720" w:hanging="360"/>
        <w:jc w:val="both"/>
        <w:rPr>
          <w:rFonts w:ascii="Arial" w:hAnsi="Arial" w:cs="Arial"/>
        </w:rPr>
      </w:pPr>
      <w:r>
        <w:rPr>
          <w:rFonts w:ascii="Arial" w:hAnsi="Arial" w:cs="Arial"/>
        </w:rPr>
        <w:t>(y)</w:t>
      </w:r>
      <w:r>
        <w:rPr>
          <w:rFonts w:ascii="Arial" w:hAnsi="Arial" w:cs="Arial"/>
        </w:rPr>
        <w:tab/>
      </w:r>
      <w:proofErr w:type="gramStart"/>
      <w:r>
        <w:rPr>
          <w:rFonts w:ascii="Arial" w:hAnsi="Arial" w:cs="Arial"/>
        </w:rPr>
        <w:t>his</w:t>
      </w:r>
      <w:proofErr w:type="gramEnd"/>
      <w:r>
        <w:rPr>
          <w:rFonts w:ascii="Arial" w:hAnsi="Arial" w:cs="Arial"/>
        </w:rPr>
        <w:t xml:space="preserve"> target annual bonus opportunity under the Executive Annual Incentive Compensation Plan for the year in which the termination date occurs, multiplied by the average percentage of target achievement of the past three incentives paid under the Executive Annual Incentive Compensation Plan or, if greater, the three full calendar years ended before the change-in-control.</w:t>
      </w:r>
    </w:p>
    <w:p w:rsidR="00376768" w:rsidRDefault="00EC2B72">
      <w:pPr>
        <w:spacing w:before="160"/>
        <w:ind w:firstLine="360"/>
        <w:jc w:val="both"/>
        <w:rPr>
          <w:rFonts w:ascii="Arial" w:hAnsi="Arial" w:cs="Arial"/>
        </w:rPr>
      </w:pPr>
      <w:proofErr w:type="gramStart"/>
      <w:r>
        <w:rPr>
          <w:rFonts w:ascii="Arial" w:hAnsi="Arial" w:cs="Arial"/>
          <w:i/>
          <w:iCs/>
        </w:rPr>
        <w:t>Continuation of medical and welfare benefits.</w:t>
      </w:r>
      <w:proofErr w:type="gramEnd"/>
      <w:r>
        <w:rPr>
          <w:rFonts w:ascii="Arial" w:hAnsi="Arial" w:cs="Arial"/>
        </w:rPr>
        <w:t xml:space="preserve"> The NEO will receive the same or equivalent medical, dental and vision benefits (through the payment of the NEO’s COBRA premiums) received at the date of termination until the earlier to occur of: (i) the NEO reaching the age of 65, (ii) the date the NEO is provided similar benefits by another employer, or (iii) the period to which the NEO is entitled to coverage under COBRA (generally, 18 months).</w:t>
      </w:r>
    </w:p>
    <w:p w:rsidR="00376768" w:rsidRDefault="00EC2B72">
      <w:pPr>
        <w:spacing w:before="160"/>
        <w:ind w:firstLine="360"/>
        <w:jc w:val="both"/>
        <w:rPr>
          <w:rFonts w:ascii="Arial" w:hAnsi="Arial" w:cs="Arial"/>
        </w:rPr>
      </w:pPr>
      <w:proofErr w:type="gramStart"/>
      <w:r>
        <w:rPr>
          <w:rFonts w:ascii="Arial" w:hAnsi="Arial" w:cs="Arial"/>
          <w:i/>
          <w:iCs/>
        </w:rPr>
        <w:t>Outplacement Services.</w:t>
      </w:r>
      <w:proofErr w:type="gramEnd"/>
      <w:r>
        <w:rPr>
          <w:rFonts w:ascii="Arial" w:hAnsi="Arial" w:cs="Arial"/>
        </w:rPr>
        <w:t xml:space="preserve"> The Company will provide a payment of $15,000 to the NEO to cover outplacement assistant services.</w:t>
      </w:r>
    </w:p>
    <w:p w:rsidR="00376768" w:rsidRDefault="00EC2B72">
      <w:pPr>
        <w:spacing w:before="160"/>
        <w:ind w:firstLine="360"/>
        <w:jc w:val="both"/>
        <w:rPr>
          <w:rFonts w:ascii="Arial" w:hAnsi="Arial" w:cs="Arial"/>
        </w:rPr>
      </w:pPr>
      <w:r>
        <w:rPr>
          <w:rFonts w:ascii="Arial" w:hAnsi="Arial" w:cs="Arial"/>
          <w:i/>
          <w:iCs/>
        </w:rPr>
        <w:t>Limitations</w:t>
      </w:r>
      <w:r>
        <w:rPr>
          <w:rFonts w:ascii="Arial" w:hAnsi="Arial" w:cs="Arial"/>
        </w:rPr>
        <w:t>: To the extent that payments would constitute “excess parachute payments” within the meaning of Section 280G of the Code, such payments will be limited to the maximum amount permitted to be paid without causing any payments to be subject to the limitation of deductions under Section 280G of the Code.</w:t>
      </w:r>
    </w:p>
    <w:p w:rsidR="00376768" w:rsidRDefault="00EC2B72">
      <w:pPr>
        <w:spacing w:before="160"/>
        <w:ind w:firstLine="360"/>
        <w:jc w:val="both"/>
        <w:rPr>
          <w:rFonts w:ascii="Arial" w:hAnsi="Arial" w:cs="Arial"/>
        </w:rPr>
      </w:pPr>
      <w:r>
        <w:rPr>
          <w:rFonts w:ascii="Arial" w:hAnsi="Arial" w:cs="Arial"/>
        </w:rPr>
        <w:t>Under the Separation Plan, “Change-In-Control” and “Good Reason” are defined as follows (which definition of “Change-in-Control” is substantially similar as such definition in the 2006 Omnibus Incentive Plan and the Executive Annual Incentive Compensation Plan):</w:t>
      </w:r>
    </w:p>
    <w:p w:rsidR="00376768" w:rsidRDefault="00EC2B72">
      <w:pPr>
        <w:spacing w:before="160"/>
        <w:ind w:firstLine="360"/>
        <w:jc w:val="both"/>
        <w:rPr>
          <w:rFonts w:ascii="Arial" w:hAnsi="Arial" w:cs="Arial"/>
        </w:rPr>
      </w:pPr>
      <w:r>
        <w:rPr>
          <w:rFonts w:ascii="Arial" w:hAnsi="Arial" w:cs="Arial"/>
          <w:i/>
          <w:iCs/>
        </w:rPr>
        <w:t>Change-In-Control</w:t>
      </w:r>
      <w:r>
        <w:rPr>
          <w:rFonts w:ascii="Arial" w:hAnsi="Arial" w:cs="Arial"/>
        </w:rPr>
        <w:t xml:space="preserve"> - shall mean the first to occur, after the effective date of the Separation Plan, of any of the following:</w:t>
      </w:r>
    </w:p>
    <w:p w:rsidR="00376768" w:rsidRDefault="00EC2B72">
      <w:pPr>
        <w:spacing w:before="160"/>
        <w:ind w:left="720" w:hanging="360"/>
        <w:jc w:val="both"/>
        <w:rPr>
          <w:rFonts w:ascii="Arial" w:hAnsi="Arial" w:cs="Arial"/>
        </w:rPr>
      </w:pPr>
      <w:r>
        <w:rPr>
          <w:rFonts w:ascii="Arial" w:hAnsi="Arial" w:cs="Arial"/>
        </w:rPr>
        <w:t>(i)</w:t>
      </w:r>
      <w:r>
        <w:rPr>
          <w:rFonts w:ascii="Arial" w:hAnsi="Arial" w:cs="Arial"/>
        </w:rPr>
        <w:tab/>
        <w:t>any merger, consolidation, or business combination in which the stockholders of the Company immediately prior to the merger, consolidation or business combination do not own at least a majority of the outstanding equity interests of the surviving parent entity;</w:t>
      </w:r>
    </w:p>
    <w:p w:rsidR="00376768" w:rsidRDefault="00EC2B72">
      <w:pPr>
        <w:spacing w:before="160"/>
        <w:ind w:left="720" w:hanging="360"/>
        <w:jc w:val="both"/>
        <w:rPr>
          <w:rFonts w:ascii="Arial" w:hAnsi="Arial" w:cs="Arial"/>
        </w:rPr>
      </w:pPr>
      <w:r>
        <w:rPr>
          <w:rFonts w:ascii="Arial" w:hAnsi="Arial" w:cs="Arial"/>
        </w:rPr>
        <w:t>(ii)</w:t>
      </w:r>
      <w:r>
        <w:rPr>
          <w:rFonts w:ascii="Arial" w:hAnsi="Arial" w:cs="Arial"/>
        </w:rPr>
        <w:tab/>
      </w:r>
      <w:proofErr w:type="gramStart"/>
      <w:r>
        <w:rPr>
          <w:rFonts w:ascii="Arial" w:hAnsi="Arial" w:cs="Arial"/>
        </w:rPr>
        <w:t>the</w:t>
      </w:r>
      <w:proofErr w:type="gramEnd"/>
      <w:r>
        <w:rPr>
          <w:rFonts w:ascii="Arial" w:hAnsi="Arial" w:cs="Arial"/>
        </w:rPr>
        <w:t xml:space="preserve"> sale of all or substantially all of the Company’s assets in a single transaction or a series of related transactions;</w:t>
      </w:r>
    </w:p>
    <w:p w:rsidR="00376768" w:rsidRDefault="00EC2B72">
      <w:pPr>
        <w:spacing w:before="160"/>
        <w:ind w:left="720" w:hanging="360"/>
        <w:jc w:val="both"/>
        <w:rPr>
          <w:rFonts w:ascii="Arial" w:hAnsi="Arial" w:cs="Arial"/>
        </w:rPr>
      </w:pPr>
      <w:r>
        <w:rPr>
          <w:rFonts w:ascii="Arial" w:hAnsi="Arial" w:cs="Arial"/>
        </w:rPr>
        <w:t>(iii)</w:t>
      </w:r>
      <w:r>
        <w:rPr>
          <w:rFonts w:ascii="Arial" w:hAnsi="Arial" w:cs="Arial"/>
        </w:rPr>
        <w:tab/>
        <w:t>the acquisition of beneficial ownership or control (including, without limitation, power to vote) of a majority of the outstanding common stock of the Company by any person or entity (including a “group” as defined by or under Section 13(d)(3) of the Exchange Act, but excluding the Company, any trustee or other fiduciary holding securities under an employee benefit plan of the Company, and any corporation owned, directly or indirectly, by the stockholders of the Company in substantially the same proportions as their ownership of shares); or</w:t>
      </w:r>
    </w:p>
    <w:p w:rsidR="00376768" w:rsidRDefault="00EC2B72">
      <w:pPr>
        <w:spacing w:before="160"/>
        <w:ind w:left="720" w:hanging="360"/>
        <w:jc w:val="both"/>
        <w:rPr>
          <w:rFonts w:ascii="Arial" w:hAnsi="Arial" w:cs="Arial"/>
        </w:rPr>
      </w:pPr>
      <w:r>
        <w:rPr>
          <w:rFonts w:ascii="Arial" w:hAnsi="Arial" w:cs="Arial"/>
        </w:rPr>
        <w:t>(iv)</w:t>
      </w:r>
      <w:r>
        <w:rPr>
          <w:rFonts w:ascii="Arial" w:hAnsi="Arial" w:cs="Arial"/>
        </w:rPr>
        <w:tab/>
      </w:r>
      <w:proofErr w:type="gramStart"/>
      <w:r>
        <w:rPr>
          <w:rFonts w:ascii="Arial" w:hAnsi="Arial" w:cs="Arial"/>
        </w:rPr>
        <w:t>a</w:t>
      </w:r>
      <w:proofErr w:type="gramEnd"/>
      <w:r>
        <w:rPr>
          <w:rFonts w:ascii="Arial" w:hAnsi="Arial" w:cs="Arial"/>
        </w:rPr>
        <w:t xml:space="preserve"> contested election of directors, as a result of which or in connection with which the persons who were directors of the Company before such election or their nominees cease to constitute a majority of the Board.</w:t>
      </w:r>
    </w:p>
    <w:p w:rsidR="00376768" w:rsidRDefault="00EC2B72">
      <w:pPr>
        <w:spacing w:before="160"/>
        <w:ind w:firstLine="360"/>
        <w:jc w:val="both"/>
        <w:rPr>
          <w:rFonts w:ascii="Arial" w:hAnsi="Arial" w:cs="Arial"/>
        </w:rPr>
      </w:pPr>
      <w:r>
        <w:rPr>
          <w:rFonts w:ascii="Arial" w:hAnsi="Arial" w:cs="Arial"/>
        </w:rPr>
        <w:t>Upon the occurrence of a Change-in-Control as provided above, no subsequent event or condition shall constitute a Change-in-Control for purposes of the Separation Plan, with the result that there can be no more than one Change-in-Control under the Separation Plan.</w:t>
      </w:r>
    </w:p>
    <w:p w:rsidR="00376768" w:rsidRDefault="00EC2B72">
      <w:pPr>
        <w:spacing w:before="160"/>
        <w:ind w:firstLine="360"/>
        <w:jc w:val="both"/>
        <w:rPr>
          <w:rFonts w:ascii="Arial" w:hAnsi="Arial" w:cs="Arial"/>
        </w:rPr>
      </w:pPr>
      <w:r>
        <w:rPr>
          <w:rFonts w:ascii="Arial" w:hAnsi="Arial" w:cs="Arial"/>
          <w:i/>
          <w:iCs/>
        </w:rPr>
        <w:t>Good Reason</w:t>
      </w:r>
      <w:r>
        <w:rPr>
          <w:rFonts w:ascii="Arial" w:hAnsi="Arial" w:cs="Arial"/>
        </w:rPr>
        <w:t xml:space="preserve"> - shall mean the Participant’s separation from service by the Participant as a result of the occurrence, without the Participant’s written consent, of one of the following events:</w:t>
      </w:r>
    </w:p>
    <w:p w:rsidR="00376768" w:rsidRDefault="00EC2B72">
      <w:pPr>
        <w:spacing w:before="160"/>
        <w:ind w:left="720" w:hanging="360"/>
        <w:jc w:val="both"/>
        <w:rPr>
          <w:rFonts w:ascii="Arial" w:hAnsi="Arial" w:cs="Arial"/>
        </w:rPr>
      </w:pPr>
      <w:r>
        <w:rPr>
          <w:rFonts w:ascii="Arial" w:hAnsi="Arial" w:cs="Arial"/>
        </w:rPr>
        <w:t>(i)</w:t>
      </w:r>
      <w:r>
        <w:rPr>
          <w:rFonts w:ascii="Arial" w:hAnsi="Arial" w:cs="Arial"/>
        </w:rPr>
        <w:tab/>
        <w:t>A material reduction in the Participant’s annual Base Pay (as defined in the Separation Plan) (unless such reduction relates to an across-the-board reduction similarly affecting Participant and all or substantially all other executives of the Company and its affiliates);</w:t>
      </w:r>
    </w:p>
    <w:p w:rsidR="00376768" w:rsidRDefault="00EC2B72">
      <w:pPr>
        <w:spacing w:before="160"/>
        <w:ind w:left="720" w:hanging="360"/>
        <w:jc w:val="both"/>
        <w:rPr>
          <w:rFonts w:ascii="Arial" w:hAnsi="Arial" w:cs="Arial"/>
        </w:rPr>
      </w:pPr>
      <w:r>
        <w:rPr>
          <w:rFonts w:ascii="Arial" w:hAnsi="Arial" w:cs="Arial"/>
        </w:rPr>
        <w:lastRenderedPageBreak/>
        <w:t>(ii)</w:t>
      </w:r>
      <w:r>
        <w:rPr>
          <w:rFonts w:ascii="Arial" w:hAnsi="Arial" w:cs="Arial"/>
        </w:rPr>
        <w:tab/>
        <w:t>The Company makes or causes to be made a material adverse change in the participant’s position, authority, duties or responsibilities which results in a significant diminution in the participant’s position, authority, duties or responsibilities, excluding any change made in connection with (A) a reassignment to a new job position, or (B) a termination of participant’s employment with the Company for disability, cause, death, or temporarily as a result of participant’s incapacity or other absence for an extended period;</w:t>
      </w:r>
    </w:p>
    <w:p w:rsidR="00376768" w:rsidRDefault="00EC2B72">
      <w:pPr>
        <w:spacing w:before="160"/>
        <w:ind w:left="720" w:hanging="360"/>
        <w:jc w:val="both"/>
        <w:rPr>
          <w:rFonts w:ascii="Arial" w:hAnsi="Arial" w:cs="Arial"/>
        </w:rPr>
      </w:pPr>
      <w:r>
        <w:rPr>
          <w:rFonts w:ascii="Arial" w:hAnsi="Arial" w:cs="Arial"/>
        </w:rPr>
        <w:t>(iii)</w:t>
      </w:r>
      <w:r>
        <w:rPr>
          <w:rFonts w:ascii="Arial" w:hAnsi="Arial" w:cs="Arial"/>
        </w:rPr>
        <w:tab/>
        <w:t>A relocation of the Company’s principal place of business, or of participant’s own office as assigned to participant by the Company to a location that increases participant’s normal work commute by more than 50 miles; or</w:t>
      </w:r>
    </w:p>
    <w:p w:rsidR="00376768" w:rsidRDefault="00EC2B72">
      <w:pPr>
        <w:spacing w:before="160"/>
        <w:ind w:left="720" w:hanging="360"/>
        <w:jc w:val="both"/>
        <w:rPr>
          <w:rFonts w:ascii="Arial" w:hAnsi="Arial" w:cs="Arial"/>
        </w:rPr>
      </w:pPr>
      <w:proofErr w:type="gramStart"/>
      <w:r>
        <w:rPr>
          <w:rFonts w:ascii="Arial" w:hAnsi="Arial" w:cs="Arial"/>
        </w:rPr>
        <w:t>(iv)</w:t>
      </w:r>
      <w:r>
        <w:rPr>
          <w:rFonts w:ascii="Arial" w:hAnsi="Arial" w:cs="Arial"/>
        </w:rPr>
        <w:tab/>
        <w:t>Any</w:t>
      </w:r>
      <w:proofErr w:type="gramEnd"/>
      <w:r>
        <w:rPr>
          <w:rFonts w:ascii="Arial" w:hAnsi="Arial" w:cs="Arial"/>
        </w:rPr>
        <w:t xml:space="preserve"> other action by the Company that constitutes a material breach of the employment agreement, if any, under which participant’s services are to be performed.</w:t>
      </w:r>
    </w:p>
    <w:p w:rsidR="00376768" w:rsidRDefault="00EC2B72">
      <w:pPr>
        <w:spacing w:before="160"/>
        <w:ind w:firstLine="360"/>
        <w:jc w:val="both"/>
        <w:rPr>
          <w:rFonts w:ascii="Arial" w:hAnsi="Arial" w:cs="Arial"/>
        </w:rPr>
      </w:pPr>
      <w:r>
        <w:rPr>
          <w:rFonts w:ascii="Arial" w:hAnsi="Arial" w:cs="Arial"/>
        </w:rPr>
        <w:t>In order for participant to terminate for Good Reason, (A) the Company must be notified by participant in writing within 90 days of the event constituting Good Reason, (B) the event must remain uncorrected by the Company for 30 days following such notice (the “Notice Period”), and (C) such termination must occur within 60 days after the expiration of the Notice Period.</w:t>
      </w:r>
    </w:p>
    <w:p w:rsidR="00376768" w:rsidRDefault="00EC2B72">
      <w:pPr>
        <w:spacing w:before="160"/>
        <w:jc w:val="both"/>
        <w:rPr>
          <w:rFonts w:ascii="Arial" w:hAnsi="Arial" w:cs="Arial"/>
        </w:rPr>
      </w:pPr>
      <w:r>
        <w:rPr>
          <w:rFonts w:ascii="Arial" w:hAnsi="Arial" w:cs="Arial"/>
          <w:i/>
          <w:iCs/>
        </w:rPr>
        <w:t>C</w:t>
      </w:r>
      <w:bookmarkStart w:id="44" w:name="a044_v1"/>
      <w:bookmarkEnd w:id="44"/>
      <w:r>
        <w:rPr>
          <w:rFonts w:ascii="Arial" w:hAnsi="Arial" w:cs="Arial"/>
          <w:i/>
          <w:iCs/>
        </w:rPr>
        <w:t>hange-In-Control and Termination Provisions Under Our Equity Compensation Programs</w:t>
      </w:r>
    </w:p>
    <w:p w:rsidR="00376768" w:rsidRDefault="00EC2B72">
      <w:pPr>
        <w:spacing w:before="160"/>
        <w:ind w:firstLine="360"/>
        <w:jc w:val="both"/>
        <w:rPr>
          <w:rFonts w:ascii="Arial" w:hAnsi="Arial" w:cs="Arial"/>
        </w:rPr>
      </w:pPr>
      <w:r>
        <w:rPr>
          <w:rFonts w:ascii="Arial" w:hAnsi="Arial" w:cs="Arial"/>
          <w:i/>
          <w:iCs/>
        </w:rPr>
        <w:t>Restricted Stock Grants</w:t>
      </w:r>
      <w:r>
        <w:rPr>
          <w:rFonts w:ascii="Arial" w:hAnsi="Arial" w:cs="Arial"/>
        </w:rPr>
        <w:t xml:space="preserve"> - Restricted Stock awards granted prior to 2014 generally will become vested immediately prior to a Change of Control (as defined in the 2006 Omnibus Incentive Plan), regardless of whether a participant has been terminated. For restricted stock awards granted in 2014 and thereafter, such awards generally will accelerate and vest only if both a Change of Control occurs prior to the end of the full vesting period and (i) participant experiences an involuntary separation from service by the Company other than due to (A) cause, (B) death, or (C) disability, or the participant terminates for Good Reason within the 90-day period immediately preceding a Change-in-Control, or (ii) the acquiring entity in a Change of Control does not assume awards into a substantially comparable award.</w:t>
      </w:r>
    </w:p>
    <w:p w:rsidR="00376768" w:rsidRDefault="00EC2B72">
      <w:pPr>
        <w:spacing w:before="160"/>
        <w:ind w:firstLine="360"/>
        <w:jc w:val="both"/>
        <w:rPr>
          <w:rFonts w:ascii="Arial" w:hAnsi="Arial" w:cs="Arial"/>
        </w:rPr>
      </w:pPr>
      <w:r>
        <w:rPr>
          <w:rFonts w:ascii="Arial" w:hAnsi="Arial" w:cs="Arial"/>
          <w:i/>
          <w:iCs/>
        </w:rPr>
        <w:t>PSU Awards</w:t>
      </w:r>
      <w:r>
        <w:rPr>
          <w:rFonts w:ascii="Arial" w:hAnsi="Arial" w:cs="Arial"/>
        </w:rPr>
        <w:t xml:space="preserve"> – In the event of a Change-in-Control (as defined in the 2006 Omnibus Incentive Plan), the Compensation Committee may, in its sole discretion, deem that awardees have earned their respective PSU awards at a target award level; provided that the awardee will only be entitled to a pro-rated portion of shares relating to such award based on the ratio of the number of complete months an awardee is employed or serves during the applicable performance period through the date of Change-in-Control (or the number of originally scheduled remaining months in the performance period if the awardee becomes an employee after the start of the performance period).</w:t>
      </w:r>
    </w:p>
    <w:p w:rsidR="00376768" w:rsidRDefault="00EC2B72">
      <w:pPr>
        <w:spacing w:before="160"/>
        <w:ind w:firstLine="360"/>
        <w:jc w:val="both"/>
        <w:rPr>
          <w:rFonts w:ascii="Arial" w:hAnsi="Arial" w:cs="Arial"/>
        </w:rPr>
      </w:pPr>
      <w:r>
        <w:rPr>
          <w:rFonts w:ascii="Arial" w:hAnsi="Arial" w:cs="Arial"/>
        </w:rPr>
        <w:t>The following tables detail the incremental payments and benefits (above those already disclosed in this Proxy Statement) to which the NEOs would have been entitled under each termination of employment and Change-in-Control scenario, assuming the triggering event occurred on December 31, 2017:</w:t>
      </w:r>
    </w:p>
    <w:tbl>
      <w:tblPr>
        <w:tblW w:w="5000" w:type="pct"/>
        <w:tblLayout w:type="fixed"/>
        <w:tblCellMar>
          <w:left w:w="0" w:type="dxa"/>
          <w:right w:w="0" w:type="dxa"/>
        </w:tblCellMar>
        <w:tblLook w:val="0000" w:firstRow="0" w:lastRow="0" w:firstColumn="0" w:lastColumn="0" w:noHBand="0" w:noVBand="0"/>
      </w:tblPr>
      <w:tblGrid>
        <w:gridCol w:w="2621"/>
        <w:gridCol w:w="231"/>
        <w:gridCol w:w="1173"/>
        <w:gridCol w:w="78"/>
        <w:gridCol w:w="78"/>
        <w:gridCol w:w="1132"/>
        <w:gridCol w:w="82"/>
        <w:gridCol w:w="84"/>
        <w:gridCol w:w="1121"/>
        <w:gridCol w:w="67"/>
        <w:gridCol w:w="69"/>
        <w:gridCol w:w="1097"/>
        <w:gridCol w:w="326"/>
        <w:gridCol w:w="1274"/>
        <w:gridCol w:w="54"/>
        <w:gridCol w:w="54"/>
        <w:gridCol w:w="1259"/>
      </w:tblGrid>
      <w:tr w:rsidR="00376768">
        <w:tc>
          <w:tcPr>
            <w:tcW w:w="1213" w:type="pct"/>
          </w:tcPr>
          <w:p w:rsidR="00376768" w:rsidRDefault="00376768">
            <w:pPr>
              <w:rPr>
                <w:rFonts w:ascii="Arial" w:hAnsi="Arial" w:cs="Arial"/>
                <w:sz w:val="18"/>
                <w:szCs w:val="16"/>
              </w:rPr>
            </w:pPr>
          </w:p>
        </w:tc>
        <w:tc>
          <w:tcPr>
            <w:tcW w:w="107" w:type="pct"/>
          </w:tcPr>
          <w:p w:rsidR="00376768" w:rsidRDefault="00376768">
            <w:pPr>
              <w:jc w:val="center"/>
              <w:rPr>
                <w:rFonts w:ascii="Arial" w:hAnsi="Arial" w:cs="Arial"/>
                <w:sz w:val="18"/>
                <w:szCs w:val="16"/>
              </w:rPr>
            </w:pPr>
          </w:p>
        </w:tc>
        <w:tc>
          <w:tcPr>
            <w:tcW w:w="543" w:type="pct"/>
          </w:tcPr>
          <w:p w:rsidR="00376768" w:rsidRDefault="00376768">
            <w:pPr>
              <w:jc w:val="center"/>
              <w:rPr>
                <w:rFonts w:ascii="Arial" w:hAnsi="Arial" w:cs="Arial"/>
                <w:sz w:val="18"/>
                <w:szCs w:val="16"/>
              </w:rPr>
            </w:pPr>
          </w:p>
        </w:tc>
        <w:tc>
          <w:tcPr>
            <w:tcW w:w="36" w:type="pct"/>
          </w:tcPr>
          <w:p w:rsidR="00376768" w:rsidRDefault="00376768">
            <w:pPr>
              <w:jc w:val="center"/>
              <w:rPr>
                <w:rFonts w:ascii="Arial" w:hAnsi="Arial" w:cs="Arial"/>
                <w:sz w:val="18"/>
                <w:szCs w:val="16"/>
              </w:rPr>
            </w:pPr>
          </w:p>
        </w:tc>
        <w:tc>
          <w:tcPr>
            <w:tcW w:w="36" w:type="pct"/>
          </w:tcPr>
          <w:p w:rsidR="00376768" w:rsidRDefault="00376768">
            <w:pPr>
              <w:jc w:val="center"/>
              <w:rPr>
                <w:rFonts w:ascii="Arial" w:hAnsi="Arial" w:cs="Arial"/>
                <w:sz w:val="18"/>
                <w:szCs w:val="16"/>
              </w:rPr>
            </w:pPr>
          </w:p>
        </w:tc>
        <w:tc>
          <w:tcPr>
            <w:tcW w:w="524" w:type="pct"/>
          </w:tcPr>
          <w:p w:rsidR="00376768" w:rsidRDefault="00376768">
            <w:pPr>
              <w:jc w:val="center"/>
              <w:rPr>
                <w:rFonts w:ascii="Arial" w:hAnsi="Arial" w:cs="Arial"/>
                <w:sz w:val="18"/>
                <w:szCs w:val="16"/>
              </w:rPr>
            </w:pPr>
          </w:p>
        </w:tc>
        <w:tc>
          <w:tcPr>
            <w:tcW w:w="38" w:type="pct"/>
          </w:tcPr>
          <w:p w:rsidR="00376768" w:rsidRDefault="00376768">
            <w:pPr>
              <w:jc w:val="center"/>
              <w:rPr>
                <w:rFonts w:ascii="Arial" w:hAnsi="Arial" w:cs="Arial"/>
                <w:sz w:val="18"/>
                <w:szCs w:val="16"/>
              </w:rPr>
            </w:pPr>
          </w:p>
        </w:tc>
        <w:tc>
          <w:tcPr>
            <w:tcW w:w="39" w:type="pct"/>
          </w:tcPr>
          <w:p w:rsidR="00376768" w:rsidRDefault="00376768">
            <w:pPr>
              <w:jc w:val="center"/>
              <w:rPr>
                <w:rFonts w:ascii="Arial" w:hAnsi="Arial" w:cs="Arial"/>
                <w:sz w:val="18"/>
                <w:szCs w:val="16"/>
              </w:rPr>
            </w:pPr>
          </w:p>
        </w:tc>
        <w:tc>
          <w:tcPr>
            <w:tcW w:w="519" w:type="pct"/>
          </w:tcPr>
          <w:p w:rsidR="00376768" w:rsidRDefault="00376768">
            <w:pPr>
              <w:jc w:val="center"/>
              <w:rPr>
                <w:rFonts w:ascii="Arial" w:hAnsi="Arial" w:cs="Arial"/>
                <w:sz w:val="18"/>
                <w:szCs w:val="16"/>
              </w:rPr>
            </w:pPr>
          </w:p>
        </w:tc>
        <w:tc>
          <w:tcPr>
            <w:tcW w:w="63" w:type="pct"/>
            <w:gridSpan w:val="2"/>
          </w:tcPr>
          <w:p w:rsidR="00376768" w:rsidRDefault="00376768">
            <w:pPr>
              <w:jc w:val="center"/>
              <w:rPr>
                <w:rFonts w:ascii="Arial" w:hAnsi="Arial" w:cs="Arial"/>
                <w:sz w:val="18"/>
                <w:szCs w:val="16"/>
              </w:rPr>
            </w:pPr>
          </w:p>
        </w:tc>
        <w:tc>
          <w:tcPr>
            <w:tcW w:w="508" w:type="pct"/>
          </w:tcPr>
          <w:p w:rsidR="00376768" w:rsidRDefault="00376768">
            <w:pPr>
              <w:jc w:val="center"/>
              <w:rPr>
                <w:rFonts w:ascii="Arial" w:hAnsi="Arial" w:cs="Arial"/>
                <w:sz w:val="18"/>
                <w:szCs w:val="16"/>
              </w:rPr>
            </w:pPr>
          </w:p>
        </w:tc>
        <w:tc>
          <w:tcPr>
            <w:tcW w:w="151" w:type="pct"/>
          </w:tcPr>
          <w:p w:rsidR="00376768" w:rsidRDefault="00376768">
            <w:pPr>
              <w:jc w:val="center"/>
              <w:rPr>
                <w:rFonts w:ascii="Arial" w:hAnsi="Arial" w:cs="Arial"/>
                <w:sz w:val="18"/>
                <w:szCs w:val="16"/>
              </w:rPr>
            </w:pPr>
          </w:p>
        </w:tc>
        <w:tc>
          <w:tcPr>
            <w:tcW w:w="590" w:type="pct"/>
          </w:tcPr>
          <w:p w:rsidR="00376768" w:rsidRDefault="00376768">
            <w:pPr>
              <w:jc w:val="center"/>
              <w:rPr>
                <w:rFonts w:ascii="Arial" w:hAnsi="Arial" w:cs="Arial"/>
                <w:sz w:val="18"/>
                <w:szCs w:val="16"/>
              </w:rPr>
            </w:pPr>
          </w:p>
        </w:tc>
        <w:tc>
          <w:tcPr>
            <w:tcW w:w="25" w:type="pct"/>
          </w:tcPr>
          <w:p w:rsidR="00376768" w:rsidRDefault="00376768">
            <w:pPr>
              <w:jc w:val="center"/>
              <w:rPr>
                <w:rFonts w:ascii="Arial" w:hAnsi="Arial" w:cs="Arial"/>
                <w:sz w:val="18"/>
                <w:szCs w:val="16"/>
              </w:rPr>
            </w:pPr>
          </w:p>
        </w:tc>
        <w:tc>
          <w:tcPr>
            <w:tcW w:w="25" w:type="pct"/>
          </w:tcPr>
          <w:p w:rsidR="00376768" w:rsidRDefault="00376768">
            <w:pPr>
              <w:jc w:val="center"/>
              <w:rPr>
                <w:rFonts w:ascii="Arial" w:hAnsi="Arial" w:cs="Arial"/>
                <w:sz w:val="18"/>
                <w:szCs w:val="16"/>
              </w:rPr>
            </w:pPr>
          </w:p>
        </w:tc>
        <w:tc>
          <w:tcPr>
            <w:tcW w:w="583" w:type="pct"/>
          </w:tcPr>
          <w:p w:rsidR="00376768" w:rsidRDefault="00376768">
            <w:pPr>
              <w:jc w:val="center"/>
              <w:rPr>
                <w:rFonts w:ascii="Arial" w:hAnsi="Arial" w:cs="Arial"/>
                <w:sz w:val="18"/>
                <w:szCs w:val="16"/>
              </w:rPr>
            </w:pPr>
          </w:p>
        </w:tc>
      </w:tr>
      <w:tr w:rsidR="00376768">
        <w:tc>
          <w:tcPr>
            <w:tcW w:w="1213" w:type="pct"/>
            <w:tcBorders>
              <w:bottom w:val="single" w:sz="4" w:space="0" w:color="auto"/>
            </w:tcBorders>
          </w:tcPr>
          <w:p w:rsidR="00376768" w:rsidRDefault="00EC2B72">
            <w:pPr>
              <w:rPr>
                <w:rFonts w:ascii="Arial" w:hAnsi="Arial" w:cs="Arial"/>
                <w:sz w:val="18"/>
                <w:szCs w:val="16"/>
              </w:rPr>
            </w:pPr>
            <w:r>
              <w:rPr>
                <w:rFonts w:ascii="Arial" w:hAnsi="Arial" w:cs="Arial"/>
                <w:b/>
                <w:bCs/>
                <w:sz w:val="18"/>
                <w:szCs w:val="16"/>
              </w:rPr>
              <w:t>Robert P. Bauer</w:t>
            </w:r>
          </w:p>
        </w:tc>
        <w:tc>
          <w:tcPr>
            <w:tcW w:w="107" w:type="pct"/>
          </w:tcPr>
          <w:p w:rsidR="00376768" w:rsidRDefault="00376768">
            <w:pPr>
              <w:jc w:val="center"/>
              <w:rPr>
                <w:rFonts w:ascii="Arial" w:hAnsi="Arial" w:cs="Arial"/>
                <w:sz w:val="18"/>
                <w:szCs w:val="16"/>
              </w:rPr>
            </w:pPr>
          </w:p>
        </w:tc>
        <w:tc>
          <w:tcPr>
            <w:tcW w:w="2306" w:type="pct"/>
            <w:gridSpan w:val="10"/>
            <w:tcBorders>
              <w:bottom w:val="single" w:sz="4" w:space="0" w:color="auto"/>
            </w:tcBorders>
          </w:tcPr>
          <w:p w:rsidR="00376768" w:rsidRDefault="00EC2B72">
            <w:pPr>
              <w:jc w:val="center"/>
              <w:rPr>
                <w:rFonts w:ascii="Arial" w:hAnsi="Arial" w:cs="Arial"/>
                <w:sz w:val="18"/>
                <w:szCs w:val="16"/>
              </w:rPr>
            </w:pPr>
            <w:r>
              <w:rPr>
                <w:rFonts w:ascii="Arial" w:hAnsi="Arial" w:cs="Arial"/>
                <w:sz w:val="18"/>
                <w:szCs w:val="16"/>
              </w:rPr>
              <w:t>Non-Change-in-Control</w:t>
            </w:r>
          </w:p>
        </w:tc>
        <w:tc>
          <w:tcPr>
            <w:tcW w:w="151" w:type="pct"/>
          </w:tcPr>
          <w:p w:rsidR="00376768" w:rsidRDefault="00376768">
            <w:pPr>
              <w:jc w:val="center"/>
              <w:rPr>
                <w:rFonts w:ascii="Arial" w:hAnsi="Arial" w:cs="Arial"/>
                <w:sz w:val="18"/>
                <w:szCs w:val="16"/>
              </w:rPr>
            </w:pPr>
          </w:p>
        </w:tc>
        <w:tc>
          <w:tcPr>
            <w:tcW w:w="1223" w:type="pct"/>
            <w:gridSpan w:val="4"/>
            <w:tcBorders>
              <w:bottom w:val="single" w:sz="4" w:space="0" w:color="auto"/>
            </w:tcBorders>
          </w:tcPr>
          <w:p w:rsidR="00376768" w:rsidRDefault="00EC2B72">
            <w:pPr>
              <w:jc w:val="center"/>
              <w:rPr>
                <w:rFonts w:ascii="Arial" w:hAnsi="Arial" w:cs="Arial"/>
                <w:sz w:val="18"/>
                <w:szCs w:val="16"/>
              </w:rPr>
            </w:pPr>
            <w:r>
              <w:rPr>
                <w:rFonts w:ascii="Arial" w:hAnsi="Arial" w:cs="Arial"/>
                <w:sz w:val="18"/>
                <w:szCs w:val="16"/>
              </w:rPr>
              <w:t>Change-in-Control</w:t>
            </w:r>
          </w:p>
        </w:tc>
      </w:tr>
      <w:tr w:rsidR="00376768">
        <w:tc>
          <w:tcPr>
            <w:tcW w:w="1213" w:type="pct"/>
            <w:tcBorders>
              <w:top w:val="single" w:sz="4" w:space="0" w:color="auto"/>
            </w:tcBorders>
            <w:vAlign w:val="center"/>
          </w:tcPr>
          <w:p w:rsidR="00376768" w:rsidRDefault="00EC2B72">
            <w:pPr>
              <w:rPr>
                <w:rFonts w:ascii="Arial" w:hAnsi="Arial" w:cs="Arial"/>
                <w:sz w:val="18"/>
                <w:szCs w:val="16"/>
              </w:rPr>
            </w:pPr>
            <w:r>
              <w:rPr>
                <w:rFonts w:ascii="Arial" w:hAnsi="Arial" w:cs="Arial"/>
                <w:sz w:val="18"/>
                <w:szCs w:val="16"/>
                <w:u w:val="single"/>
              </w:rPr>
              <w:t>NEO - Payments and Benefits</w:t>
            </w:r>
          </w:p>
        </w:tc>
        <w:tc>
          <w:tcPr>
            <w:tcW w:w="107" w:type="pct"/>
            <w:tcBorders>
              <w:right w:val="single" w:sz="4" w:space="0" w:color="auto"/>
            </w:tcBorders>
          </w:tcPr>
          <w:p w:rsidR="00376768" w:rsidRDefault="00376768">
            <w:pPr>
              <w:jc w:val="center"/>
              <w:rPr>
                <w:rFonts w:ascii="Arial" w:hAnsi="Arial" w:cs="Arial"/>
                <w:sz w:val="18"/>
                <w:szCs w:val="16"/>
              </w:rPr>
            </w:pPr>
          </w:p>
        </w:tc>
        <w:tc>
          <w:tcPr>
            <w:tcW w:w="543" w:type="pct"/>
            <w:tcBorders>
              <w:top w:val="single" w:sz="4" w:space="0" w:color="auto"/>
              <w:left w:val="single" w:sz="4" w:space="0" w:color="auto"/>
              <w:bottom w:val="single" w:sz="4" w:space="0" w:color="auto"/>
            </w:tcBorders>
            <w:vAlign w:val="center"/>
          </w:tcPr>
          <w:p w:rsidR="00376768" w:rsidRDefault="00EC2B72">
            <w:pPr>
              <w:jc w:val="center"/>
              <w:rPr>
                <w:rFonts w:ascii="Arial" w:hAnsi="Arial" w:cs="Arial"/>
                <w:sz w:val="18"/>
                <w:szCs w:val="16"/>
              </w:rPr>
            </w:pPr>
            <w:r>
              <w:rPr>
                <w:rFonts w:ascii="Arial" w:hAnsi="Arial" w:cs="Arial"/>
                <w:sz w:val="18"/>
                <w:szCs w:val="16"/>
              </w:rPr>
              <w:t>By Company</w:t>
            </w:r>
            <w:r>
              <w:rPr>
                <w:rFonts w:ascii="Arial" w:hAnsi="Arial" w:cs="Arial"/>
                <w:sz w:val="18"/>
                <w:szCs w:val="16"/>
              </w:rPr>
              <w:br/>
              <w:t xml:space="preserve">without </w:t>
            </w:r>
            <w:r>
              <w:rPr>
                <w:rFonts w:ascii="Arial" w:hAnsi="Arial" w:cs="Arial"/>
                <w:sz w:val="18"/>
                <w:szCs w:val="16"/>
              </w:rPr>
              <w:br/>
              <w:t>Cause or by</w:t>
            </w:r>
            <w:r>
              <w:rPr>
                <w:rFonts w:ascii="Arial" w:hAnsi="Arial" w:cs="Arial"/>
                <w:sz w:val="18"/>
                <w:szCs w:val="16"/>
              </w:rPr>
              <w:br/>
              <w:t>Executive for</w:t>
            </w:r>
            <w:r>
              <w:rPr>
                <w:rFonts w:ascii="Arial" w:hAnsi="Arial" w:cs="Arial"/>
                <w:sz w:val="18"/>
                <w:szCs w:val="16"/>
              </w:rPr>
              <w:br/>
              <w:t>Good Reason</w:t>
            </w:r>
          </w:p>
        </w:tc>
        <w:tc>
          <w:tcPr>
            <w:tcW w:w="36" w:type="pct"/>
            <w:tcBorders>
              <w:top w:val="single" w:sz="4" w:space="0" w:color="auto"/>
              <w:left w:val="nil"/>
              <w:bottom w:val="single" w:sz="4" w:space="0" w:color="auto"/>
              <w:right w:val="single" w:sz="4" w:space="0" w:color="auto"/>
            </w:tcBorders>
            <w:vAlign w:val="center"/>
          </w:tcPr>
          <w:p w:rsidR="00376768" w:rsidRDefault="00376768">
            <w:pPr>
              <w:jc w:val="center"/>
              <w:rPr>
                <w:rFonts w:ascii="Arial" w:hAnsi="Arial" w:cs="Arial"/>
                <w:sz w:val="18"/>
                <w:szCs w:val="16"/>
              </w:rPr>
            </w:pPr>
          </w:p>
        </w:tc>
        <w:tc>
          <w:tcPr>
            <w:tcW w:w="36" w:type="pct"/>
            <w:tcBorders>
              <w:top w:val="single" w:sz="4" w:space="0" w:color="auto"/>
              <w:left w:val="nil"/>
              <w:bottom w:val="single" w:sz="4" w:space="0" w:color="auto"/>
            </w:tcBorders>
            <w:vAlign w:val="center"/>
          </w:tcPr>
          <w:p w:rsidR="00376768" w:rsidRDefault="00376768">
            <w:pPr>
              <w:jc w:val="center"/>
              <w:rPr>
                <w:rFonts w:ascii="Arial" w:hAnsi="Arial" w:cs="Arial"/>
                <w:sz w:val="18"/>
                <w:szCs w:val="16"/>
              </w:rPr>
            </w:pPr>
          </w:p>
        </w:tc>
        <w:tc>
          <w:tcPr>
            <w:tcW w:w="524" w:type="pct"/>
            <w:tcBorders>
              <w:top w:val="single" w:sz="4" w:space="0" w:color="auto"/>
              <w:left w:val="nil"/>
              <w:bottom w:val="single" w:sz="4" w:space="0" w:color="auto"/>
            </w:tcBorders>
            <w:vAlign w:val="center"/>
          </w:tcPr>
          <w:p w:rsidR="00376768" w:rsidRDefault="00EC2B72">
            <w:pPr>
              <w:jc w:val="center"/>
              <w:rPr>
                <w:rFonts w:ascii="Arial" w:hAnsi="Arial" w:cs="Arial"/>
                <w:sz w:val="18"/>
                <w:szCs w:val="16"/>
              </w:rPr>
            </w:pPr>
            <w:r>
              <w:rPr>
                <w:rFonts w:ascii="Arial" w:hAnsi="Arial" w:cs="Arial"/>
                <w:sz w:val="18"/>
                <w:szCs w:val="16"/>
              </w:rPr>
              <w:t>Death</w:t>
            </w:r>
          </w:p>
        </w:tc>
        <w:tc>
          <w:tcPr>
            <w:tcW w:w="38" w:type="pct"/>
            <w:tcBorders>
              <w:top w:val="single" w:sz="4" w:space="0" w:color="auto"/>
              <w:left w:val="nil"/>
              <w:bottom w:val="single" w:sz="4" w:space="0" w:color="auto"/>
              <w:right w:val="single" w:sz="4" w:space="0" w:color="auto"/>
            </w:tcBorders>
            <w:vAlign w:val="center"/>
          </w:tcPr>
          <w:p w:rsidR="00376768" w:rsidRDefault="00376768">
            <w:pPr>
              <w:jc w:val="center"/>
              <w:rPr>
                <w:rFonts w:ascii="Arial" w:hAnsi="Arial" w:cs="Arial"/>
                <w:sz w:val="18"/>
                <w:szCs w:val="16"/>
              </w:rPr>
            </w:pPr>
          </w:p>
        </w:tc>
        <w:tc>
          <w:tcPr>
            <w:tcW w:w="39" w:type="pct"/>
            <w:tcBorders>
              <w:top w:val="single" w:sz="4" w:space="0" w:color="auto"/>
              <w:left w:val="nil"/>
              <w:bottom w:val="single" w:sz="4" w:space="0" w:color="auto"/>
            </w:tcBorders>
            <w:vAlign w:val="center"/>
          </w:tcPr>
          <w:p w:rsidR="00376768" w:rsidRDefault="00376768">
            <w:pPr>
              <w:jc w:val="center"/>
              <w:rPr>
                <w:rFonts w:ascii="Arial" w:hAnsi="Arial" w:cs="Arial"/>
                <w:sz w:val="18"/>
                <w:szCs w:val="16"/>
              </w:rPr>
            </w:pPr>
          </w:p>
        </w:tc>
        <w:tc>
          <w:tcPr>
            <w:tcW w:w="519" w:type="pct"/>
            <w:tcBorders>
              <w:top w:val="single" w:sz="4" w:space="0" w:color="auto"/>
              <w:left w:val="nil"/>
              <w:bottom w:val="single" w:sz="4" w:space="0" w:color="auto"/>
            </w:tcBorders>
            <w:vAlign w:val="center"/>
          </w:tcPr>
          <w:p w:rsidR="00376768" w:rsidRDefault="00EC2B72">
            <w:pPr>
              <w:jc w:val="center"/>
              <w:rPr>
                <w:rFonts w:ascii="Arial" w:hAnsi="Arial" w:cs="Arial"/>
                <w:sz w:val="18"/>
                <w:szCs w:val="16"/>
              </w:rPr>
            </w:pPr>
            <w:r>
              <w:rPr>
                <w:rFonts w:ascii="Arial" w:hAnsi="Arial" w:cs="Arial"/>
                <w:sz w:val="18"/>
                <w:szCs w:val="16"/>
              </w:rPr>
              <w:t>Disability</w:t>
            </w:r>
          </w:p>
        </w:tc>
        <w:tc>
          <w:tcPr>
            <w:tcW w:w="31" w:type="pct"/>
            <w:tcBorders>
              <w:top w:val="single" w:sz="4" w:space="0" w:color="auto"/>
              <w:left w:val="nil"/>
              <w:bottom w:val="single" w:sz="4" w:space="0" w:color="auto"/>
              <w:right w:val="single" w:sz="4" w:space="0" w:color="auto"/>
            </w:tcBorders>
            <w:vAlign w:val="center"/>
          </w:tcPr>
          <w:p w:rsidR="00376768" w:rsidRDefault="00376768">
            <w:pPr>
              <w:jc w:val="center"/>
              <w:rPr>
                <w:rFonts w:ascii="Arial" w:hAnsi="Arial" w:cs="Arial"/>
                <w:sz w:val="18"/>
                <w:szCs w:val="16"/>
              </w:rPr>
            </w:pPr>
          </w:p>
        </w:tc>
        <w:tc>
          <w:tcPr>
            <w:tcW w:w="32" w:type="pct"/>
            <w:tcBorders>
              <w:top w:val="single" w:sz="4" w:space="0" w:color="auto"/>
              <w:left w:val="nil"/>
              <w:bottom w:val="single" w:sz="4" w:space="0" w:color="auto"/>
            </w:tcBorders>
            <w:vAlign w:val="center"/>
          </w:tcPr>
          <w:p w:rsidR="00376768" w:rsidRDefault="00376768">
            <w:pPr>
              <w:jc w:val="center"/>
              <w:rPr>
                <w:rFonts w:ascii="Arial" w:hAnsi="Arial" w:cs="Arial"/>
                <w:sz w:val="18"/>
                <w:szCs w:val="16"/>
              </w:rPr>
            </w:pPr>
          </w:p>
        </w:tc>
        <w:tc>
          <w:tcPr>
            <w:tcW w:w="508" w:type="pct"/>
            <w:tcBorders>
              <w:top w:val="single" w:sz="4" w:space="0" w:color="auto"/>
              <w:left w:val="nil"/>
              <w:bottom w:val="single" w:sz="4" w:space="0" w:color="auto"/>
              <w:right w:val="single" w:sz="4" w:space="0" w:color="auto"/>
            </w:tcBorders>
            <w:vAlign w:val="center"/>
          </w:tcPr>
          <w:p w:rsidR="00376768" w:rsidRDefault="00EC2B72">
            <w:pPr>
              <w:jc w:val="center"/>
              <w:rPr>
                <w:rFonts w:ascii="Arial" w:hAnsi="Arial" w:cs="Arial"/>
                <w:sz w:val="18"/>
                <w:szCs w:val="16"/>
              </w:rPr>
            </w:pPr>
            <w:r>
              <w:rPr>
                <w:rFonts w:ascii="Arial" w:hAnsi="Arial" w:cs="Arial"/>
                <w:sz w:val="18"/>
                <w:szCs w:val="16"/>
              </w:rPr>
              <w:t>Retirement</w:t>
            </w:r>
          </w:p>
        </w:tc>
        <w:tc>
          <w:tcPr>
            <w:tcW w:w="151" w:type="pct"/>
            <w:tcBorders>
              <w:left w:val="single" w:sz="4" w:space="0" w:color="auto"/>
              <w:right w:val="single" w:sz="4" w:space="0" w:color="auto"/>
            </w:tcBorders>
            <w:vAlign w:val="center"/>
          </w:tcPr>
          <w:p w:rsidR="00376768" w:rsidRDefault="00376768">
            <w:pPr>
              <w:jc w:val="center"/>
              <w:rPr>
                <w:rFonts w:ascii="Arial" w:hAnsi="Arial" w:cs="Arial"/>
                <w:sz w:val="18"/>
                <w:szCs w:val="16"/>
              </w:rPr>
            </w:pPr>
          </w:p>
        </w:tc>
        <w:tc>
          <w:tcPr>
            <w:tcW w:w="590" w:type="pct"/>
            <w:tcBorders>
              <w:top w:val="single" w:sz="4" w:space="0" w:color="auto"/>
              <w:left w:val="single" w:sz="4" w:space="0" w:color="auto"/>
              <w:bottom w:val="single" w:sz="4" w:space="0" w:color="auto"/>
            </w:tcBorders>
            <w:vAlign w:val="center"/>
          </w:tcPr>
          <w:p w:rsidR="00376768" w:rsidRDefault="00EC2B72">
            <w:pPr>
              <w:jc w:val="center"/>
              <w:rPr>
                <w:rFonts w:ascii="Arial" w:hAnsi="Arial" w:cs="Arial"/>
                <w:sz w:val="18"/>
                <w:szCs w:val="16"/>
              </w:rPr>
            </w:pPr>
            <w:r>
              <w:rPr>
                <w:rFonts w:ascii="Arial" w:hAnsi="Arial" w:cs="Arial"/>
                <w:sz w:val="18"/>
                <w:szCs w:val="16"/>
              </w:rPr>
              <w:t>By Company</w:t>
            </w:r>
            <w:r>
              <w:rPr>
                <w:rFonts w:ascii="Arial" w:hAnsi="Arial" w:cs="Arial"/>
                <w:sz w:val="18"/>
                <w:szCs w:val="16"/>
              </w:rPr>
              <w:br/>
              <w:t>without</w:t>
            </w:r>
            <w:r>
              <w:rPr>
                <w:rFonts w:ascii="Arial" w:hAnsi="Arial" w:cs="Arial"/>
                <w:sz w:val="18"/>
                <w:szCs w:val="16"/>
              </w:rPr>
              <w:br/>
              <w:t>Cause or by</w:t>
            </w:r>
            <w:r>
              <w:rPr>
                <w:rFonts w:ascii="Arial" w:hAnsi="Arial" w:cs="Arial"/>
                <w:sz w:val="18"/>
                <w:szCs w:val="16"/>
              </w:rPr>
              <w:br/>
              <w:t>Executive for</w:t>
            </w:r>
            <w:r>
              <w:rPr>
                <w:rFonts w:ascii="Arial" w:hAnsi="Arial" w:cs="Arial"/>
                <w:sz w:val="18"/>
                <w:szCs w:val="16"/>
              </w:rPr>
              <w:br/>
              <w:t>Good Reason</w:t>
            </w:r>
          </w:p>
        </w:tc>
        <w:tc>
          <w:tcPr>
            <w:tcW w:w="25" w:type="pct"/>
            <w:tcBorders>
              <w:top w:val="single" w:sz="4" w:space="0" w:color="auto"/>
              <w:left w:val="nil"/>
              <w:bottom w:val="single" w:sz="4" w:space="0" w:color="auto"/>
              <w:right w:val="single" w:sz="4" w:space="0" w:color="auto"/>
            </w:tcBorders>
            <w:vAlign w:val="center"/>
          </w:tcPr>
          <w:p w:rsidR="00376768" w:rsidRDefault="00376768">
            <w:pPr>
              <w:jc w:val="center"/>
              <w:rPr>
                <w:rFonts w:ascii="Arial" w:hAnsi="Arial" w:cs="Arial"/>
                <w:sz w:val="18"/>
                <w:szCs w:val="16"/>
              </w:rPr>
            </w:pPr>
          </w:p>
        </w:tc>
        <w:tc>
          <w:tcPr>
            <w:tcW w:w="25" w:type="pct"/>
            <w:tcBorders>
              <w:top w:val="single" w:sz="4" w:space="0" w:color="auto"/>
              <w:left w:val="nil"/>
              <w:bottom w:val="single" w:sz="4" w:space="0" w:color="auto"/>
            </w:tcBorders>
            <w:vAlign w:val="center"/>
          </w:tcPr>
          <w:p w:rsidR="00376768" w:rsidRDefault="00376768">
            <w:pPr>
              <w:jc w:val="center"/>
              <w:rPr>
                <w:rFonts w:ascii="Arial" w:hAnsi="Arial" w:cs="Arial"/>
                <w:sz w:val="18"/>
                <w:szCs w:val="16"/>
              </w:rPr>
            </w:pPr>
          </w:p>
        </w:tc>
        <w:tc>
          <w:tcPr>
            <w:tcW w:w="583" w:type="pct"/>
            <w:tcBorders>
              <w:top w:val="single" w:sz="4" w:space="0" w:color="auto"/>
              <w:left w:val="nil"/>
              <w:bottom w:val="single" w:sz="4" w:space="0" w:color="auto"/>
              <w:right w:val="single" w:sz="4" w:space="0" w:color="auto"/>
            </w:tcBorders>
            <w:vAlign w:val="center"/>
          </w:tcPr>
          <w:p w:rsidR="00376768" w:rsidRDefault="00EC2B72">
            <w:pPr>
              <w:jc w:val="center"/>
              <w:rPr>
                <w:rFonts w:ascii="Arial" w:hAnsi="Arial" w:cs="Arial"/>
                <w:sz w:val="18"/>
                <w:szCs w:val="16"/>
              </w:rPr>
            </w:pPr>
            <w:r>
              <w:rPr>
                <w:rFonts w:ascii="Arial" w:hAnsi="Arial" w:cs="Arial"/>
                <w:sz w:val="18"/>
                <w:szCs w:val="16"/>
              </w:rPr>
              <w:t>Without</w:t>
            </w:r>
            <w:r>
              <w:rPr>
                <w:rFonts w:ascii="Arial" w:hAnsi="Arial" w:cs="Arial"/>
                <w:sz w:val="18"/>
                <w:szCs w:val="16"/>
              </w:rPr>
              <w:br/>
              <w:t>Termination of</w:t>
            </w:r>
            <w:r>
              <w:rPr>
                <w:rFonts w:ascii="Arial" w:hAnsi="Arial" w:cs="Arial"/>
                <w:sz w:val="18"/>
                <w:szCs w:val="16"/>
              </w:rPr>
              <w:br/>
              <w:t>Employment</w:t>
            </w:r>
            <w:r>
              <w:rPr>
                <w:rFonts w:ascii="Arial" w:hAnsi="Arial" w:cs="Arial"/>
                <w:sz w:val="18"/>
                <w:szCs w:val="16"/>
              </w:rPr>
              <w:br/>
              <w:t>or Termination</w:t>
            </w:r>
            <w:r>
              <w:rPr>
                <w:rFonts w:ascii="Arial" w:hAnsi="Arial" w:cs="Arial"/>
                <w:sz w:val="18"/>
                <w:szCs w:val="16"/>
              </w:rPr>
              <w:br/>
              <w:t>for any other</w:t>
            </w:r>
            <w:r>
              <w:rPr>
                <w:rFonts w:ascii="Arial" w:hAnsi="Arial" w:cs="Arial"/>
                <w:sz w:val="18"/>
                <w:szCs w:val="16"/>
              </w:rPr>
              <w:br/>
              <w:t>Reason</w:t>
            </w:r>
          </w:p>
        </w:tc>
      </w:tr>
      <w:tr w:rsidR="00376768">
        <w:tc>
          <w:tcPr>
            <w:tcW w:w="1213" w:type="pct"/>
          </w:tcPr>
          <w:p w:rsidR="00376768" w:rsidRDefault="00376768">
            <w:pPr>
              <w:rPr>
                <w:rFonts w:ascii="Arial" w:hAnsi="Arial" w:cs="Arial"/>
                <w:sz w:val="18"/>
              </w:rPr>
            </w:pPr>
          </w:p>
        </w:tc>
        <w:tc>
          <w:tcPr>
            <w:tcW w:w="107" w:type="pct"/>
          </w:tcPr>
          <w:p w:rsidR="00376768" w:rsidRDefault="00376768">
            <w:pPr>
              <w:jc w:val="center"/>
              <w:rPr>
                <w:rFonts w:ascii="Arial" w:hAnsi="Arial" w:cs="Arial"/>
                <w:sz w:val="18"/>
              </w:rPr>
            </w:pPr>
          </w:p>
        </w:tc>
        <w:tc>
          <w:tcPr>
            <w:tcW w:w="543" w:type="pct"/>
            <w:tcBorders>
              <w:top w:val="single" w:sz="4" w:space="0" w:color="auto"/>
              <w:bottom w:val="single" w:sz="4" w:space="0" w:color="auto"/>
            </w:tcBorders>
          </w:tcPr>
          <w:p w:rsidR="00376768" w:rsidRDefault="00376768">
            <w:pPr>
              <w:jc w:val="center"/>
              <w:rPr>
                <w:rFonts w:ascii="Arial" w:hAnsi="Arial" w:cs="Arial"/>
                <w:sz w:val="18"/>
              </w:rPr>
            </w:pPr>
          </w:p>
        </w:tc>
        <w:tc>
          <w:tcPr>
            <w:tcW w:w="36" w:type="pct"/>
            <w:tcBorders>
              <w:top w:val="single" w:sz="4" w:space="0" w:color="auto"/>
              <w:bottom w:val="single" w:sz="4" w:space="0" w:color="auto"/>
            </w:tcBorders>
          </w:tcPr>
          <w:p w:rsidR="00376768" w:rsidRDefault="00376768">
            <w:pPr>
              <w:jc w:val="center"/>
              <w:rPr>
                <w:rFonts w:ascii="Arial" w:hAnsi="Arial" w:cs="Arial"/>
                <w:sz w:val="18"/>
              </w:rPr>
            </w:pPr>
          </w:p>
        </w:tc>
        <w:tc>
          <w:tcPr>
            <w:tcW w:w="36" w:type="pct"/>
            <w:tcBorders>
              <w:top w:val="single" w:sz="4" w:space="0" w:color="auto"/>
              <w:bottom w:val="single" w:sz="4" w:space="0" w:color="auto"/>
            </w:tcBorders>
          </w:tcPr>
          <w:p w:rsidR="00376768" w:rsidRDefault="00376768">
            <w:pPr>
              <w:jc w:val="center"/>
              <w:rPr>
                <w:rFonts w:ascii="Arial" w:hAnsi="Arial" w:cs="Arial"/>
                <w:sz w:val="18"/>
              </w:rPr>
            </w:pPr>
          </w:p>
        </w:tc>
        <w:tc>
          <w:tcPr>
            <w:tcW w:w="524" w:type="pct"/>
            <w:tcBorders>
              <w:top w:val="single" w:sz="4" w:space="0" w:color="auto"/>
              <w:bottom w:val="single" w:sz="4" w:space="0" w:color="auto"/>
            </w:tcBorders>
          </w:tcPr>
          <w:p w:rsidR="00376768" w:rsidRDefault="00376768">
            <w:pPr>
              <w:jc w:val="center"/>
              <w:rPr>
                <w:rFonts w:ascii="Arial" w:hAnsi="Arial" w:cs="Arial"/>
                <w:sz w:val="18"/>
              </w:rPr>
            </w:pPr>
          </w:p>
        </w:tc>
        <w:tc>
          <w:tcPr>
            <w:tcW w:w="38" w:type="pct"/>
            <w:tcBorders>
              <w:top w:val="single" w:sz="4" w:space="0" w:color="auto"/>
              <w:bottom w:val="single" w:sz="4" w:space="0" w:color="auto"/>
            </w:tcBorders>
          </w:tcPr>
          <w:p w:rsidR="00376768" w:rsidRDefault="00376768">
            <w:pPr>
              <w:jc w:val="center"/>
              <w:rPr>
                <w:rFonts w:ascii="Arial" w:hAnsi="Arial" w:cs="Arial"/>
                <w:sz w:val="18"/>
              </w:rPr>
            </w:pPr>
          </w:p>
        </w:tc>
        <w:tc>
          <w:tcPr>
            <w:tcW w:w="39" w:type="pct"/>
            <w:tcBorders>
              <w:top w:val="single" w:sz="4" w:space="0" w:color="auto"/>
              <w:bottom w:val="single" w:sz="4" w:space="0" w:color="auto"/>
            </w:tcBorders>
          </w:tcPr>
          <w:p w:rsidR="00376768" w:rsidRDefault="00376768">
            <w:pPr>
              <w:jc w:val="center"/>
              <w:rPr>
                <w:rFonts w:ascii="Arial" w:hAnsi="Arial" w:cs="Arial"/>
                <w:sz w:val="18"/>
              </w:rPr>
            </w:pPr>
          </w:p>
        </w:tc>
        <w:tc>
          <w:tcPr>
            <w:tcW w:w="519" w:type="pct"/>
            <w:tcBorders>
              <w:top w:val="single" w:sz="4" w:space="0" w:color="auto"/>
              <w:bottom w:val="single" w:sz="4" w:space="0" w:color="auto"/>
            </w:tcBorders>
          </w:tcPr>
          <w:p w:rsidR="00376768" w:rsidRDefault="00376768">
            <w:pPr>
              <w:jc w:val="center"/>
              <w:rPr>
                <w:rFonts w:ascii="Arial" w:hAnsi="Arial" w:cs="Arial"/>
                <w:sz w:val="18"/>
              </w:rPr>
            </w:pPr>
          </w:p>
        </w:tc>
        <w:tc>
          <w:tcPr>
            <w:tcW w:w="31" w:type="pct"/>
            <w:tcBorders>
              <w:top w:val="single" w:sz="4" w:space="0" w:color="auto"/>
              <w:bottom w:val="single" w:sz="4" w:space="0" w:color="auto"/>
            </w:tcBorders>
          </w:tcPr>
          <w:p w:rsidR="00376768" w:rsidRDefault="00376768">
            <w:pPr>
              <w:jc w:val="center"/>
              <w:rPr>
                <w:rFonts w:ascii="Arial" w:hAnsi="Arial" w:cs="Arial"/>
                <w:sz w:val="18"/>
              </w:rPr>
            </w:pPr>
          </w:p>
        </w:tc>
        <w:tc>
          <w:tcPr>
            <w:tcW w:w="32" w:type="pct"/>
            <w:tcBorders>
              <w:top w:val="single" w:sz="4" w:space="0" w:color="auto"/>
              <w:bottom w:val="single" w:sz="4" w:space="0" w:color="auto"/>
            </w:tcBorders>
          </w:tcPr>
          <w:p w:rsidR="00376768" w:rsidRDefault="00376768">
            <w:pPr>
              <w:jc w:val="center"/>
              <w:rPr>
                <w:rFonts w:ascii="Arial" w:hAnsi="Arial" w:cs="Arial"/>
                <w:sz w:val="18"/>
              </w:rPr>
            </w:pPr>
          </w:p>
        </w:tc>
        <w:tc>
          <w:tcPr>
            <w:tcW w:w="508" w:type="pct"/>
            <w:tcBorders>
              <w:top w:val="single" w:sz="4" w:space="0" w:color="auto"/>
              <w:bottom w:val="single" w:sz="4" w:space="0" w:color="auto"/>
            </w:tcBorders>
          </w:tcPr>
          <w:p w:rsidR="00376768" w:rsidRDefault="00376768">
            <w:pPr>
              <w:jc w:val="center"/>
              <w:rPr>
                <w:rFonts w:ascii="Arial" w:hAnsi="Arial" w:cs="Arial"/>
                <w:sz w:val="18"/>
              </w:rPr>
            </w:pPr>
          </w:p>
        </w:tc>
        <w:tc>
          <w:tcPr>
            <w:tcW w:w="151" w:type="pct"/>
          </w:tcPr>
          <w:p w:rsidR="00376768" w:rsidRDefault="00376768">
            <w:pPr>
              <w:jc w:val="center"/>
              <w:rPr>
                <w:rFonts w:ascii="Arial" w:hAnsi="Arial" w:cs="Arial"/>
                <w:sz w:val="18"/>
              </w:rPr>
            </w:pPr>
          </w:p>
        </w:tc>
        <w:tc>
          <w:tcPr>
            <w:tcW w:w="590" w:type="pct"/>
            <w:tcBorders>
              <w:top w:val="single" w:sz="4" w:space="0" w:color="auto"/>
              <w:bottom w:val="single" w:sz="4" w:space="0" w:color="auto"/>
            </w:tcBorders>
          </w:tcPr>
          <w:p w:rsidR="00376768" w:rsidRDefault="00376768">
            <w:pPr>
              <w:jc w:val="center"/>
              <w:rPr>
                <w:rFonts w:ascii="Arial" w:hAnsi="Arial" w:cs="Arial"/>
                <w:sz w:val="18"/>
              </w:rPr>
            </w:pPr>
          </w:p>
        </w:tc>
        <w:tc>
          <w:tcPr>
            <w:tcW w:w="25" w:type="pct"/>
            <w:tcBorders>
              <w:top w:val="single" w:sz="4" w:space="0" w:color="auto"/>
              <w:bottom w:val="single" w:sz="4" w:space="0" w:color="auto"/>
            </w:tcBorders>
          </w:tcPr>
          <w:p w:rsidR="00376768" w:rsidRDefault="00376768">
            <w:pPr>
              <w:jc w:val="center"/>
              <w:rPr>
                <w:rFonts w:ascii="Arial" w:hAnsi="Arial" w:cs="Arial"/>
                <w:sz w:val="18"/>
              </w:rPr>
            </w:pPr>
          </w:p>
        </w:tc>
        <w:tc>
          <w:tcPr>
            <w:tcW w:w="25" w:type="pct"/>
            <w:tcBorders>
              <w:top w:val="single" w:sz="4" w:space="0" w:color="auto"/>
              <w:bottom w:val="single" w:sz="4" w:space="0" w:color="auto"/>
            </w:tcBorders>
          </w:tcPr>
          <w:p w:rsidR="00376768" w:rsidRDefault="00376768">
            <w:pPr>
              <w:jc w:val="center"/>
              <w:rPr>
                <w:rFonts w:ascii="Arial" w:hAnsi="Arial" w:cs="Arial"/>
                <w:sz w:val="18"/>
              </w:rPr>
            </w:pPr>
          </w:p>
        </w:tc>
        <w:tc>
          <w:tcPr>
            <w:tcW w:w="583" w:type="pct"/>
            <w:tcBorders>
              <w:top w:val="single" w:sz="4" w:space="0" w:color="auto"/>
              <w:bottom w:val="single" w:sz="4" w:space="0" w:color="auto"/>
            </w:tcBorders>
          </w:tcPr>
          <w:p w:rsidR="00376768" w:rsidRDefault="00376768">
            <w:pPr>
              <w:jc w:val="center"/>
              <w:rPr>
                <w:rFonts w:ascii="Arial" w:hAnsi="Arial" w:cs="Arial"/>
                <w:sz w:val="18"/>
              </w:rPr>
            </w:pPr>
          </w:p>
        </w:tc>
      </w:tr>
      <w:tr w:rsidR="00376768">
        <w:tc>
          <w:tcPr>
            <w:tcW w:w="1213" w:type="pct"/>
          </w:tcPr>
          <w:p w:rsidR="00376768" w:rsidRDefault="00EC2B72">
            <w:pPr>
              <w:rPr>
                <w:rFonts w:ascii="Arial" w:hAnsi="Arial" w:cs="Arial"/>
                <w:sz w:val="18"/>
              </w:rPr>
            </w:pPr>
            <w:r>
              <w:rPr>
                <w:rFonts w:ascii="Arial" w:hAnsi="Arial" w:cs="Arial"/>
                <w:sz w:val="18"/>
                <w:szCs w:val="18"/>
              </w:rPr>
              <w:t>Lump Sum Severance</w:t>
            </w:r>
            <w:r>
              <w:rPr>
                <w:rFonts w:ascii="Arial" w:hAnsi="Arial" w:cs="Arial"/>
                <w:b/>
                <w:bCs/>
                <w:sz w:val="18"/>
                <w:szCs w:val="14"/>
                <w:vertAlign w:val="superscript"/>
              </w:rPr>
              <w:t>(1)(2)</w:t>
            </w:r>
          </w:p>
        </w:tc>
        <w:tc>
          <w:tcPr>
            <w:tcW w:w="107" w:type="pct"/>
            <w:tcBorders>
              <w:right w:val="single" w:sz="4" w:space="0" w:color="auto"/>
            </w:tcBorders>
          </w:tcPr>
          <w:p w:rsidR="00376768" w:rsidRDefault="00376768">
            <w:pPr>
              <w:jc w:val="center"/>
              <w:rPr>
                <w:rFonts w:ascii="Arial" w:hAnsi="Arial" w:cs="Arial"/>
                <w:sz w:val="18"/>
                <w:szCs w:val="2"/>
              </w:rPr>
            </w:pPr>
          </w:p>
        </w:tc>
        <w:tc>
          <w:tcPr>
            <w:tcW w:w="543" w:type="pct"/>
            <w:tcBorders>
              <w:top w:val="single" w:sz="4" w:space="0" w:color="auto"/>
              <w:left w:val="single" w:sz="4" w:space="0" w:color="auto"/>
              <w:bottom w:val="single" w:sz="4" w:space="0" w:color="auto"/>
            </w:tcBorders>
          </w:tcPr>
          <w:p w:rsidR="00376768" w:rsidRDefault="00376768">
            <w:pPr>
              <w:jc w:val="center"/>
              <w:rPr>
                <w:rFonts w:ascii="Arial" w:hAnsi="Arial" w:cs="Arial"/>
                <w:sz w:val="18"/>
                <w:szCs w:val="2"/>
              </w:rPr>
            </w:pPr>
          </w:p>
        </w:tc>
        <w:tc>
          <w:tcPr>
            <w:tcW w:w="36"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c>
          <w:tcPr>
            <w:tcW w:w="36"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524" w:type="pct"/>
            <w:tcBorders>
              <w:top w:val="single" w:sz="4" w:space="0" w:color="auto"/>
              <w:left w:val="nil"/>
              <w:bottom w:val="single" w:sz="4" w:space="0" w:color="auto"/>
            </w:tcBorders>
          </w:tcPr>
          <w:p w:rsidR="00376768" w:rsidRDefault="00EC2B72">
            <w:pPr>
              <w:jc w:val="center"/>
              <w:rPr>
                <w:rFonts w:ascii="Arial" w:hAnsi="Arial" w:cs="Arial"/>
                <w:sz w:val="18"/>
              </w:rPr>
            </w:pPr>
            <w:r>
              <w:rPr>
                <w:rFonts w:ascii="Arial" w:hAnsi="Arial" w:cs="Arial"/>
                <w:sz w:val="18"/>
                <w:szCs w:val="18"/>
              </w:rPr>
              <w:t>$532,722</w:t>
            </w:r>
          </w:p>
        </w:tc>
        <w:tc>
          <w:tcPr>
            <w:tcW w:w="38"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39"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19" w:type="pct"/>
            <w:tcBorders>
              <w:top w:val="single" w:sz="4" w:space="0" w:color="auto"/>
              <w:left w:val="nil"/>
              <w:bottom w:val="single" w:sz="4" w:space="0" w:color="auto"/>
            </w:tcBorders>
          </w:tcPr>
          <w:p w:rsidR="00376768" w:rsidRDefault="00EC2B72">
            <w:pPr>
              <w:jc w:val="center"/>
              <w:rPr>
                <w:rFonts w:ascii="Arial" w:hAnsi="Arial" w:cs="Arial"/>
                <w:sz w:val="18"/>
              </w:rPr>
            </w:pPr>
            <w:r>
              <w:rPr>
                <w:rFonts w:ascii="Arial" w:hAnsi="Arial" w:cs="Arial"/>
                <w:sz w:val="18"/>
                <w:szCs w:val="18"/>
              </w:rPr>
              <w:t>$532,722</w:t>
            </w:r>
          </w:p>
        </w:tc>
        <w:tc>
          <w:tcPr>
            <w:tcW w:w="31"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32"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08" w:type="pct"/>
            <w:tcBorders>
              <w:top w:val="single" w:sz="4" w:space="0" w:color="auto"/>
              <w:left w:val="nil"/>
              <w:bottom w:val="single" w:sz="4" w:space="0" w:color="auto"/>
              <w:right w:val="single" w:sz="4" w:space="0" w:color="auto"/>
            </w:tcBorders>
          </w:tcPr>
          <w:p w:rsidR="00376768" w:rsidRDefault="00EC2B72">
            <w:pPr>
              <w:jc w:val="center"/>
              <w:rPr>
                <w:rFonts w:ascii="Arial" w:hAnsi="Arial" w:cs="Arial"/>
                <w:sz w:val="18"/>
              </w:rPr>
            </w:pPr>
            <w:r>
              <w:rPr>
                <w:rFonts w:ascii="Arial" w:hAnsi="Arial" w:cs="Arial"/>
                <w:sz w:val="18"/>
                <w:szCs w:val="18"/>
              </w:rPr>
              <w:t>$532,722</w:t>
            </w:r>
          </w:p>
        </w:tc>
        <w:tc>
          <w:tcPr>
            <w:tcW w:w="151" w:type="pct"/>
            <w:tcBorders>
              <w:left w:val="single" w:sz="4" w:space="0" w:color="auto"/>
              <w:right w:val="single" w:sz="4" w:space="0" w:color="auto"/>
            </w:tcBorders>
          </w:tcPr>
          <w:p w:rsidR="00376768" w:rsidRDefault="00376768">
            <w:pPr>
              <w:jc w:val="center"/>
              <w:rPr>
                <w:rFonts w:ascii="Arial" w:hAnsi="Arial" w:cs="Arial"/>
                <w:sz w:val="18"/>
                <w:szCs w:val="2"/>
              </w:rPr>
            </w:pPr>
          </w:p>
        </w:tc>
        <w:tc>
          <w:tcPr>
            <w:tcW w:w="590" w:type="pct"/>
            <w:tcBorders>
              <w:top w:val="single" w:sz="4" w:space="0" w:color="auto"/>
              <w:left w:val="single" w:sz="4" w:space="0" w:color="auto"/>
              <w:bottom w:val="single" w:sz="4" w:space="0" w:color="auto"/>
            </w:tcBorders>
          </w:tcPr>
          <w:p w:rsidR="00376768" w:rsidRDefault="00EC2B72">
            <w:pPr>
              <w:jc w:val="center"/>
              <w:rPr>
                <w:rFonts w:ascii="Arial" w:hAnsi="Arial" w:cs="Arial"/>
                <w:sz w:val="18"/>
              </w:rPr>
            </w:pPr>
            <w:r>
              <w:rPr>
                <w:rFonts w:ascii="Arial" w:hAnsi="Arial" w:cs="Arial"/>
                <w:sz w:val="18"/>
                <w:szCs w:val="18"/>
              </w:rPr>
              <w:t>$1,901,935</w:t>
            </w:r>
          </w:p>
        </w:tc>
        <w:tc>
          <w:tcPr>
            <w:tcW w:w="25"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25"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83"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r>
      <w:tr w:rsidR="00376768">
        <w:tc>
          <w:tcPr>
            <w:tcW w:w="1213" w:type="pct"/>
          </w:tcPr>
          <w:p w:rsidR="00376768" w:rsidRDefault="00EC2B72">
            <w:pPr>
              <w:rPr>
                <w:rFonts w:ascii="Arial" w:hAnsi="Arial" w:cs="Arial"/>
                <w:sz w:val="18"/>
              </w:rPr>
            </w:pPr>
            <w:r>
              <w:rPr>
                <w:rFonts w:ascii="Arial" w:hAnsi="Arial" w:cs="Arial"/>
                <w:sz w:val="18"/>
                <w:szCs w:val="18"/>
              </w:rPr>
              <w:t>Benefits Continuation</w:t>
            </w:r>
            <w:r>
              <w:rPr>
                <w:rFonts w:ascii="Arial" w:hAnsi="Arial" w:cs="Arial"/>
                <w:b/>
                <w:bCs/>
                <w:sz w:val="18"/>
                <w:szCs w:val="14"/>
                <w:vertAlign w:val="superscript"/>
              </w:rPr>
              <w:t>(3)</w:t>
            </w:r>
          </w:p>
        </w:tc>
        <w:tc>
          <w:tcPr>
            <w:tcW w:w="107" w:type="pct"/>
            <w:tcBorders>
              <w:right w:val="single" w:sz="4" w:space="0" w:color="auto"/>
            </w:tcBorders>
          </w:tcPr>
          <w:p w:rsidR="00376768" w:rsidRDefault="00376768">
            <w:pPr>
              <w:jc w:val="center"/>
              <w:rPr>
                <w:rFonts w:ascii="Arial" w:hAnsi="Arial" w:cs="Arial"/>
                <w:sz w:val="18"/>
                <w:szCs w:val="2"/>
              </w:rPr>
            </w:pPr>
          </w:p>
        </w:tc>
        <w:tc>
          <w:tcPr>
            <w:tcW w:w="543" w:type="pct"/>
            <w:tcBorders>
              <w:top w:val="single" w:sz="4" w:space="0" w:color="auto"/>
              <w:left w:val="single" w:sz="4" w:space="0" w:color="auto"/>
              <w:bottom w:val="single" w:sz="4" w:space="0" w:color="auto"/>
            </w:tcBorders>
          </w:tcPr>
          <w:p w:rsidR="00376768" w:rsidRDefault="00376768">
            <w:pPr>
              <w:jc w:val="center"/>
              <w:rPr>
                <w:rFonts w:ascii="Arial" w:hAnsi="Arial" w:cs="Arial"/>
                <w:sz w:val="18"/>
                <w:szCs w:val="2"/>
              </w:rPr>
            </w:pPr>
          </w:p>
        </w:tc>
        <w:tc>
          <w:tcPr>
            <w:tcW w:w="36"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c>
          <w:tcPr>
            <w:tcW w:w="36"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524"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38"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c>
          <w:tcPr>
            <w:tcW w:w="39"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519"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31"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c>
          <w:tcPr>
            <w:tcW w:w="32"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508"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c>
          <w:tcPr>
            <w:tcW w:w="151" w:type="pct"/>
            <w:tcBorders>
              <w:left w:val="single" w:sz="4" w:space="0" w:color="auto"/>
              <w:right w:val="single" w:sz="4" w:space="0" w:color="auto"/>
            </w:tcBorders>
          </w:tcPr>
          <w:p w:rsidR="00376768" w:rsidRDefault="00376768">
            <w:pPr>
              <w:jc w:val="center"/>
              <w:rPr>
                <w:rFonts w:ascii="Arial" w:hAnsi="Arial" w:cs="Arial"/>
                <w:sz w:val="18"/>
                <w:szCs w:val="2"/>
              </w:rPr>
            </w:pPr>
          </w:p>
        </w:tc>
        <w:tc>
          <w:tcPr>
            <w:tcW w:w="590" w:type="pct"/>
            <w:tcBorders>
              <w:top w:val="single" w:sz="4" w:space="0" w:color="auto"/>
              <w:left w:val="single" w:sz="4" w:space="0" w:color="auto"/>
              <w:bottom w:val="single" w:sz="4" w:space="0" w:color="auto"/>
            </w:tcBorders>
          </w:tcPr>
          <w:p w:rsidR="00376768" w:rsidRDefault="00EC2B72">
            <w:pPr>
              <w:jc w:val="center"/>
              <w:rPr>
                <w:rFonts w:ascii="Arial" w:hAnsi="Arial" w:cs="Arial"/>
                <w:sz w:val="18"/>
              </w:rPr>
            </w:pPr>
            <w:r>
              <w:rPr>
                <w:rFonts w:ascii="Arial" w:hAnsi="Arial" w:cs="Arial"/>
                <w:sz w:val="18"/>
                <w:szCs w:val="18"/>
              </w:rPr>
              <w:t>$20,061</w:t>
            </w:r>
          </w:p>
        </w:tc>
        <w:tc>
          <w:tcPr>
            <w:tcW w:w="25"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25"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83"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r>
      <w:tr w:rsidR="00376768">
        <w:tc>
          <w:tcPr>
            <w:tcW w:w="1213" w:type="pct"/>
          </w:tcPr>
          <w:p w:rsidR="00376768" w:rsidRDefault="00EC2B72">
            <w:pPr>
              <w:rPr>
                <w:rFonts w:ascii="Arial" w:hAnsi="Arial" w:cs="Arial"/>
                <w:sz w:val="18"/>
              </w:rPr>
            </w:pPr>
            <w:r>
              <w:rPr>
                <w:rFonts w:ascii="Arial" w:hAnsi="Arial" w:cs="Arial"/>
                <w:sz w:val="18"/>
                <w:szCs w:val="18"/>
              </w:rPr>
              <w:t>Equity Awards (Unvested)</w:t>
            </w:r>
          </w:p>
        </w:tc>
        <w:tc>
          <w:tcPr>
            <w:tcW w:w="107" w:type="pct"/>
            <w:tcBorders>
              <w:right w:val="single" w:sz="4" w:space="0" w:color="auto"/>
            </w:tcBorders>
          </w:tcPr>
          <w:p w:rsidR="00376768" w:rsidRDefault="00376768">
            <w:pPr>
              <w:jc w:val="center"/>
              <w:rPr>
                <w:rFonts w:ascii="Arial" w:hAnsi="Arial" w:cs="Arial"/>
                <w:sz w:val="18"/>
                <w:szCs w:val="2"/>
              </w:rPr>
            </w:pPr>
          </w:p>
        </w:tc>
        <w:tc>
          <w:tcPr>
            <w:tcW w:w="543" w:type="pct"/>
            <w:tcBorders>
              <w:top w:val="single" w:sz="4" w:space="0" w:color="auto"/>
              <w:left w:val="single" w:sz="4" w:space="0" w:color="auto"/>
              <w:bottom w:val="single" w:sz="4" w:space="0" w:color="auto"/>
            </w:tcBorders>
          </w:tcPr>
          <w:p w:rsidR="00376768" w:rsidRDefault="00376768">
            <w:pPr>
              <w:jc w:val="center"/>
              <w:rPr>
                <w:rFonts w:ascii="Arial" w:hAnsi="Arial" w:cs="Arial"/>
                <w:sz w:val="18"/>
                <w:szCs w:val="2"/>
              </w:rPr>
            </w:pPr>
          </w:p>
        </w:tc>
        <w:tc>
          <w:tcPr>
            <w:tcW w:w="36"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c>
          <w:tcPr>
            <w:tcW w:w="36"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524" w:type="pct"/>
            <w:tcBorders>
              <w:top w:val="single" w:sz="4" w:space="0" w:color="auto"/>
              <w:left w:val="nil"/>
              <w:bottom w:val="single" w:sz="4" w:space="0" w:color="auto"/>
            </w:tcBorders>
          </w:tcPr>
          <w:p w:rsidR="00376768" w:rsidRDefault="00EC2B72">
            <w:pPr>
              <w:jc w:val="center"/>
              <w:rPr>
                <w:rFonts w:ascii="Arial" w:hAnsi="Arial" w:cs="Arial"/>
                <w:sz w:val="18"/>
              </w:rPr>
            </w:pPr>
            <w:r>
              <w:rPr>
                <w:rFonts w:ascii="Arial" w:hAnsi="Arial" w:cs="Arial"/>
                <w:sz w:val="18"/>
                <w:szCs w:val="18"/>
              </w:rPr>
              <w:t>$530,896</w:t>
            </w:r>
            <w:r>
              <w:rPr>
                <w:rFonts w:ascii="Arial" w:hAnsi="Arial" w:cs="Arial"/>
                <w:sz w:val="18"/>
                <w:szCs w:val="14"/>
                <w:vertAlign w:val="superscript"/>
              </w:rPr>
              <w:t>(5)</w:t>
            </w:r>
          </w:p>
        </w:tc>
        <w:tc>
          <w:tcPr>
            <w:tcW w:w="38"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39"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19" w:type="pct"/>
            <w:tcBorders>
              <w:top w:val="single" w:sz="4" w:space="0" w:color="auto"/>
              <w:left w:val="nil"/>
              <w:bottom w:val="single" w:sz="4" w:space="0" w:color="auto"/>
            </w:tcBorders>
          </w:tcPr>
          <w:p w:rsidR="00376768" w:rsidRDefault="00EC2B72">
            <w:pPr>
              <w:jc w:val="center"/>
              <w:rPr>
                <w:rFonts w:ascii="Arial" w:hAnsi="Arial" w:cs="Arial"/>
                <w:sz w:val="18"/>
              </w:rPr>
            </w:pPr>
            <w:r>
              <w:rPr>
                <w:rFonts w:ascii="Arial" w:hAnsi="Arial" w:cs="Arial"/>
                <w:sz w:val="18"/>
                <w:szCs w:val="18"/>
              </w:rPr>
              <w:t>$530,896</w:t>
            </w:r>
            <w:r>
              <w:rPr>
                <w:rFonts w:ascii="Arial" w:hAnsi="Arial" w:cs="Arial"/>
                <w:sz w:val="18"/>
                <w:szCs w:val="14"/>
                <w:vertAlign w:val="superscript"/>
              </w:rPr>
              <w:t>(5)</w:t>
            </w:r>
          </w:p>
        </w:tc>
        <w:tc>
          <w:tcPr>
            <w:tcW w:w="31"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32"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08" w:type="pct"/>
            <w:tcBorders>
              <w:top w:val="single" w:sz="4" w:space="0" w:color="auto"/>
              <w:left w:val="nil"/>
              <w:bottom w:val="single" w:sz="4" w:space="0" w:color="auto"/>
              <w:right w:val="single" w:sz="4" w:space="0" w:color="auto"/>
            </w:tcBorders>
          </w:tcPr>
          <w:p w:rsidR="00376768" w:rsidRDefault="00EC2B72">
            <w:pPr>
              <w:jc w:val="center"/>
              <w:rPr>
                <w:rFonts w:ascii="Arial" w:hAnsi="Arial" w:cs="Arial"/>
                <w:sz w:val="18"/>
              </w:rPr>
            </w:pPr>
            <w:r>
              <w:rPr>
                <w:rFonts w:ascii="Arial" w:hAnsi="Arial" w:cs="Arial"/>
                <w:sz w:val="18"/>
                <w:szCs w:val="18"/>
              </w:rPr>
              <w:t>$530,896</w:t>
            </w:r>
            <w:r>
              <w:rPr>
                <w:rFonts w:ascii="Arial" w:hAnsi="Arial" w:cs="Arial"/>
                <w:sz w:val="18"/>
                <w:szCs w:val="14"/>
                <w:vertAlign w:val="superscript"/>
              </w:rPr>
              <w:t>(5)</w:t>
            </w:r>
          </w:p>
        </w:tc>
        <w:tc>
          <w:tcPr>
            <w:tcW w:w="151" w:type="pct"/>
            <w:tcBorders>
              <w:left w:val="single" w:sz="4" w:space="0" w:color="auto"/>
              <w:right w:val="single" w:sz="4" w:space="0" w:color="auto"/>
            </w:tcBorders>
          </w:tcPr>
          <w:p w:rsidR="00376768" w:rsidRDefault="00376768">
            <w:pPr>
              <w:jc w:val="center"/>
              <w:rPr>
                <w:rFonts w:ascii="Arial" w:hAnsi="Arial" w:cs="Arial"/>
                <w:sz w:val="18"/>
                <w:szCs w:val="2"/>
              </w:rPr>
            </w:pPr>
          </w:p>
        </w:tc>
        <w:tc>
          <w:tcPr>
            <w:tcW w:w="590" w:type="pct"/>
            <w:tcBorders>
              <w:top w:val="single" w:sz="4" w:space="0" w:color="auto"/>
              <w:left w:val="single" w:sz="4" w:space="0" w:color="auto"/>
              <w:bottom w:val="single" w:sz="4" w:space="0" w:color="auto"/>
            </w:tcBorders>
          </w:tcPr>
          <w:p w:rsidR="00376768" w:rsidRDefault="00EC2B72">
            <w:pPr>
              <w:jc w:val="center"/>
              <w:rPr>
                <w:rFonts w:ascii="Arial" w:hAnsi="Arial" w:cs="Arial"/>
                <w:sz w:val="18"/>
              </w:rPr>
            </w:pPr>
            <w:r>
              <w:rPr>
                <w:rFonts w:ascii="Arial" w:hAnsi="Arial" w:cs="Arial"/>
                <w:sz w:val="18"/>
                <w:szCs w:val="18"/>
              </w:rPr>
              <w:t>$1,259,820</w:t>
            </w:r>
            <w:r>
              <w:rPr>
                <w:rFonts w:ascii="Arial" w:hAnsi="Arial" w:cs="Arial"/>
                <w:sz w:val="18"/>
                <w:szCs w:val="14"/>
                <w:vertAlign w:val="superscript"/>
              </w:rPr>
              <w:t>(6)</w:t>
            </w:r>
          </w:p>
        </w:tc>
        <w:tc>
          <w:tcPr>
            <w:tcW w:w="25"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25"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83" w:type="pct"/>
            <w:tcBorders>
              <w:top w:val="single" w:sz="4" w:space="0" w:color="auto"/>
              <w:left w:val="nil"/>
              <w:bottom w:val="single" w:sz="4" w:space="0" w:color="auto"/>
              <w:right w:val="single" w:sz="4" w:space="0" w:color="auto"/>
            </w:tcBorders>
          </w:tcPr>
          <w:p w:rsidR="00376768" w:rsidRDefault="00EC2B72">
            <w:pPr>
              <w:jc w:val="center"/>
              <w:rPr>
                <w:rFonts w:ascii="Arial" w:hAnsi="Arial" w:cs="Arial"/>
                <w:sz w:val="18"/>
              </w:rPr>
            </w:pPr>
            <w:r>
              <w:rPr>
                <w:rFonts w:ascii="Arial" w:hAnsi="Arial" w:cs="Arial"/>
                <w:sz w:val="18"/>
                <w:szCs w:val="18"/>
              </w:rPr>
              <w:t>$530,896</w:t>
            </w:r>
            <w:r>
              <w:rPr>
                <w:rFonts w:ascii="Arial" w:hAnsi="Arial" w:cs="Arial"/>
                <w:sz w:val="18"/>
                <w:szCs w:val="14"/>
                <w:vertAlign w:val="superscript"/>
              </w:rPr>
              <w:t>(6)</w:t>
            </w:r>
          </w:p>
        </w:tc>
      </w:tr>
      <w:tr w:rsidR="00376768">
        <w:tc>
          <w:tcPr>
            <w:tcW w:w="1213" w:type="pct"/>
          </w:tcPr>
          <w:p w:rsidR="00376768" w:rsidRDefault="00EC2B72">
            <w:pPr>
              <w:rPr>
                <w:rFonts w:ascii="Arial" w:hAnsi="Arial" w:cs="Arial"/>
                <w:sz w:val="18"/>
              </w:rPr>
            </w:pPr>
            <w:r>
              <w:rPr>
                <w:rFonts w:ascii="Arial" w:hAnsi="Arial" w:cs="Arial"/>
                <w:sz w:val="18"/>
                <w:szCs w:val="18"/>
              </w:rPr>
              <w:t>Outplacement Services</w:t>
            </w:r>
          </w:p>
        </w:tc>
        <w:tc>
          <w:tcPr>
            <w:tcW w:w="107" w:type="pct"/>
            <w:tcBorders>
              <w:right w:val="single" w:sz="4" w:space="0" w:color="auto"/>
            </w:tcBorders>
          </w:tcPr>
          <w:p w:rsidR="00376768" w:rsidRDefault="00376768">
            <w:pPr>
              <w:jc w:val="center"/>
              <w:rPr>
                <w:rFonts w:ascii="Arial" w:hAnsi="Arial" w:cs="Arial"/>
                <w:sz w:val="18"/>
                <w:szCs w:val="2"/>
              </w:rPr>
            </w:pPr>
          </w:p>
        </w:tc>
        <w:tc>
          <w:tcPr>
            <w:tcW w:w="543" w:type="pct"/>
            <w:tcBorders>
              <w:top w:val="single" w:sz="4" w:space="0" w:color="auto"/>
              <w:left w:val="single" w:sz="4" w:space="0" w:color="auto"/>
              <w:bottom w:val="single" w:sz="4" w:space="0" w:color="auto"/>
            </w:tcBorders>
          </w:tcPr>
          <w:p w:rsidR="00376768" w:rsidRDefault="00376768">
            <w:pPr>
              <w:jc w:val="center"/>
              <w:rPr>
                <w:rFonts w:ascii="Arial" w:hAnsi="Arial" w:cs="Arial"/>
                <w:sz w:val="18"/>
                <w:szCs w:val="2"/>
              </w:rPr>
            </w:pPr>
          </w:p>
        </w:tc>
        <w:tc>
          <w:tcPr>
            <w:tcW w:w="36"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c>
          <w:tcPr>
            <w:tcW w:w="36"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524"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38"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c>
          <w:tcPr>
            <w:tcW w:w="39"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519"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31"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c>
          <w:tcPr>
            <w:tcW w:w="32"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508"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c>
          <w:tcPr>
            <w:tcW w:w="151" w:type="pct"/>
            <w:tcBorders>
              <w:left w:val="single" w:sz="4" w:space="0" w:color="auto"/>
              <w:right w:val="single" w:sz="4" w:space="0" w:color="auto"/>
            </w:tcBorders>
          </w:tcPr>
          <w:p w:rsidR="00376768" w:rsidRDefault="00376768">
            <w:pPr>
              <w:jc w:val="center"/>
              <w:rPr>
                <w:rFonts w:ascii="Arial" w:hAnsi="Arial" w:cs="Arial"/>
                <w:sz w:val="18"/>
                <w:szCs w:val="2"/>
              </w:rPr>
            </w:pPr>
          </w:p>
        </w:tc>
        <w:tc>
          <w:tcPr>
            <w:tcW w:w="590" w:type="pct"/>
            <w:tcBorders>
              <w:top w:val="single" w:sz="4" w:space="0" w:color="auto"/>
              <w:left w:val="single" w:sz="4" w:space="0" w:color="auto"/>
              <w:bottom w:val="single" w:sz="4" w:space="0" w:color="auto"/>
            </w:tcBorders>
          </w:tcPr>
          <w:p w:rsidR="00376768" w:rsidRDefault="00EC2B72">
            <w:pPr>
              <w:jc w:val="center"/>
              <w:rPr>
                <w:rFonts w:ascii="Arial" w:hAnsi="Arial" w:cs="Arial"/>
                <w:sz w:val="18"/>
              </w:rPr>
            </w:pPr>
            <w:r>
              <w:rPr>
                <w:rFonts w:ascii="Arial" w:hAnsi="Arial" w:cs="Arial"/>
                <w:sz w:val="18"/>
                <w:szCs w:val="18"/>
              </w:rPr>
              <w:t>$15,000</w:t>
            </w:r>
          </w:p>
        </w:tc>
        <w:tc>
          <w:tcPr>
            <w:tcW w:w="25"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25"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83"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r>
      <w:tr w:rsidR="00376768">
        <w:tc>
          <w:tcPr>
            <w:tcW w:w="1213" w:type="pct"/>
          </w:tcPr>
          <w:p w:rsidR="00376768" w:rsidRDefault="00EC2B72">
            <w:pPr>
              <w:rPr>
                <w:rFonts w:ascii="Arial" w:hAnsi="Arial" w:cs="Arial"/>
                <w:sz w:val="18"/>
              </w:rPr>
            </w:pPr>
            <w:r>
              <w:rPr>
                <w:rFonts w:ascii="Arial" w:hAnsi="Arial" w:cs="Arial"/>
                <w:sz w:val="18"/>
                <w:szCs w:val="18"/>
              </w:rPr>
              <w:t>SERP</w:t>
            </w:r>
            <w:r>
              <w:rPr>
                <w:rFonts w:ascii="Arial" w:hAnsi="Arial" w:cs="Arial"/>
                <w:b/>
                <w:bCs/>
                <w:sz w:val="18"/>
                <w:szCs w:val="14"/>
                <w:vertAlign w:val="superscript"/>
              </w:rPr>
              <w:t>(4)</w:t>
            </w:r>
          </w:p>
        </w:tc>
        <w:tc>
          <w:tcPr>
            <w:tcW w:w="107" w:type="pct"/>
            <w:tcBorders>
              <w:right w:val="single" w:sz="4" w:space="0" w:color="auto"/>
            </w:tcBorders>
          </w:tcPr>
          <w:p w:rsidR="00376768" w:rsidRDefault="00376768">
            <w:pPr>
              <w:jc w:val="center"/>
              <w:rPr>
                <w:rFonts w:ascii="Arial" w:hAnsi="Arial" w:cs="Arial"/>
                <w:sz w:val="18"/>
                <w:szCs w:val="18"/>
              </w:rPr>
            </w:pPr>
          </w:p>
        </w:tc>
        <w:tc>
          <w:tcPr>
            <w:tcW w:w="543" w:type="pct"/>
            <w:tcBorders>
              <w:top w:val="single" w:sz="4" w:space="0" w:color="auto"/>
              <w:left w:val="single" w:sz="4" w:space="0" w:color="auto"/>
              <w:bottom w:val="single" w:sz="4" w:space="0" w:color="auto"/>
            </w:tcBorders>
          </w:tcPr>
          <w:p w:rsidR="00376768" w:rsidRDefault="00EC2B72">
            <w:pPr>
              <w:jc w:val="center"/>
              <w:rPr>
                <w:rFonts w:ascii="Arial" w:hAnsi="Arial" w:cs="Arial"/>
                <w:sz w:val="18"/>
              </w:rPr>
            </w:pPr>
            <w:r>
              <w:rPr>
                <w:rFonts w:ascii="Arial" w:hAnsi="Arial" w:cs="Arial"/>
                <w:sz w:val="18"/>
                <w:szCs w:val="18"/>
              </w:rPr>
              <w:t>$220,597</w:t>
            </w:r>
          </w:p>
        </w:tc>
        <w:tc>
          <w:tcPr>
            <w:tcW w:w="36"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36"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24" w:type="pct"/>
            <w:tcBorders>
              <w:top w:val="single" w:sz="4" w:space="0" w:color="auto"/>
              <w:left w:val="nil"/>
              <w:bottom w:val="single" w:sz="4" w:space="0" w:color="auto"/>
            </w:tcBorders>
          </w:tcPr>
          <w:p w:rsidR="00376768" w:rsidRDefault="00EC2B72">
            <w:pPr>
              <w:jc w:val="center"/>
              <w:rPr>
                <w:rFonts w:ascii="Arial" w:hAnsi="Arial" w:cs="Arial"/>
                <w:sz w:val="18"/>
              </w:rPr>
            </w:pPr>
            <w:r>
              <w:rPr>
                <w:rFonts w:ascii="Arial" w:hAnsi="Arial" w:cs="Arial"/>
                <w:sz w:val="18"/>
                <w:szCs w:val="18"/>
              </w:rPr>
              <w:t>$220,597</w:t>
            </w:r>
          </w:p>
        </w:tc>
        <w:tc>
          <w:tcPr>
            <w:tcW w:w="38"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39"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19" w:type="pct"/>
            <w:tcBorders>
              <w:top w:val="single" w:sz="4" w:space="0" w:color="auto"/>
              <w:left w:val="nil"/>
              <w:bottom w:val="single" w:sz="4" w:space="0" w:color="auto"/>
            </w:tcBorders>
          </w:tcPr>
          <w:p w:rsidR="00376768" w:rsidRDefault="00EC2B72">
            <w:pPr>
              <w:jc w:val="center"/>
              <w:rPr>
                <w:rFonts w:ascii="Arial" w:hAnsi="Arial" w:cs="Arial"/>
                <w:sz w:val="18"/>
              </w:rPr>
            </w:pPr>
            <w:r>
              <w:rPr>
                <w:rFonts w:ascii="Arial" w:hAnsi="Arial" w:cs="Arial"/>
                <w:sz w:val="18"/>
                <w:szCs w:val="18"/>
              </w:rPr>
              <w:t>$220,597</w:t>
            </w:r>
          </w:p>
        </w:tc>
        <w:tc>
          <w:tcPr>
            <w:tcW w:w="31"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32"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08" w:type="pct"/>
            <w:tcBorders>
              <w:top w:val="single" w:sz="4" w:space="0" w:color="auto"/>
              <w:left w:val="nil"/>
              <w:bottom w:val="single" w:sz="4" w:space="0" w:color="auto"/>
              <w:right w:val="single" w:sz="4" w:space="0" w:color="auto"/>
            </w:tcBorders>
          </w:tcPr>
          <w:p w:rsidR="00376768" w:rsidRDefault="00EC2B72">
            <w:pPr>
              <w:jc w:val="center"/>
              <w:rPr>
                <w:rFonts w:ascii="Arial" w:hAnsi="Arial" w:cs="Arial"/>
                <w:sz w:val="18"/>
              </w:rPr>
            </w:pPr>
            <w:r>
              <w:rPr>
                <w:rFonts w:ascii="Arial" w:hAnsi="Arial" w:cs="Arial"/>
                <w:sz w:val="18"/>
                <w:szCs w:val="18"/>
              </w:rPr>
              <w:t>$220,597</w:t>
            </w:r>
          </w:p>
        </w:tc>
        <w:tc>
          <w:tcPr>
            <w:tcW w:w="151" w:type="pct"/>
            <w:tcBorders>
              <w:left w:val="single" w:sz="4" w:space="0" w:color="auto"/>
              <w:right w:val="single" w:sz="4" w:space="0" w:color="auto"/>
            </w:tcBorders>
          </w:tcPr>
          <w:p w:rsidR="00376768" w:rsidRDefault="00376768">
            <w:pPr>
              <w:jc w:val="center"/>
              <w:rPr>
                <w:rFonts w:ascii="Arial" w:hAnsi="Arial" w:cs="Arial"/>
                <w:sz w:val="18"/>
                <w:szCs w:val="2"/>
              </w:rPr>
            </w:pPr>
          </w:p>
        </w:tc>
        <w:tc>
          <w:tcPr>
            <w:tcW w:w="590" w:type="pct"/>
            <w:tcBorders>
              <w:top w:val="single" w:sz="4" w:space="0" w:color="auto"/>
              <w:left w:val="single" w:sz="4" w:space="0" w:color="auto"/>
              <w:bottom w:val="single" w:sz="4" w:space="0" w:color="auto"/>
            </w:tcBorders>
          </w:tcPr>
          <w:p w:rsidR="00376768" w:rsidRDefault="00EC2B72">
            <w:pPr>
              <w:jc w:val="center"/>
              <w:rPr>
                <w:rFonts w:ascii="Arial" w:hAnsi="Arial" w:cs="Arial"/>
                <w:sz w:val="18"/>
              </w:rPr>
            </w:pPr>
            <w:r>
              <w:rPr>
                <w:rFonts w:ascii="Arial" w:hAnsi="Arial" w:cs="Arial"/>
                <w:sz w:val="18"/>
                <w:szCs w:val="18"/>
              </w:rPr>
              <w:t>$220,597</w:t>
            </w:r>
          </w:p>
        </w:tc>
        <w:tc>
          <w:tcPr>
            <w:tcW w:w="25"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25"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83"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r>
      <w:tr w:rsidR="00376768">
        <w:tc>
          <w:tcPr>
            <w:tcW w:w="1213" w:type="pct"/>
          </w:tcPr>
          <w:p w:rsidR="00376768" w:rsidRDefault="00376768">
            <w:pPr>
              <w:rPr>
                <w:rFonts w:ascii="Arial" w:hAnsi="Arial" w:cs="Arial"/>
                <w:sz w:val="18"/>
              </w:rPr>
            </w:pPr>
          </w:p>
        </w:tc>
        <w:tc>
          <w:tcPr>
            <w:tcW w:w="107" w:type="pct"/>
          </w:tcPr>
          <w:p w:rsidR="00376768" w:rsidRDefault="00376768">
            <w:pPr>
              <w:jc w:val="center"/>
              <w:rPr>
                <w:rFonts w:ascii="Arial" w:hAnsi="Arial" w:cs="Arial"/>
                <w:sz w:val="18"/>
              </w:rPr>
            </w:pPr>
          </w:p>
        </w:tc>
        <w:tc>
          <w:tcPr>
            <w:tcW w:w="543" w:type="pct"/>
            <w:tcBorders>
              <w:top w:val="single" w:sz="4" w:space="0" w:color="auto"/>
            </w:tcBorders>
          </w:tcPr>
          <w:p w:rsidR="00376768" w:rsidRDefault="00376768">
            <w:pPr>
              <w:jc w:val="center"/>
              <w:rPr>
                <w:rFonts w:ascii="Arial" w:hAnsi="Arial" w:cs="Arial"/>
                <w:sz w:val="18"/>
              </w:rPr>
            </w:pPr>
          </w:p>
        </w:tc>
        <w:tc>
          <w:tcPr>
            <w:tcW w:w="36" w:type="pct"/>
            <w:tcBorders>
              <w:top w:val="single" w:sz="4" w:space="0" w:color="auto"/>
            </w:tcBorders>
          </w:tcPr>
          <w:p w:rsidR="00376768" w:rsidRDefault="00376768">
            <w:pPr>
              <w:jc w:val="center"/>
              <w:rPr>
                <w:rFonts w:ascii="Arial" w:hAnsi="Arial" w:cs="Arial"/>
                <w:sz w:val="18"/>
              </w:rPr>
            </w:pPr>
          </w:p>
        </w:tc>
        <w:tc>
          <w:tcPr>
            <w:tcW w:w="36" w:type="pct"/>
            <w:tcBorders>
              <w:top w:val="single" w:sz="4" w:space="0" w:color="auto"/>
            </w:tcBorders>
          </w:tcPr>
          <w:p w:rsidR="00376768" w:rsidRDefault="00376768">
            <w:pPr>
              <w:jc w:val="center"/>
              <w:rPr>
                <w:rFonts w:ascii="Arial" w:hAnsi="Arial" w:cs="Arial"/>
                <w:sz w:val="18"/>
              </w:rPr>
            </w:pPr>
          </w:p>
        </w:tc>
        <w:tc>
          <w:tcPr>
            <w:tcW w:w="524" w:type="pct"/>
            <w:tcBorders>
              <w:top w:val="single" w:sz="4" w:space="0" w:color="auto"/>
            </w:tcBorders>
          </w:tcPr>
          <w:p w:rsidR="00376768" w:rsidRDefault="00376768">
            <w:pPr>
              <w:jc w:val="center"/>
              <w:rPr>
                <w:rFonts w:ascii="Arial" w:hAnsi="Arial" w:cs="Arial"/>
                <w:sz w:val="18"/>
              </w:rPr>
            </w:pPr>
          </w:p>
        </w:tc>
        <w:tc>
          <w:tcPr>
            <w:tcW w:w="38" w:type="pct"/>
            <w:tcBorders>
              <w:top w:val="single" w:sz="4" w:space="0" w:color="auto"/>
            </w:tcBorders>
          </w:tcPr>
          <w:p w:rsidR="00376768" w:rsidRDefault="00376768">
            <w:pPr>
              <w:jc w:val="center"/>
              <w:rPr>
                <w:rFonts w:ascii="Arial" w:hAnsi="Arial" w:cs="Arial"/>
                <w:sz w:val="18"/>
              </w:rPr>
            </w:pPr>
          </w:p>
        </w:tc>
        <w:tc>
          <w:tcPr>
            <w:tcW w:w="39" w:type="pct"/>
            <w:tcBorders>
              <w:top w:val="single" w:sz="4" w:space="0" w:color="auto"/>
            </w:tcBorders>
          </w:tcPr>
          <w:p w:rsidR="00376768" w:rsidRDefault="00376768">
            <w:pPr>
              <w:jc w:val="center"/>
              <w:rPr>
                <w:rFonts w:ascii="Arial" w:hAnsi="Arial" w:cs="Arial"/>
                <w:sz w:val="18"/>
              </w:rPr>
            </w:pPr>
          </w:p>
        </w:tc>
        <w:tc>
          <w:tcPr>
            <w:tcW w:w="519" w:type="pct"/>
            <w:tcBorders>
              <w:top w:val="single" w:sz="4" w:space="0" w:color="auto"/>
            </w:tcBorders>
          </w:tcPr>
          <w:p w:rsidR="00376768" w:rsidRDefault="00376768">
            <w:pPr>
              <w:jc w:val="center"/>
              <w:rPr>
                <w:rFonts w:ascii="Arial" w:hAnsi="Arial" w:cs="Arial"/>
                <w:sz w:val="18"/>
              </w:rPr>
            </w:pPr>
          </w:p>
        </w:tc>
        <w:tc>
          <w:tcPr>
            <w:tcW w:w="31" w:type="pct"/>
            <w:tcBorders>
              <w:top w:val="single" w:sz="4" w:space="0" w:color="auto"/>
            </w:tcBorders>
          </w:tcPr>
          <w:p w:rsidR="00376768" w:rsidRDefault="00376768">
            <w:pPr>
              <w:jc w:val="center"/>
              <w:rPr>
                <w:rFonts w:ascii="Arial" w:hAnsi="Arial" w:cs="Arial"/>
                <w:sz w:val="18"/>
              </w:rPr>
            </w:pPr>
          </w:p>
        </w:tc>
        <w:tc>
          <w:tcPr>
            <w:tcW w:w="32" w:type="pct"/>
            <w:tcBorders>
              <w:top w:val="single" w:sz="4" w:space="0" w:color="auto"/>
            </w:tcBorders>
          </w:tcPr>
          <w:p w:rsidR="00376768" w:rsidRDefault="00376768">
            <w:pPr>
              <w:jc w:val="center"/>
              <w:rPr>
                <w:rFonts w:ascii="Arial" w:hAnsi="Arial" w:cs="Arial"/>
                <w:sz w:val="18"/>
              </w:rPr>
            </w:pPr>
          </w:p>
        </w:tc>
        <w:tc>
          <w:tcPr>
            <w:tcW w:w="508" w:type="pct"/>
            <w:tcBorders>
              <w:top w:val="single" w:sz="4" w:space="0" w:color="auto"/>
            </w:tcBorders>
          </w:tcPr>
          <w:p w:rsidR="00376768" w:rsidRDefault="00376768">
            <w:pPr>
              <w:jc w:val="center"/>
              <w:rPr>
                <w:rFonts w:ascii="Arial" w:hAnsi="Arial" w:cs="Arial"/>
                <w:sz w:val="18"/>
              </w:rPr>
            </w:pPr>
          </w:p>
        </w:tc>
        <w:tc>
          <w:tcPr>
            <w:tcW w:w="151" w:type="pct"/>
          </w:tcPr>
          <w:p w:rsidR="00376768" w:rsidRDefault="00376768">
            <w:pPr>
              <w:jc w:val="center"/>
              <w:rPr>
                <w:rFonts w:ascii="Arial" w:hAnsi="Arial" w:cs="Arial"/>
                <w:sz w:val="18"/>
              </w:rPr>
            </w:pPr>
          </w:p>
        </w:tc>
        <w:tc>
          <w:tcPr>
            <w:tcW w:w="590" w:type="pct"/>
            <w:tcBorders>
              <w:top w:val="single" w:sz="4" w:space="0" w:color="auto"/>
            </w:tcBorders>
          </w:tcPr>
          <w:p w:rsidR="00376768" w:rsidRDefault="00376768">
            <w:pPr>
              <w:jc w:val="center"/>
              <w:rPr>
                <w:rFonts w:ascii="Arial" w:hAnsi="Arial" w:cs="Arial"/>
                <w:sz w:val="18"/>
              </w:rPr>
            </w:pPr>
          </w:p>
        </w:tc>
        <w:tc>
          <w:tcPr>
            <w:tcW w:w="25" w:type="pct"/>
            <w:tcBorders>
              <w:top w:val="single" w:sz="4" w:space="0" w:color="auto"/>
            </w:tcBorders>
          </w:tcPr>
          <w:p w:rsidR="00376768" w:rsidRDefault="00376768">
            <w:pPr>
              <w:jc w:val="center"/>
              <w:rPr>
                <w:rFonts w:ascii="Arial" w:hAnsi="Arial" w:cs="Arial"/>
                <w:sz w:val="18"/>
              </w:rPr>
            </w:pPr>
          </w:p>
        </w:tc>
        <w:tc>
          <w:tcPr>
            <w:tcW w:w="25" w:type="pct"/>
            <w:tcBorders>
              <w:top w:val="single" w:sz="4" w:space="0" w:color="auto"/>
            </w:tcBorders>
          </w:tcPr>
          <w:p w:rsidR="00376768" w:rsidRDefault="00376768">
            <w:pPr>
              <w:jc w:val="center"/>
              <w:rPr>
                <w:rFonts w:ascii="Arial" w:hAnsi="Arial" w:cs="Arial"/>
                <w:sz w:val="18"/>
              </w:rPr>
            </w:pPr>
          </w:p>
        </w:tc>
        <w:tc>
          <w:tcPr>
            <w:tcW w:w="583" w:type="pct"/>
            <w:tcBorders>
              <w:top w:val="single" w:sz="4" w:space="0" w:color="auto"/>
            </w:tcBorders>
          </w:tcPr>
          <w:p w:rsidR="00376768" w:rsidRDefault="00376768">
            <w:pPr>
              <w:jc w:val="center"/>
              <w:rPr>
                <w:rFonts w:ascii="Arial" w:hAnsi="Arial" w:cs="Arial"/>
                <w:sz w:val="18"/>
              </w:rPr>
            </w:pPr>
          </w:p>
        </w:tc>
      </w:tr>
      <w:tr w:rsidR="00376768">
        <w:tc>
          <w:tcPr>
            <w:tcW w:w="1213" w:type="pct"/>
          </w:tcPr>
          <w:p w:rsidR="00376768" w:rsidRDefault="00EC2B72">
            <w:pPr>
              <w:jc w:val="center"/>
              <w:rPr>
                <w:rFonts w:ascii="Arial" w:hAnsi="Arial" w:cs="Arial"/>
                <w:sz w:val="18"/>
              </w:rPr>
            </w:pPr>
            <w:r>
              <w:rPr>
                <w:rFonts w:ascii="Arial" w:hAnsi="Arial" w:cs="Arial"/>
                <w:b/>
                <w:bCs/>
                <w:sz w:val="18"/>
                <w:szCs w:val="18"/>
              </w:rPr>
              <w:t>Totals</w:t>
            </w:r>
          </w:p>
        </w:tc>
        <w:tc>
          <w:tcPr>
            <w:tcW w:w="107" w:type="pct"/>
          </w:tcPr>
          <w:p w:rsidR="00376768" w:rsidRDefault="00376768">
            <w:pPr>
              <w:jc w:val="center"/>
              <w:rPr>
                <w:rFonts w:ascii="Arial" w:hAnsi="Arial" w:cs="Arial"/>
                <w:b/>
                <w:bCs/>
                <w:sz w:val="18"/>
                <w:szCs w:val="18"/>
              </w:rPr>
            </w:pPr>
          </w:p>
        </w:tc>
        <w:tc>
          <w:tcPr>
            <w:tcW w:w="543" w:type="pct"/>
            <w:tcBorders>
              <w:bottom w:val="double" w:sz="4" w:space="0" w:color="auto"/>
            </w:tcBorders>
          </w:tcPr>
          <w:p w:rsidR="00376768" w:rsidRDefault="00EC2B72">
            <w:pPr>
              <w:jc w:val="center"/>
              <w:rPr>
                <w:rFonts w:ascii="Arial" w:hAnsi="Arial" w:cs="Arial"/>
                <w:sz w:val="18"/>
              </w:rPr>
            </w:pPr>
            <w:r>
              <w:rPr>
                <w:rFonts w:ascii="Arial" w:hAnsi="Arial" w:cs="Arial"/>
                <w:b/>
                <w:bCs/>
                <w:sz w:val="18"/>
                <w:szCs w:val="18"/>
              </w:rPr>
              <w:t>$220,597</w:t>
            </w:r>
          </w:p>
        </w:tc>
        <w:tc>
          <w:tcPr>
            <w:tcW w:w="36" w:type="pct"/>
          </w:tcPr>
          <w:p w:rsidR="00376768" w:rsidRDefault="00376768">
            <w:pPr>
              <w:jc w:val="center"/>
              <w:rPr>
                <w:rFonts w:ascii="Arial" w:hAnsi="Arial" w:cs="Arial"/>
                <w:sz w:val="18"/>
              </w:rPr>
            </w:pPr>
          </w:p>
        </w:tc>
        <w:tc>
          <w:tcPr>
            <w:tcW w:w="36" w:type="pct"/>
          </w:tcPr>
          <w:p w:rsidR="00376768" w:rsidRDefault="00376768">
            <w:pPr>
              <w:jc w:val="center"/>
              <w:rPr>
                <w:rFonts w:ascii="Arial" w:hAnsi="Arial" w:cs="Arial"/>
                <w:sz w:val="18"/>
              </w:rPr>
            </w:pPr>
          </w:p>
        </w:tc>
        <w:tc>
          <w:tcPr>
            <w:tcW w:w="524" w:type="pct"/>
            <w:tcBorders>
              <w:bottom w:val="double" w:sz="4" w:space="0" w:color="auto"/>
            </w:tcBorders>
          </w:tcPr>
          <w:p w:rsidR="00376768" w:rsidRDefault="00EC2B72">
            <w:pPr>
              <w:jc w:val="center"/>
              <w:rPr>
                <w:rFonts w:ascii="Arial" w:hAnsi="Arial" w:cs="Arial"/>
                <w:sz w:val="18"/>
              </w:rPr>
            </w:pPr>
            <w:r>
              <w:rPr>
                <w:rFonts w:ascii="Arial" w:hAnsi="Arial" w:cs="Arial"/>
                <w:b/>
                <w:bCs/>
                <w:sz w:val="18"/>
                <w:szCs w:val="18"/>
              </w:rPr>
              <w:t>$1,284,215</w:t>
            </w:r>
          </w:p>
        </w:tc>
        <w:tc>
          <w:tcPr>
            <w:tcW w:w="38" w:type="pct"/>
          </w:tcPr>
          <w:p w:rsidR="00376768" w:rsidRDefault="00376768">
            <w:pPr>
              <w:jc w:val="center"/>
              <w:rPr>
                <w:rFonts w:ascii="Arial" w:hAnsi="Arial" w:cs="Arial"/>
                <w:sz w:val="18"/>
              </w:rPr>
            </w:pPr>
          </w:p>
        </w:tc>
        <w:tc>
          <w:tcPr>
            <w:tcW w:w="39" w:type="pct"/>
          </w:tcPr>
          <w:p w:rsidR="00376768" w:rsidRDefault="00376768">
            <w:pPr>
              <w:jc w:val="center"/>
              <w:rPr>
                <w:rFonts w:ascii="Arial" w:hAnsi="Arial" w:cs="Arial"/>
                <w:sz w:val="18"/>
              </w:rPr>
            </w:pPr>
          </w:p>
        </w:tc>
        <w:tc>
          <w:tcPr>
            <w:tcW w:w="519" w:type="pct"/>
            <w:tcBorders>
              <w:bottom w:val="double" w:sz="4" w:space="0" w:color="auto"/>
            </w:tcBorders>
          </w:tcPr>
          <w:p w:rsidR="00376768" w:rsidRDefault="00EC2B72">
            <w:pPr>
              <w:jc w:val="center"/>
              <w:rPr>
                <w:rFonts w:ascii="Arial" w:hAnsi="Arial" w:cs="Arial"/>
                <w:sz w:val="18"/>
              </w:rPr>
            </w:pPr>
            <w:r>
              <w:rPr>
                <w:rFonts w:ascii="Arial" w:hAnsi="Arial" w:cs="Arial"/>
                <w:b/>
                <w:bCs/>
                <w:sz w:val="18"/>
                <w:szCs w:val="18"/>
              </w:rPr>
              <w:t>$1,284,215</w:t>
            </w:r>
          </w:p>
        </w:tc>
        <w:tc>
          <w:tcPr>
            <w:tcW w:w="31" w:type="pct"/>
          </w:tcPr>
          <w:p w:rsidR="00376768" w:rsidRDefault="00376768">
            <w:pPr>
              <w:jc w:val="center"/>
              <w:rPr>
                <w:rFonts w:ascii="Arial" w:hAnsi="Arial" w:cs="Arial"/>
                <w:sz w:val="18"/>
              </w:rPr>
            </w:pPr>
          </w:p>
        </w:tc>
        <w:tc>
          <w:tcPr>
            <w:tcW w:w="32" w:type="pct"/>
          </w:tcPr>
          <w:p w:rsidR="00376768" w:rsidRDefault="00376768">
            <w:pPr>
              <w:jc w:val="center"/>
              <w:rPr>
                <w:rFonts w:ascii="Arial" w:hAnsi="Arial" w:cs="Arial"/>
                <w:sz w:val="18"/>
              </w:rPr>
            </w:pPr>
          </w:p>
        </w:tc>
        <w:tc>
          <w:tcPr>
            <w:tcW w:w="508" w:type="pct"/>
            <w:tcBorders>
              <w:bottom w:val="double" w:sz="4" w:space="0" w:color="auto"/>
            </w:tcBorders>
          </w:tcPr>
          <w:p w:rsidR="00376768" w:rsidRDefault="00EC2B72">
            <w:pPr>
              <w:jc w:val="center"/>
              <w:rPr>
                <w:rFonts w:ascii="Arial" w:hAnsi="Arial" w:cs="Arial"/>
                <w:sz w:val="18"/>
              </w:rPr>
            </w:pPr>
            <w:r>
              <w:rPr>
                <w:rFonts w:ascii="Arial" w:hAnsi="Arial" w:cs="Arial"/>
                <w:b/>
                <w:bCs/>
                <w:sz w:val="18"/>
                <w:szCs w:val="18"/>
              </w:rPr>
              <w:t>$1,284,215</w:t>
            </w:r>
          </w:p>
        </w:tc>
        <w:tc>
          <w:tcPr>
            <w:tcW w:w="151" w:type="pct"/>
          </w:tcPr>
          <w:p w:rsidR="00376768" w:rsidRDefault="00376768">
            <w:pPr>
              <w:jc w:val="center"/>
              <w:rPr>
                <w:rFonts w:ascii="Arial" w:hAnsi="Arial" w:cs="Arial"/>
                <w:sz w:val="18"/>
                <w:szCs w:val="2"/>
              </w:rPr>
            </w:pPr>
          </w:p>
        </w:tc>
        <w:tc>
          <w:tcPr>
            <w:tcW w:w="590" w:type="pct"/>
            <w:tcBorders>
              <w:bottom w:val="double" w:sz="4" w:space="0" w:color="auto"/>
            </w:tcBorders>
          </w:tcPr>
          <w:p w:rsidR="00376768" w:rsidRDefault="00EC2B72">
            <w:pPr>
              <w:jc w:val="center"/>
              <w:rPr>
                <w:rFonts w:ascii="Arial" w:hAnsi="Arial" w:cs="Arial"/>
                <w:sz w:val="18"/>
              </w:rPr>
            </w:pPr>
            <w:r>
              <w:rPr>
                <w:rFonts w:ascii="Arial" w:hAnsi="Arial" w:cs="Arial"/>
                <w:b/>
                <w:bCs/>
                <w:sz w:val="18"/>
                <w:szCs w:val="18"/>
              </w:rPr>
              <w:t>$3,417,413</w:t>
            </w:r>
          </w:p>
        </w:tc>
        <w:tc>
          <w:tcPr>
            <w:tcW w:w="25" w:type="pct"/>
          </w:tcPr>
          <w:p w:rsidR="00376768" w:rsidRDefault="00376768">
            <w:pPr>
              <w:jc w:val="center"/>
              <w:rPr>
                <w:rFonts w:ascii="Arial" w:hAnsi="Arial" w:cs="Arial"/>
                <w:sz w:val="18"/>
              </w:rPr>
            </w:pPr>
          </w:p>
        </w:tc>
        <w:tc>
          <w:tcPr>
            <w:tcW w:w="25" w:type="pct"/>
          </w:tcPr>
          <w:p w:rsidR="00376768" w:rsidRDefault="00376768">
            <w:pPr>
              <w:jc w:val="center"/>
              <w:rPr>
                <w:rFonts w:ascii="Arial" w:hAnsi="Arial" w:cs="Arial"/>
                <w:sz w:val="18"/>
              </w:rPr>
            </w:pPr>
          </w:p>
        </w:tc>
        <w:tc>
          <w:tcPr>
            <w:tcW w:w="583" w:type="pct"/>
            <w:tcBorders>
              <w:bottom w:val="double" w:sz="4" w:space="0" w:color="auto"/>
            </w:tcBorders>
          </w:tcPr>
          <w:p w:rsidR="00376768" w:rsidRDefault="00EC2B72">
            <w:pPr>
              <w:jc w:val="center"/>
              <w:rPr>
                <w:rFonts w:ascii="Arial" w:hAnsi="Arial" w:cs="Arial"/>
                <w:sz w:val="18"/>
              </w:rPr>
            </w:pPr>
            <w:r>
              <w:rPr>
                <w:rFonts w:ascii="Arial" w:hAnsi="Arial" w:cs="Arial"/>
                <w:b/>
                <w:bCs/>
                <w:sz w:val="18"/>
                <w:szCs w:val="18"/>
              </w:rPr>
              <w:t>$530,896</w:t>
            </w:r>
          </w:p>
        </w:tc>
      </w:tr>
    </w:tbl>
    <w:p w:rsidR="00376768" w:rsidRDefault="00376768">
      <w:pPr>
        <w:rPr>
          <w:rFonts w:ascii="Arial" w:hAnsi="Arial" w:cs="Arial"/>
          <w:sz w:val="2"/>
        </w:rPr>
      </w:pPr>
    </w:p>
    <w:p w:rsidR="00376768" w:rsidRDefault="00EC2B72">
      <w:pPr>
        <w:rPr>
          <w:rFonts w:ascii="Arial" w:hAnsi="Arial" w:cs="Arial"/>
          <w:sz w:val="2"/>
        </w:rPr>
      </w:pPr>
      <w:r>
        <w:rPr>
          <w:rFonts w:ascii="Arial" w:hAnsi="Arial" w:cs="Arial"/>
          <w:sz w:val="2"/>
        </w:rPr>
        <w:br w:type="page"/>
      </w:r>
    </w:p>
    <w:tbl>
      <w:tblPr>
        <w:tblW w:w="5000" w:type="pct"/>
        <w:tblLayout w:type="fixed"/>
        <w:tblCellMar>
          <w:left w:w="0" w:type="dxa"/>
          <w:right w:w="0" w:type="dxa"/>
        </w:tblCellMar>
        <w:tblLook w:val="0000" w:firstRow="0" w:lastRow="0" w:firstColumn="0" w:lastColumn="0" w:noHBand="0" w:noVBand="0"/>
      </w:tblPr>
      <w:tblGrid>
        <w:gridCol w:w="2621"/>
        <w:gridCol w:w="231"/>
        <w:gridCol w:w="1173"/>
        <w:gridCol w:w="78"/>
        <w:gridCol w:w="78"/>
        <w:gridCol w:w="1132"/>
        <w:gridCol w:w="82"/>
        <w:gridCol w:w="84"/>
        <w:gridCol w:w="1121"/>
        <w:gridCol w:w="67"/>
        <w:gridCol w:w="69"/>
        <w:gridCol w:w="1097"/>
        <w:gridCol w:w="326"/>
        <w:gridCol w:w="1274"/>
        <w:gridCol w:w="54"/>
        <w:gridCol w:w="54"/>
        <w:gridCol w:w="1259"/>
      </w:tblGrid>
      <w:tr w:rsidR="00376768">
        <w:tc>
          <w:tcPr>
            <w:tcW w:w="1213" w:type="pct"/>
          </w:tcPr>
          <w:p w:rsidR="00376768" w:rsidRDefault="00376768">
            <w:pPr>
              <w:rPr>
                <w:rFonts w:ascii="Arial" w:hAnsi="Arial" w:cs="Arial"/>
                <w:sz w:val="18"/>
                <w:szCs w:val="16"/>
              </w:rPr>
            </w:pPr>
          </w:p>
        </w:tc>
        <w:tc>
          <w:tcPr>
            <w:tcW w:w="107" w:type="pct"/>
          </w:tcPr>
          <w:p w:rsidR="00376768" w:rsidRDefault="00376768">
            <w:pPr>
              <w:jc w:val="center"/>
              <w:rPr>
                <w:rFonts w:ascii="Arial" w:hAnsi="Arial" w:cs="Arial"/>
                <w:sz w:val="18"/>
                <w:szCs w:val="16"/>
              </w:rPr>
            </w:pPr>
          </w:p>
        </w:tc>
        <w:tc>
          <w:tcPr>
            <w:tcW w:w="543" w:type="pct"/>
          </w:tcPr>
          <w:p w:rsidR="00376768" w:rsidRDefault="00376768">
            <w:pPr>
              <w:jc w:val="center"/>
              <w:rPr>
                <w:rFonts w:ascii="Arial" w:hAnsi="Arial" w:cs="Arial"/>
                <w:sz w:val="18"/>
                <w:szCs w:val="16"/>
              </w:rPr>
            </w:pPr>
          </w:p>
        </w:tc>
        <w:tc>
          <w:tcPr>
            <w:tcW w:w="36" w:type="pct"/>
          </w:tcPr>
          <w:p w:rsidR="00376768" w:rsidRDefault="00376768">
            <w:pPr>
              <w:jc w:val="center"/>
              <w:rPr>
                <w:rFonts w:ascii="Arial" w:hAnsi="Arial" w:cs="Arial"/>
                <w:sz w:val="18"/>
                <w:szCs w:val="16"/>
              </w:rPr>
            </w:pPr>
          </w:p>
        </w:tc>
        <w:tc>
          <w:tcPr>
            <w:tcW w:w="36" w:type="pct"/>
          </w:tcPr>
          <w:p w:rsidR="00376768" w:rsidRDefault="00376768">
            <w:pPr>
              <w:jc w:val="center"/>
              <w:rPr>
                <w:rFonts w:ascii="Arial" w:hAnsi="Arial" w:cs="Arial"/>
                <w:sz w:val="18"/>
                <w:szCs w:val="16"/>
              </w:rPr>
            </w:pPr>
          </w:p>
        </w:tc>
        <w:tc>
          <w:tcPr>
            <w:tcW w:w="524" w:type="pct"/>
          </w:tcPr>
          <w:p w:rsidR="00376768" w:rsidRDefault="00376768">
            <w:pPr>
              <w:jc w:val="center"/>
              <w:rPr>
                <w:rFonts w:ascii="Arial" w:hAnsi="Arial" w:cs="Arial"/>
                <w:sz w:val="18"/>
                <w:szCs w:val="16"/>
              </w:rPr>
            </w:pPr>
          </w:p>
        </w:tc>
        <w:tc>
          <w:tcPr>
            <w:tcW w:w="77" w:type="pct"/>
            <w:gridSpan w:val="2"/>
          </w:tcPr>
          <w:p w:rsidR="00376768" w:rsidRDefault="00376768">
            <w:pPr>
              <w:jc w:val="center"/>
              <w:rPr>
                <w:rFonts w:ascii="Arial" w:hAnsi="Arial" w:cs="Arial"/>
                <w:sz w:val="18"/>
                <w:szCs w:val="16"/>
              </w:rPr>
            </w:pPr>
          </w:p>
        </w:tc>
        <w:tc>
          <w:tcPr>
            <w:tcW w:w="519" w:type="pct"/>
          </w:tcPr>
          <w:p w:rsidR="00376768" w:rsidRDefault="00376768">
            <w:pPr>
              <w:jc w:val="center"/>
              <w:rPr>
                <w:rFonts w:ascii="Arial" w:hAnsi="Arial" w:cs="Arial"/>
                <w:sz w:val="18"/>
                <w:szCs w:val="16"/>
              </w:rPr>
            </w:pPr>
          </w:p>
        </w:tc>
        <w:tc>
          <w:tcPr>
            <w:tcW w:w="63" w:type="pct"/>
            <w:gridSpan w:val="2"/>
          </w:tcPr>
          <w:p w:rsidR="00376768" w:rsidRDefault="00376768">
            <w:pPr>
              <w:jc w:val="center"/>
              <w:rPr>
                <w:rFonts w:ascii="Arial" w:hAnsi="Arial" w:cs="Arial"/>
                <w:sz w:val="18"/>
                <w:szCs w:val="16"/>
              </w:rPr>
            </w:pPr>
          </w:p>
        </w:tc>
        <w:tc>
          <w:tcPr>
            <w:tcW w:w="508" w:type="pct"/>
          </w:tcPr>
          <w:p w:rsidR="00376768" w:rsidRDefault="00376768">
            <w:pPr>
              <w:jc w:val="center"/>
              <w:rPr>
                <w:rFonts w:ascii="Arial" w:hAnsi="Arial" w:cs="Arial"/>
                <w:sz w:val="18"/>
                <w:szCs w:val="16"/>
              </w:rPr>
            </w:pPr>
          </w:p>
        </w:tc>
        <w:tc>
          <w:tcPr>
            <w:tcW w:w="151" w:type="pct"/>
          </w:tcPr>
          <w:p w:rsidR="00376768" w:rsidRDefault="00376768">
            <w:pPr>
              <w:jc w:val="center"/>
              <w:rPr>
                <w:rFonts w:ascii="Arial" w:hAnsi="Arial" w:cs="Arial"/>
                <w:sz w:val="18"/>
                <w:szCs w:val="16"/>
              </w:rPr>
            </w:pPr>
          </w:p>
        </w:tc>
        <w:tc>
          <w:tcPr>
            <w:tcW w:w="590" w:type="pct"/>
          </w:tcPr>
          <w:p w:rsidR="00376768" w:rsidRDefault="00376768">
            <w:pPr>
              <w:jc w:val="center"/>
              <w:rPr>
                <w:rFonts w:ascii="Arial" w:hAnsi="Arial" w:cs="Arial"/>
                <w:sz w:val="18"/>
                <w:szCs w:val="16"/>
              </w:rPr>
            </w:pPr>
          </w:p>
        </w:tc>
        <w:tc>
          <w:tcPr>
            <w:tcW w:w="50" w:type="pct"/>
            <w:gridSpan w:val="2"/>
          </w:tcPr>
          <w:p w:rsidR="00376768" w:rsidRDefault="00376768">
            <w:pPr>
              <w:jc w:val="center"/>
              <w:rPr>
                <w:rFonts w:ascii="Arial" w:hAnsi="Arial" w:cs="Arial"/>
                <w:sz w:val="18"/>
                <w:szCs w:val="16"/>
              </w:rPr>
            </w:pPr>
          </w:p>
        </w:tc>
        <w:tc>
          <w:tcPr>
            <w:tcW w:w="583" w:type="pct"/>
          </w:tcPr>
          <w:p w:rsidR="00376768" w:rsidRDefault="00376768">
            <w:pPr>
              <w:jc w:val="center"/>
              <w:rPr>
                <w:rFonts w:ascii="Arial" w:hAnsi="Arial" w:cs="Arial"/>
                <w:sz w:val="18"/>
                <w:szCs w:val="16"/>
              </w:rPr>
            </w:pPr>
          </w:p>
        </w:tc>
      </w:tr>
      <w:tr w:rsidR="00376768">
        <w:tc>
          <w:tcPr>
            <w:tcW w:w="1213" w:type="pct"/>
            <w:tcBorders>
              <w:bottom w:val="single" w:sz="4" w:space="0" w:color="auto"/>
            </w:tcBorders>
          </w:tcPr>
          <w:p w:rsidR="00376768" w:rsidRDefault="00EC2B72">
            <w:pPr>
              <w:rPr>
                <w:rFonts w:ascii="Arial" w:hAnsi="Arial" w:cs="Arial"/>
                <w:sz w:val="18"/>
                <w:szCs w:val="16"/>
              </w:rPr>
            </w:pPr>
            <w:r>
              <w:rPr>
                <w:rFonts w:ascii="Arial" w:hAnsi="Arial" w:cs="Arial"/>
                <w:b/>
                <w:bCs/>
                <w:sz w:val="18"/>
                <w:szCs w:val="18"/>
              </w:rPr>
              <w:t>James P. Maloney</w:t>
            </w:r>
          </w:p>
        </w:tc>
        <w:tc>
          <w:tcPr>
            <w:tcW w:w="107" w:type="pct"/>
          </w:tcPr>
          <w:p w:rsidR="00376768" w:rsidRDefault="00376768">
            <w:pPr>
              <w:jc w:val="center"/>
              <w:rPr>
                <w:rFonts w:ascii="Arial" w:hAnsi="Arial" w:cs="Arial"/>
                <w:sz w:val="18"/>
                <w:szCs w:val="16"/>
              </w:rPr>
            </w:pPr>
          </w:p>
        </w:tc>
        <w:tc>
          <w:tcPr>
            <w:tcW w:w="2306" w:type="pct"/>
            <w:gridSpan w:val="10"/>
            <w:tcBorders>
              <w:bottom w:val="single" w:sz="4" w:space="0" w:color="auto"/>
            </w:tcBorders>
          </w:tcPr>
          <w:p w:rsidR="00376768" w:rsidRDefault="00EC2B72">
            <w:pPr>
              <w:jc w:val="center"/>
              <w:rPr>
                <w:rFonts w:ascii="Arial" w:hAnsi="Arial" w:cs="Arial"/>
                <w:sz w:val="18"/>
                <w:szCs w:val="16"/>
              </w:rPr>
            </w:pPr>
            <w:r>
              <w:rPr>
                <w:rFonts w:ascii="Arial" w:hAnsi="Arial" w:cs="Arial"/>
                <w:sz w:val="18"/>
                <w:szCs w:val="18"/>
              </w:rPr>
              <w:t>Non-Change-in-Control</w:t>
            </w:r>
          </w:p>
        </w:tc>
        <w:tc>
          <w:tcPr>
            <w:tcW w:w="151" w:type="pct"/>
          </w:tcPr>
          <w:p w:rsidR="00376768" w:rsidRDefault="00376768">
            <w:pPr>
              <w:jc w:val="center"/>
              <w:rPr>
                <w:rFonts w:ascii="Arial" w:hAnsi="Arial" w:cs="Arial"/>
                <w:sz w:val="18"/>
                <w:szCs w:val="16"/>
              </w:rPr>
            </w:pPr>
          </w:p>
        </w:tc>
        <w:tc>
          <w:tcPr>
            <w:tcW w:w="1223" w:type="pct"/>
            <w:gridSpan w:val="4"/>
            <w:tcBorders>
              <w:bottom w:val="single" w:sz="4" w:space="0" w:color="auto"/>
            </w:tcBorders>
          </w:tcPr>
          <w:p w:rsidR="00376768" w:rsidRDefault="00EC2B72">
            <w:pPr>
              <w:jc w:val="center"/>
              <w:rPr>
                <w:rFonts w:ascii="Arial" w:hAnsi="Arial" w:cs="Arial"/>
                <w:sz w:val="18"/>
                <w:szCs w:val="16"/>
              </w:rPr>
            </w:pPr>
            <w:r>
              <w:rPr>
                <w:rFonts w:ascii="Arial" w:hAnsi="Arial" w:cs="Arial"/>
                <w:sz w:val="18"/>
                <w:szCs w:val="18"/>
              </w:rPr>
              <w:t>Change-in-Control</w:t>
            </w:r>
          </w:p>
        </w:tc>
      </w:tr>
      <w:tr w:rsidR="00376768">
        <w:tc>
          <w:tcPr>
            <w:tcW w:w="1213" w:type="pct"/>
            <w:tcBorders>
              <w:top w:val="single" w:sz="4" w:space="0" w:color="auto"/>
            </w:tcBorders>
            <w:vAlign w:val="center"/>
          </w:tcPr>
          <w:p w:rsidR="00376768" w:rsidRDefault="00EC2B72">
            <w:pPr>
              <w:rPr>
                <w:rFonts w:ascii="Arial" w:hAnsi="Arial" w:cs="Arial"/>
                <w:sz w:val="18"/>
                <w:szCs w:val="16"/>
              </w:rPr>
            </w:pPr>
            <w:r>
              <w:rPr>
                <w:rFonts w:ascii="Arial" w:hAnsi="Arial" w:cs="Arial"/>
                <w:sz w:val="18"/>
                <w:szCs w:val="18"/>
                <w:u w:val="single"/>
              </w:rPr>
              <w:t>NEO - Payments and Benefits</w:t>
            </w:r>
          </w:p>
        </w:tc>
        <w:tc>
          <w:tcPr>
            <w:tcW w:w="107" w:type="pct"/>
            <w:tcBorders>
              <w:right w:val="single" w:sz="4" w:space="0" w:color="auto"/>
            </w:tcBorders>
          </w:tcPr>
          <w:p w:rsidR="00376768" w:rsidRDefault="00376768">
            <w:pPr>
              <w:jc w:val="center"/>
              <w:rPr>
                <w:rFonts w:ascii="Arial" w:hAnsi="Arial" w:cs="Arial"/>
                <w:sz w:val="18"/>
                <w:szCs w:val="16"/>
              </w:rPr>
            </w:pPr>
          </w:p>
        </w:tc>
        <w:tc>
          <w:tcPr>
            <w:tcW w:w="543" w:type="pct"/>
            <w:tcBorders>
              <w:top w:val="single" w:sz="4" w:space="0" w:color="auto"/>
              <w:left w:val="single" w:sz="4" w:space="0" w:color="auto"/>
              <w:bottom w:val="single" w:sz="4" w:space="0" w:color="auto"/>
            </w:tcBorders>
            <w:vAlign w:val="center"/>
          </w:tcPr>
          <w:p w:rsidR="00376768" w:rsidRDefault="00EC2B72">
            <w:pPr>
              <w:jc w:val="center"/>
              <w:rPr>
                <w:rFonts w:ascii="Arial" w:hAnsi="Arial" w:cs="Arial"/>
                <w:sz w:val="18"/>
                <w:szCs w:val="16"/>
              </w:rPr>
            </w:pPr>
            <w:r>
              <w:rPr>
                <w:rFonts w:ascii="Arial" w:hAnsi="Arial" w:cs="Arial"/>
                <w:sz w:val="18"/>
                <w:szCs w:val="18"/>
              </w:rPr>
              <w:t xml:space="preserve">By Company </w:t>
            </w:r>
            <w:r>
              <w:rPr>
                <w:rFonts w:ascii="Arial" w:hAnsi="Arial" w:cs="Arial"/>
                <w:sz w:val="18"/>
                <w:szCs w:val="18"/>
              </w:rPr>
              <w:br/>
              <w:t xml:space="preserve">without </w:t>
            </w:r>
            <w:r>
              <w:rPr>
                <w:rFonts w:ascii="Arial" w:hAnsi="Arial" w:cs="Arial"/>
                <w:sz w:val="18"/>
                <w:szCs w:val="18"/>
              </w:rPr>
              <w:br/>
              <w:t xml:space="preserve">Cause or by </w:t>
            </w:r>
            <w:r>
              <w:rPr>
                <w:rFonts w:ascii="Arial" w:hAnsi="Arial" w:cs="Arial"/>
                <w:sz w:val="18"/>
                <w:szCs w:val="18"/>
              </w:rPr>
              <w:br/>
              <w:t xml:space="preserve">Executive for </w:t>
            </w:r>
            <w:r>
              <w:rPr>
                <w:rFonts w:ascii="Arial" w:hAnsi="Arial" w:cs="Arial"/>
                <w:sz w:val="18"/>
                <w:szCs w:val="18"/>
              </w:rPr>
              <w:br/>
              <w:t>Good Reason</w:t>
            </w:r>
          </w:p>
        </w:tc>
        <w:tc>
          <w:tcPr>
            <w:tcW w:w="36" w:type="pct"/>
            <w:tcBorders>
              <w:top w:val="single" w:sz="4" w:space="0" w:color="auto"/>
              <w:left w:val="nil"/>
              <w:bottom w:val="single" w:sz="4" w:space="0" w:color="auto"/>
              <w:right w:val="single" w:sz="4" w:space="0" w:color="auto"/>
            </w:tcBorders>
            <w:vAlign w:val="center"/>
          </w:tcPr>
          <w:p w:rsidR="00376768" w:rsidRDefault="00376768">
            <w:pPr>
              <w:jc w:val="center"/>
              <w:rPr>
                <w:rFonts w:ascii="Arial" w:hAnsi="Arial" w:cs="Arial"/>
                <w:sz w:val="18"/>
                <w:szCs w:val="16"/>
              </w:rPr>
            </w:pPr>
          </w:p>
        </w:tc>
        <w:tc>
          <w:tcPr>
            <w:tcW w:w="36" w:type="pct"/>
            <w:tcBorders>
              <w:top w:val="single" w:sz="4" w:space="0" w:color="auto"/>
              <w:left w:val="nil"/>
              <w:bottom w:val="single" w:sz="4" w:space="0" w:color="auto"/>
            </w:tcBorders>
            <w:vAlign w:val="center"/>
          </w:tcPr>
          <w:p w:rsidR="00376768" w:rsidRDefault="00376768">
            <w:pPr>
              <w:jc w:val="center"/>
              <w:rPr>
                <w:rFonts w:ascii="Arial" w:hAnsi="Arial" w:cs="Arial"/>
                <w:sz w:val="18"/>
                <w:szCs w:val="16"/>
              </w:rPr>
            </w:pPr>
          </w:p>
        </w:tc>
        <w:tc>
          <w:tcPr>
            <w:tcW w:w="524" w:type="pct"/>
            <w:tcBorders>
              <w:top w:val="single" w:sz="4" w:space="0" w:color="auto"/>
              <w:left w:val="nil"/>
              <w:bottom w:val="single" w:sz="4" w:space="0" w:color="auto"/>
            </w:tcBorders>
            <w:vAlign w:val="center"/>
          </w:tcPr>
          <w:p w:rsidR="00376768" w:rsidRDefault="00EC2B72">
            <w:pPr>
              <w:jc w:val="center"/>
              <w:rPr>
                <w:rFonts w:ascii="Arial" w:hAnsi="Arial" w:cs="Arial"/>
                <w:sz w:val="18"/>
                <w:szCs w:val="16"/>
              </w:rPr>
            </w:pPr>
            <w:r>
              <w:rPr>
                <w:rFonts w:ascii="Arial" w:hAnsi="Arial" w:cs="Arial"/>
                <w:sz w:val="18"/>
                <w:szCs w:val="18"/>
              </w:rPr>
              <w:t>Death</w:t>
            </w:r>
          </w:p>
        </w:tc>
        <w:tc>
          <w:tcPr>
            <w:tcW w:w="38" w:type="pct"/>
            <w:tcBorders>
              <w:top w:val="single" w:sz="4" w:space="0" w:color="auto"/>
              <w:left w:val="nil"/>
              <w:bottom w:val="single" w:sz="4" w:space="0" w:color="auto"/>
              <w:right w:val="single" w:sz="4" w:space="0" w:color="auto"/>
            </w:tcBorders>
            <w:vAlign w:val="center"/>
          </w:tcPr>
          <w:p w:rsidR="00376768" w:rsidRDefault="00376768">
            <w:pPr>
              <w:jc w:val="center"/>
              <w:rPr>
                <w:rFonts w:ascii="Arial" w:hAnsi="Arial" w:cs="Arial"/>
                <w:sz w:val="18"/>
                <w:szCs w:val="16"/>
              </w:rPr>
            </w:pPr>
          </w:p>
        </w:tc>
        <w:tc>
          <w:tcPr>
            <w:tcW w:w="39" w:type="pct"/>
            <w:tcBorders>
              <w:top w:val="single" w:sz="4" w:space="0" w:color="auto"/>
              <w:left w:val="nil"/>
              <w:bottom w:val="single" w:sz="4" w:space="0" w:color="auto"/>
            </w:tcBorders>
            <w:vAlign w:val="center"/>
          </w:tcPr>
          <w:p w:rsidR="00376768" w:rsidRDefault="00376768">
            <w:pPr>
              <w:jc w:val="center"/>
              <w:rPr>
                <w:rFonts w:ascii="Arial" w:hAnsi="Arial" w:cs="Arial"/>
                <w:sz w:val="18"/>
                <w:szCs w:val="16"/>
              </w:rPr>
            </w:pPr>
          </w:p>
        </w:tc>
        <w:tc>
          <w:tcPr>
            <w:tcW w:w="519" w:type="pct"/>
            <w:tcBorders>
              <w:top w:val="single" w:sz="4" w:space="0" w:color="auto"/>
              <w:left w:val="nil"/>
              <w:bottom w:val="single" w:sz="4" w:space="0" w:color="auto"/>
            </w:tcBorders>
            <w:vAlign w:val="center"/>
          </w:tcPr>
          <w:p w:rsidR="00376768" w:rsidRDefault="00EC2B72">
            <w:pPr>
              <w:jc w:val="center"/>
              <w:rPr>
                <w:rFonts w:ascii="Arial" w:hAnsi="Arial" w:cs="Arial"/>
                <w:sz w:val="18"/>
                <w:szCs w:val="16"/>
              </w:rPr>
            </w:pPr>
            <w:r>
              <w:rPr>
                <w:rFonts w:ascii="Arial" w:hAnsi="Arial" w:cs="Arial"/>
                <w:sz w:val="18"/>
                <w:szCs w:val="16"/>
              </w:rPr>
              <w:t>Disability</w:t>
            </w:r>
          </w:p>
        </w:tc>
        <w:tc>
          <w:tcPr>
            <w:tcW w:w="31" w:type="pct"/>
            <w:tcBorders>
              <w:top w:val="single" w:sz="4" w:space="0" w:color="auto"/>
              <w:left w:val="nil"/>
              <w:bottom w:val="single" w:sz="4" w:space="0" w:color="auto"/>
              <w:right w:val="single" w:sz="4" w:space="0" w:color="auto"/>
            </w:tcBorders>
            <w:vAlign w:val="center"/>
          </w:tcPr>
          <w:p w:rsidR="00376768" w:rsidRDefault="00376768">
            <w:pPr>
              <w:jc w:val="center"/>
              <w:rPr>
                <w:rFonts w:ascii="Arial" w:hAnsi="Arial" w:cs="Arial"/>
                <w:sz w:val="18"/>
                <w:szCs w:val="16"/>
              </w:rPr>
            </w:pPr>
          </w:p>
        </w:tc>
        <w:tc>
          <w:tcPr>
            <w:tcW w:w="32" w:type="pct"/>
            <w:tcBorders>
              <w:top w:val="single" w:sz="4" w:space="0" w:color="auto"/>
              <w:left w:val="nil"/>
              <w:bottom w:val="single" w:sz="4" w:space="0" w:color="auto"/>
            </w:tcBorders>
            <w:vAlign w:val="center"/>
          </w:tcPr>
          <w:p w:rsidR="00376768" w:rsidRDefault="00376768">
            <w:pPr>
              <w:jc w:val="center"/>
              <w:rPr>
                <w:rFonts w:ascii="Arial" w:hAnsi="Arial" w:cs="Arial"/>
                <w:sz w:val="18"/>
                <w:szCs w:val="16"/>
              </w:rPr>
            </w:pPr>
          </w:p>
        </w:tc>
        <w:tc>
          <w:tcPr>
            <w:tcW w:w="508" w:type="pct"/>
            <w:tcBorders>
              <w:top w:val="single" w:sz="4" w:space="0" w:color="auto"/>
              <w:left w:val="nil"/>
              <w:bottom w:val="single" w:sz="4" w:space="0" w:color="auto"/>
              <w:right w:val="single" w:sz="4" w:space="0" w:color="auto"/>
            </w:tcBorders>
            <w:vAlign w:val="center"/>
          </w:tcPr>
          <w:p w:rsidR="00376768" w:rsidRDefault="00EC2B72">
            <w:pPr>
              <w:jc w:val="center"/>
              <w:rPr>
                <w:rFonts w:ascii="Arial" w:hAnsi="Arial" w:cs="Arial"/>
                <w:sz w:val="18"/>
                <w:szCs w:val="16"/>
              </w:rPr>
            </w:pPr>
            <w:r>
              <w:rPr>
                <w:rFonts w:ascii="Arial" w:hAnsi="Arial" w:cs="Arial"/>
                <w:sz w:val="18"/>
                <w:szCs w:val="16"/>
              </w:rPr>
              <w:t>Retirement</w:t>
            </w:r>
          </w:p>
        </w:tc>
        <w:tc>
          <w:tcPr>
            <w:tcW w:w="151" w:type="pct"/>
            <w:tcBorders>
              <w:left w:val="single" w:sz="4" w:space="0" w:color="auto"/>
              <w:right w:val="single" w:sz="4" w:space="0" w:color="auto"/>
            </w:tcBorders>
            <w:vAlign w:val="center"/>
          </w:tcPr>
          <w:p w:rsidR="00376768" w:rsidRDefault="00376768">
            <w:pPr>
              <w:jc w:val="center"/>
              <w:rPr>
                <w:rFonts w:ascii="Arial" w:hAnsi="Arial" w:cs="Arial"/>
                <w:sz w:val="18"/>
                <w:szCs w:val="16"/>
              </w:rPr>
            </w:pPr>
          </w:p>
        </w:tc>
        <w:tc>
          <w:tcPr>
            <w:tcW w:w="590" w:type="pct"/>
            <w:tcBorders>
              <w:top w:val="single" w:sz="4" w:space="0" w:color="auto"/>
              <w:left w:val="single" w:sz="4" w:space="0" w:color="auto"/>
              <w:bottom w:val="single" w:sz="4" w:space="0" w:color="auto"/>
            </w:tcBorders>
            <w:vAlign w:val="center"/>
          </w:tcPr>
          <w:p w:rsidR="00376768" w:rsidRDefault="00EC2B72">
            <w:pPr>
              <w:jc w:val="center"/>
              <w:rPr>
                <w:rFonts w:ascii="Arial" w:hAnsi="Arial" w:cs="Arial"/>
                <w:sz w:val="18"/>
                <w:szCs w:val="16"/>
              </w:rPr>
            </w:pPr>
            <w:r>
              <w:rPr>
                <w:rFonts w:ascii="Arial" w:hAnsi="Arial" w:cs="Arial"/>
                <w:sz w:val="18"/>
                <w:szCs w:val="18"/>
              </w:rPr>
              <w:t xml:space="preserve">By Company </w:t>
            </w:r>
            <w:r>
              <w:rPr>
                <w:rFonts w:ascii="Arial" w:hAnsi="Arial" w:cs="Arial"/>
                <w:sz w:val="18"/>
                <w:szCs w:val="18"/>
              </w:rPr>
              <w:br/>
              <w:t xml:space="preserve">without </w:t>
            </w:r>
            <w:r>
              <w:rPr>
                <w:rFonts w:ascii="Arial" w:hAnsi="Arial" w:cs="Arial"/>
                <w:sz w:val="18"/>
                <w:szCs w:val="18"/>
              </w:rPr>
              <w:br/>
              <w:t xml:space="preserve">Cause or by </w:t>
            </w:r>
            <w:r>
              <w:rPr>
                <w:rFonts w:ascii="Arial" w:hAnsi="Arial" w:cs="Arial"/>
                <w:sz w:val="18"/>
                <w:szCs w:val="18"/>
              </w:rPr>
              <w:br/>
              <w:t xml:space="preserve">Executive for </w:t>
            </w:r>
            <w:r>
              <w:rPr>
                <w:rFonts w:ascii="Arial" w:hAnsi="Arial" w:cs="Arial"/>
                <w:sz w:val="18"/>
                <w:szCs w:val="18"/>
              </w:rPr>
              <w:br/>
              <w:t>Good Reason</w:t>
            </w:r>
          </w:p>
        </w:tc>
        <w:tc>
          <w:tcPr>
            <w:tcW w:w="25" w:type="pct"/>
            <w:tcBorders>
              <w:top w:val="single" w:sz="4" w:space="0" w:color="auto"/>
              <w:left w:val="nil"/>
              <w:bottom w:val="single" w:sz="4" w:space="0" w:color="auto"/>
              <w:right w:val="single" w:sz="4" w:space="0" w:color="auto"/>
            </w:tcBorders>
            <w:vAlign w:val="center"/>
          </w:tcPr>
          <w:p w:rsidR="00376768" w:rsidRDefault="00376768">
            <w:pPr>
              <w:jc w:val="center"/>
              <w:rPr>
                <w:rFonts w:ascii="Arial" w:hAnsi="Arial" w:cs="Arial"/>
                <w:sz w:val="18"/>
                <w:szCs w:val="16"/>
              </w:rPr>
            </w:pPr>
          </w:p>
        </w:tc>
        <w:tc>
          <w:tcPr>
            <w:tcW w:w="25" w:type="pct"/>
            <w:tcBorders>
              <w:top w:val="single" w:sz="4" w:space="0" w:color="auto"/>
              <w:left w:val="nil"/>
              <w:bottom w:val="single" w:sz="4" w:space="0" w:color="auto"/>
            </w:tcBorders>
            <w:vAlign w:val="center"/>
          </w:tcPr>
          <w:p w:rsidR="00376768" w:rsidRDefault="00376768">
            <w:pPr>
              <w:jc w:val="center"/>
              <w:rPr>
                <w:rFonts w:ascii="Arial" w:hAnsi="Arial" w:cs="Arial"/>
                <w:sz w:val="18"/>
                <w:szCs w:val="16"/>
              </w:rPr>
            </w:pPr>
          </w:p>
        </w:tc>
        <w:tc>
          <w:tcPr>
            <w:tcW w:w="583" w:type="pct"/>
            <w:tcBorders>
              <w:top w:val="single" w:sz="4" w:space="0" w:color="auto"/>
              <w:left w:val="nil"/>
              <w:bottom w:val="single" w:sz="4" w:space="0" w:color="auto"/>
              <w:right w:val="single" w:sz="4" w:space="0" w:color="auto"/>
            </w:tcBorders>
            <w:vAlign w:val="center"/>
          </w:tcPr>
          <w:p w:rsidR="00376768" w:rsidRDefault="00EC2B72">
            <w:pPr>
              <w:jc w:val="center"/>
              <w:rPr>
                <w:rFonts w:ascii="Arial" w:hAnsi="Arial" w:cs="Arial"/>
                <w:sz w:val="18"/>
                <w:szCs w:val="16"/>
              </w:rPr>
            </w:pPr>
            <w:r>
              <w:rPr>
                <w:rFonts w:ascii="Arial" w:hAnsi="Arial" w:cs="Arial"/>
                <w:sz w:val="18"/>
                <w:szCs w:val="18"/>
              </w:rPr>
              <w:t xml:space="preserve">Without </w:t>
            </w:r>
            <w:r>
              <w:rPr>
                <w:rFonts w:ascii="Arial" w:hAnsi="Arial" w:cs="Arial"/>
                <w:sz w:val="18"/>
                <w:szCs w:val="18"/>
              </w:rPr>
              <w:br/>
              <w:t xml:space="preserve">Termination of </w:t>
            </w:r>
            <w:r>
              <w:rPr>
                <w:rFonts w:ascii="Arial" w:hAnsi="Arial" w:cs="Arial"/>
                <w:sz w:val="18"/>
                <w:szCs w:val="18"/>
              </w:rPr>
              <w:br/>
              <w:t xml:space="preserve">Employment </w:t>
            </w:r>
            <w:r>
              <w:rPr>
                <w:rFonts w:ascii="Arial" w:hAnsi="Arial" w:cs="Arial"/>
                <w:sz w:val="18"/>
                <w:szCs w:val="18"/>
              </w:rPr>
              <w:br/>
              <w:t xml:space="preserve">or Termination </w:t>
            </w:r>
            <w:r>
              <w:rPr>
                <w:rFonts w:ascii="Arial" w:hAnsi="Arial" w:cs="Arial"/>
                <w:sz w:val="18"/>
                <w:szCs w:val="18"/>
              </w:rPr>
              <w:br/>
              <w:t xml:space="preserve">for any other </w:t>
            </w:r>
            <w:r>
              <w:rPr>
                <w:rFonts w:ascii="Arial" w:hAnsi="Arial" w:cs="Arial"/>
                <w:sz w:val="18"/>
                <w:szCs w:val="18"/>
              </w:rPr>
              <w:br/>
              <w:t>Reason</w:t>
            </w:r>
          </w:p>
        </w:tc>
      </w:tr>
      <w:tr w:rsidR="00376768">
        <w:tc>
          <w:tcPr>
            <w:tcW w:w="1213" w:type="pct"/>
          </w:tcPr>
          <w:p w:rsidR="00376768" w:rsidRDefault="00376768">
            <w:pPr>
              <w:rPr>
                <w:rFonts w:ascii="Arial" w:hAnsi="Arial" w:cs="Arial"/>
                <w:sz w:val="18"/>
              </w:rPr>
            </w:pPr>
          </w:p>
        </w:tc>
        <w:tc>
          <w:tcPr>
            <w:tcW w:w="107" w:type="pct"/>
          </w:tcPr>
          <w:p w:rsidR="00376768" w:rsidRDefault="00376768">
            <w:pPr>
              <w:jc w:val="center"/>
              <w:rPr>
                <w:rFonts w:ascii="Arial" w:hAnsi="Arial" w:cs="Arial"/>
                <w:sz w:val="18"/>
              </w:rPr>
            </w:pPr>
          </w:p>
        </w:tc>
        <w:tc>
          <w:tcPr>
            <w:tcW w:w="543" w:type="pct"/>
            <w:tcBorders>
              <w:top w:val="single" w:sz="4" w:space="0" w:color="auto"/>
              <w:bottom w:val="single" w:sz="4" w:space="0" w:color="auto"/>
            </w:tcBorders>
          </w:tcPr>
          <w:p w:rsidR="00376768" w:rsidRDefault="00376768">
            <w:pPr>
              <w:jc w:val="center"/>
              <w:rPr>
                <w:rFonts w:ascii="Arial" w:hAnsi="Arial" w:cs="Arial"/>
                <w:sz w:val="18"/>
              </w:rPr>
            </w:pPr>
          </w:p>
        </w:tc>
        <w:tc>
          <w:tcPr>
            <w:tcW w:w="36" w:type="pct"/>
            <w:tcBorders>
              <w:top w:val="single" w:sz="4" w:space="0" w:color="auto"/>
              <w:bottom w:val="single" w:sz="4" w:space="0" w:color="auto"/>
            </w:tcBorders>
          </w:tcPr>
          <w:p w:rsidR="00376768" w:rsidRDefault="00376768">
            <w:pPr>
              <w:jc w:val="center"/>
              <w:rPr>
                <w:rFonts w:ascii="Arial" w:hAnsi="Arial" w:cs="Arial"/>
                <w:sz w:val="18"/>
              </w:rPr>
            </w:pPr>
          </w:p>
        </w:tc>
        <w:tc>
          <w:tcPr>
            <w:tcW w:w="36" w:type="pct"/>
            <w:tcBorders>
              <w:top w:val="single" w:sz="4" w:space="0" w:color="auto"/>
              <w:bottom w:val="single" w:sz="4" w:space="0" w:color="auto"/>
            </w:tcBorders>
          </w:tcPr>
          <w:p w:rsidR="00376768" w:rsidRDefault="00376768">
            <w:pPr>
              <w:jc w:val="center"/>
              <w:rPr>
                <w:rFonts w:ascii="Arial" w:hAnsi="Arial" w:cs="Arial"/>
                <w:sz w:val="18"/>
              </w:rPr>
            </w:pPr>
          </w:p>
        </w:tc>
        <w:tc>
          <w:tcPr>
            <w:tcW w:w="524" w:type="pct"/>
            <w:tcBorders>
              <w:top w:val="single" w:sz="4" w:space="0" w:color="auto"/>
              <w:bottom w:val="single" w:sz="4" w:space="0" w:color="auto"/>
            </w:tcBorders>
          </w:tcPr>
          <w:p w:rsidR="00376768" w:rsidRDefault="00376768">
            <w:pPr>
              <w:jc w:val="center"/>
              <w:rPr>
                <w:rFonts w:ascii="Arial" w:hAnsi="Arial" w:cs="Arial"/>
                <w:sz w:val="18"/>
              </w:rPr>
            </w:pPr>
          </w:p>
        </w:tc>
        <w:tc>
          <w:tcPr>
            <w:tcW w:w="38" w:type="pct"/>
            <w:tcBorders>
              <w:top w:val="single" w:sz="4" w:space="0" w:color="auto"/>
              <w:bottom w:val="single" w:sz="4" w:space="0" w:color="auto"/>
            </w:tcBorders>
          </w:tcPr>
          <w:p w:rsidR="00376768" w:rsidRDefault="00376768">
            <w:pPr>
              <w:jc w:val="center"/>
              <w:rPr>
                <w:rFonts w:ascii="Arial" w:hAnsi="Arial" w:cs="Arial"/>
                <w:sz w:val="18"/>
              </w:rPr>
            </w:pPr>
          </w:p>
        </w:tc>
        <w:tc>
          <w:tcPr>
            <w:tcW w:w="39" w:type="pct"/>
            <w:tcBorders>
              <w:top w:val="single" w:sz="4" w:space="0" w:color="auto"/>
              <w:bottom w:val="single" w:sz="4" w:space="0" w:color="auto"/>
            </w:tcBorders>
          </w:tcPr>
          <w:p w:rsidR="00376768" w:rsidRDefault="00376768">
            <w:pPr>
              <w:jc w:val="center"/>
              <w:rPr>
                <w:rFonts w:ascii="Arial" w:hAnsi="Arial" w:cs="Arial"/>
                <w:sz w:val="18"/>
              </w:rPr>
            </w:pPr>
          </w:p>
        </w:tc>
        <w:tc>
          <w:tcPr>
            <w:tcW w:w="519" w:type="pct"/>
            <w:tcBorders>
              <w:top w:val="single" w:sz="4" w:space="0" w:color="auto"/>
              <w:bottom w:val="single" w:sz="4" w:space="0" w:color="auto"/>
            </w:tcBorders>
          </w:tcPr>
          <w:p w:rsidR="00376768" w:rsidRDefault="00376768">
            <w:pPr>
              <w:jc w:val="center"/>
              <w:rPr>
                <w:rFonts w:ascii="Arial" w:hAnsi="Arial" w:cs="Arial"/>
                <w:sz w:val="18"/>
              </w:rPr>
            </w:pPr>
          </w:p>
        </w:tc>
        <w:tc>
          <w:tcPr>
            <w:tcW w:w="31" w:type="pct"/>
            <w:tcBorders>
              <w:top w:val="single" w:sz="4" w:space="0" w:color="auto"/>
              <w:bottom w:val="single" w:sz="4" w:space="0" w:color="auto"/>
            </w:tcBorders>
          </w:tcPr>
          <w:p w:rsidR="00376768" w:rsidRDefault="00376768">
            <w:pPr>
              <w:jc w:val="center"/>
              <w:rPr>
                <w:rFonts w:ascii="Arial" w:hAnsi="Arial" w:cs="Arial"/>
                <w:sz w:val="18"/>
              </w:rPr>
            </w:pPr>
          </w:p>
        </w:tc>
        <w:tc>
          <w:tcPr>
            <w:tcW w:w="32" w:type="pct"/>
            <w:tcBorders>
              <w:top w:val="single" w:sz="4" w:space="0" w:color="auto"/>
              <w:bottom w:val="single" w:sz="4" w:space="0" w:color="auto"/>
            </w:tcBorders>
          </w:tcPr>
          <w:p w:rsidR="00376768" w:rsidRDefault="00376768">
            <w:pPr>
              <w:jc w:val="center"/>
              <w:rPr>
                <w:rFonts w:ascii="Arial" w:hAnsi="Arial" w:cs="Arial"/>
                <w:sz w:val="18"/>
              </w:rPr>
            </w:pPr>
          </w:p>
        </w:tc>
        <w:tc>
          <w:tcPr>
            <w:tcW w:w="508" w:type="pct"/>
            <w:tcBorders>
              <w:top w:val="single" w:sz="4" w:space="0" w:color="auto"/>
              <w:bottom w:val="single" w:sz="4" w:space="0" w:color="auto"/>
            </w:tcBorders>
          </w:tcPr>
          <w:p w:rsidR="00376768" w:rsidRDefault="00376768">
            <w:pPr>
              <w:jc w:val="center"/>
              <w:rPr>
                <w:rFonts w:ascii="Arial" w:hAnsi="Arial" w:cs="Arial"/>
                <w:sz w:val="18"/>
              </w:rPr>
            </w:pPr>
          </w:p>
        </w:tc>
        <w:tc>
          <w:tcPr>
            <w:tcW w:w="151" w:type="pct"/>
          </w:tcPr>
          <w:p w:rsidR="00376768" w:rsidRDefault="00376768">
            <w:pPr>
              <w:jc w:val="center"/>
              <w:rPr>
                <w:rFonts w:ascii="Arial" w:hAnsi="Arial" w:cs="Arial"/>
                <w:sz w:val="18"/>
              </w:rPr>
            </w:pPr>
          </w:p>
        </w:tc>
        <w:tc>
          <w:tcPr>
            <w:tcW w:w="590" w:type="pct"/>
            <w:tcBorders>
              <w:top w:val="single" w:sz="4" w:space="0" w:color="auto"/>
              <w:bottom w:val="single" w:sz="4" w:space="0" w:color="auto"/>
            </w:tcBorders>
          </w:tcPr>
          <w:p w:rsidR="00376768" w:rsidRDefault="00376768">
            <w:pPr>
              <w:jc w:val="center"/>
              <w:rPr>
                <w:rFonts w:ascii="Arial" w:hAnsi="Arial" w:cs="Arial"/>
                <w:sz w:val="18"/>
              </w:rPr>
            </w:pPr>
          </w:p>
        </w:tc>
        <w:tc>
          <w:tcPr>
            <w:tcW w:w="25" w:type="pct"/>
            <w:tcBorders>
              <w:top w:val="single" w:sz="4" w:space="0" w:color="auto"/>
              <w:bottom w:val="single" w:sz="4" w:space="0" w:color="auto"/>
            </w:tcBorders>
          </w:tcPr>
          <w:p w:rsidR="00376768" w:rsidRDefault="00376768">
            <w:pPr>
              <w:jc w:val="center"/>
              <w:rPr>
                <w:rFonts w:ascii="Arial" w:hAnsi="Arial" w:cs="Arial"/>
                <w:sz w:val="18"/>
              </w:rPr>
            </w:pPr>
          </w:p>
        </w:tc>
        <w:tc>
          <w:tcPr>
            <w:tcW w:w="25" w:type="pct"/>
            <w:tcBorders>
              <w:top w:val="single" w:sz="4" w:space="0" w:color="auto"/>
              <w:bottom w:val="single" w:sz="4" w:space="0" w:color="auto"/>
            </w:tcBorders>
          </w:tcPr>
          <w:p w:rsidR="00376768" w:rsidRDefault="00376768">
            <w:pPr>
              <w:jc w:val="center"/>
              <w:rPr>
                <w:rFonts w:ascii="Arial" w:hAnsi="Arial" w:cs="Arial"/>
                <w:sz w:val="18"/>
              </w:rPr>
            </w:pPr>
          </w:p>
        </w:tc>
        <w:tc>
          <w:tcPr>
            <w:tcW w:w="583" w:type="pct"/>
            <w:tcBorders>
              <w:top w:val="single" w:sz="4" w:space="0" w:color="auto"/>
              <w:bottom w:val="single" w:sz="4" w:space="0" w:color="auto"/>
            </w:tcBorders>
          </w:tcPr>
          <w:p w:rsidR="00376768" w:rsidRDefault="00376768">
            <w:pPr>
              <w:jc w:val="center"/>
              <w:rPr>
                <w:rFonts w:ascii="Arial" w:hAnsi="Arial" w:cs="Arial"/>
                <w:sz w:val="18"/>
              </w:rPr>
            </w:pPr>
          </w:p>
        </w:tc>
      </w:tr>
      <w:tr w:rsidR="00376768">
        <w:tc>
          <w:tcPr>
            <w:tcW w:w="1213" w:type="pct"/>
            <w:vAlign w:val="center"/>
          </w:tcPr>
          <w:p w:rsidR="00376768" w:rsidRDefault="00EC2B72">
            <w:pPr>
              <w:rPr>
                <w:rFonts w:ascii="Arial" w:hAnsi="Arial" w:cs="Arial"/>
                <w:sz w:val="18"/>
              </w:rPr>
            </w:pPr>
            <w:r>
              <w:rPr>
                <w:rFonts w:ascii="Arial" w:hAnsi="Arial" w:cs="Arial"/>
                <w:sz w:val="18"/>
                <w:szCs w:val="18"/>
              </w:rPr>
              <w:t>Lump Sum Severance</w:t>
            </w:r>
            <w:r>
              <w:rPr>
                <w:rFonts w:ascii="Arial" w:hAnsi="Arial" w:cs="Arial"/>
                <w:b/>
                <w:bCs/>
                <w:sz w:val="18"/>
                <w:szCs w:val="14"/>
                <w:vertAlign w:val="superscript"/>
              </w:rPr>
              <w:t>(1)(2)</w:t>
            </w:r>
          </w:p>
        </w:tc>
        <w:tc>
          <w:tcPr>
            <w:tcW w:w="107" w:type="pct"/>
            <w:tcBorders>
              <w:right w:val="single" w:sz="4" w:space="0" w:color="auto"/>
            </w:tcBorders>
          </w:tcPr>
          <w:p w:rsidR="00376768" w:rsidRDefault="00376768">
            <w:pPr>
              <w:jc w:val="center"/>
              <w:rPr>
                <w:rFonts w:ascii="Arial" w:hAnsi="Arial" w:cs="Arial"/>
                <w:sz w:val="18"/>
                <w:szCs w:val="2"/>
              </w:rPr>
            </w:pPr>
          </w:p>
        </w:tc>
        <w:tc>
          <w:tcPr>
            <w:tcW w:w="543" w:type="pct"/>
            <w:tcBorders>
              <w:top w:val="single" w:sz="4" w:space="0" w:color="auto"/>
              <w:left w:val="single" w:sz="4" w:space="0" w:color="auto"/>
              <w:bottom w:val="single" w:sz="4" w:space="0" w:color="auto"/>
            </w:tcBorders>
          </w:tcPr>
          <w:p w:rsidR="00376768" w:rsidRDefault="00376768">
            <w:pPr>
              <w:jc w:val="center"/>
              <w:rPr>
                <w:rFonts w:ascii="Arial" w:hAnsi="Arial" w:cs="Arial"/>
                <w:sz w:val="18"/>
                <w:szCs w:val="2"/>
              </w:rPr>
            </w:pPr>
          </w:p>
        </w:tc>
        <w:tc>
          <w:tcPr>
            <w:tcW w:w="36"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c>
          <w:tcPr>
            <w:tcW w:w="36"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524" w:type="pct"/>
            <w:tcBorders>
              <w:top w:val="single" w:sz="4" w:space="0" w:color="auto"/>
              <w:left w:val="nil"/>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$49,902</w:t>
            </w:r>
          </w:p>
        </w:tc>
        <w:tc>
          <w:tcPr>
            <w:tcW w:w="38"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39"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19" w:type="pct"/>
            <w:tcBorders>
              <w:top w:val="single" w:sz="4" w:space="0" w:color="auto"/>
              <w:left w:val="nil"/>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$49,902</w:t>
            </w:r>
          </w:p>
        </w:tc>
        <w:tc>
          <w:tcPr>
            <w:tcW w:w="31"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32"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08" w:type="pct"/>
            <w:tcBorders>
              <w:top w:val="single" w:sz="4" w:space="0" w:color="auto"/>
              <w:left w:val="nil"/>
              <w:bottom w:val="single" w:sz="4" w:space="0" w:color="auto"/>
              <w:right w:val="single" w:sz="4" w:space="0" w:color="auto"/>
            </w:tcBorders>
            <w:vAlign w:val="center"/>
          </w:tcPr>
          <w:p w:rsidR="00376768" w:rsidRDefault="00EC2B72">
            <w:pPr>
              <w:jc w:val="center"/>
              <w:rPr>
                <w:rFonts w:ascii="Arial" w:hAnsi="Arial" w:cs="Arial"/>
                <w:sz w:val="18"/>
              </w:rPr>
            </w:pPr>
            <w:r>
              <w:rPr>
                <w:rFonts w:ascii="Arial" w:hAnsi="Arial" w:cs="Arial"/>
                <w:sz w:val="18"/>
                <w:szCs w:val="18"/>
              </w:rPr>
              <w:t>$49,902</w:t>
            </w:r>
          </w:p>
        </w:tc>
        <w:tc>
          <w:tcPr>
            <w:tcW w:w="151" w:type="pct"/>
            <w:tcBorders>
              <w:left w:val="single" w:sz="4" w:space="0" w:color="auto"/>
              <w:right w:val="single" w:sz="4" w:space="0" w:color="auto"/>
            </w:tcBorders>
          </w:tcPr>
          <w:p w:rsidR="00376768" w:rsidRDefault="00376768">
            <w:pPr>
              <w:jc w:val="center"/>
              <w:rPr>
                <w:rFonts w:ascii="Arial" w:hAnsi="Arial" w:cs="Arial"/>
                <w:sz w:val="18"/>
                <w:szCs w:val="2"/>
              </w:rPr>
            </w:pPr>
          </w:p>
        </w:tc>
        <w:tc>
          <w:tcPr>
            <w:tcW w:w="590" w:type="pct"/>
            <w:tcBorders>
              <w:top w:val="single" w:sz="4" w:space="0" w:color="auto"/>
              <w:left w:val="single" w:sz="4" w:space="0" w:color="auto"/>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$693,368</w:t>
            </w:r>
          </w:p>
        </w:tc>
        <w:tc>
          <w:tcPr>
            <w:tcW w:w="25"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25"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83"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r>
      <w:tr w:rsidR="00376768">
        <w:tc>
          <w:tcPr>
            <w:tcW w:w="1213" w:type="pct"/>
            <w:vAlign w:val="center"/>
          </w:tcPr>
          <w:p w:rsidR="00376768" w:rsidRDefault="00EC2B72">
            <w:pPr>
              <w:rPr>
                <w:rFonts w:ascii="Arial" w:hAnsi="Arial" w:cs="Arial"/>
                <w:sz w:val="18"/>
              </w:rPr>
            </w:pPr>
            <w:r>
              <w:rPr>
                <w:rFonts w:ascii="Arial" w:hAnsi="Arial" w:cs="Arial"/>
                <w:sz w:val="18"/>
                <w:szCs w:val="18"/>
              </w:rPr>
              <w:t>Benefits Continuation</w:t>
            </w:r>
            <w:r>
              <w:rPr>
                <w:rFonts w:ascii="Arial" w:hAnsi="Arial" w:cs="Arial"/>
                <w:b/>
                <w:bCs/>
                <w:sz w:val="18"/>
                <w:szCs w:val="14"/>
                <w:vertAlign w:val="superscript"/>
              </w:rPr>
              <w:t>(3)</w:t>
            </w:r>
          </w:p>
        </w:tc>
        <w:tc>
          <w:tcPr>
            <w:tcW w:w="107" w:type="pct"/>
            <w:tcBorders>
              <w:right w:val="single" w:sz="4" w:space="0" w:color="auto"/>
            </w:tcBorders>
          </w:tcPr>
          <w:p w:rsidR="00376768" w:rsidRDefault="00376768">
            <w:pPr>
              <w:jc w:val="center"/>
              <w:rPr>
                <w:rFonts w:ascii="Arial" w:hAnsi="Arial" w:cs="Arial"/>
                <w:sz w:val="18"/>
                <w:szCs w:val="2"/>
              </w:rPr>
            </w:pPr>
          </w:p>
        </w:tc>
        <w:tc>
          <w:tcPr>
            <w:tcW w:w="543" w:type="pct"/>
            <w:tcBorders>
              <w:top w:val="single" w:sz="4" w:space="0" w:color="auto"/>
              <w:left w:val="single" w:sz="4" w:space="0" w:color="auto"/>
              <w:bottom w:val="single" w:sz="4" w:space="0" w:color="auto"/>
            </w:tcBorders>
          </w:tcPr>
          <w:p w:rsidR="00376768" w:rsidRDefault="00376768">
            <w:pPr>
              <w:jc w:val="center"/>
              <w:rPr>
                <w:rFonts w:ascii="Arial" w:hAnsi="Arial" w:cs="Arial"/>
                <w:sz w:val="18"/>
                <w:szCs w:val="2"/>
              </w:rPr>
            </w:pPr>
          </w:p>
        </w:tc>
        <w:tc>
          <w:tcPr>
            <w:tcW w:w="36"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c>
          <w:tcPr>
            <w:tcW w:w="36"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524" w:type="pct"/>
            <w:tcBorders>
              <w:top w:val="single" w:sz="4" w:space="0" w:color="auto"/>
              <w:left w:val="nil"/>
              <w:bottom w:val="single" w:sz="4" w:space="0" w:color="auto"/>
            </w:tcBorders>
            <w:vAlign w:val="center"/>
          </w:tcPr>
          <w:p w:rsidR="00376768" w:rsidRDefault="00376768">
            <w:pPr>
              <w:jc w:val="center"/>
              <w:rPr>
                <w:rFonts w:ascii="Arial" w:hAnsi="Arial" w:cs="Arial"/>
                <w:sz w:val="18"/>
                <w:szCs w:val="2"/>
              </w:rPr>
            </w:pPr>
          </w:p>
        </w:tc>
        <w:tc>
          <w:tcPr>
            <w:tcW w:w="38"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c>
          <w:tcPr>
            <w:tcW w:w="39"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519" w:type="pct"/>
            <w:tcBorders>
              <w:top w:val="single" w:sz="4" w:space="0" w:color="auto"/>
              <w:left w:val="nil"/>
              <w:bottom w:val="single" w:sz="4" w:space="0" w:color="auto"/>
            </w:tcBorders>
            <w:vAlign w:val="center"/>
          </w:tcPr>
          <w:p w:rsidR="00376768" w:rsidRDefault="00376768">
            <w:pPr>
              <w:jc w:val="center"/>
              <w:rPr>
                <w:rFonts w:ascii="Arial" w:hAnsi="Arial" w:cs="Arial"/>
                <w:sz w:val="18"/>
                <w:szCs w:val="2"/>
              </w:rPr>
            </w:pPr>
          </w:p>
        </w:tc>
        <w:tc>
          <w:tcPr>
            <w:tcW w:w="31"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c>
          <w:tcPr>
            <w:tcW w:w="32"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508" w:type="pct"/>
            <w:tcBorders>
              <w:top w:val="single" w:sz="4" w:space="0" w:color="auto"/>
              <w:left w:val="nil"/>
              <w:bottom w:val="single" w:sz="4" w:space="0" w:color="auto"/>
              <w:right w:val="single" w:sz="4" w:space="0" w:color="auto"/>
            </w:tcBorders>
            <w:vAlign w:val="center"/>
          </w:tcPr>
          <w:p w:rsidR="00376768" w:rsidRDefault="00376768">
            <w:pPr>
              <w:jc w:val="center"/>
              <w:rPr>
                <w:rFonts w:ascii="Arial" w:hAnsi="Arial" w:cs="Arial"/>
                <w:sz w:val="18"/>
                <w:szCs w:val="2"/>
              </w:rPr>
            </w:pPr>
          </w:p>
        </w:tc>
        <w:tc>
          <w:tcPr>
            <w:tcW w:w="151" w:type="pct"/>
            <w:tcBorders>
              <w:left w:val="single" w:sz="4" w:space="0" w:color="auto"/>
              <w:right w:val="single" w:sz="4" w:space="0" w:color="auto"/>
            </w:tcBorders>
          </w:tcPr>
          <w:p w:rsidR="00376768" w:rsidRDefault="00376768">
            <w:pPr>
              <w:jc w:val="center"/>
              <w:rPr>
                <w:rFonts w:ascii="Arial" w:hAnsi="Arial" w:cs="Arial"/>
                <w:sz w:val="18"/>
                <w:szCs w:val="2"/>
              </w:rPr>
            </w:pPr>
          </w:p>
        </w:tc>
        <w:tc>
          <w:tcPr>
            <w:tcW w:w="590" w:type="pct"/>
            <w:tcBorders>
              <w:top w:val="single" w:sz="4" w:space="0" w:color="auto"/>
              <w:left w:val="single" w:sz="4" w:space="0" w:color="auto"/>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$28,727</w:t>
            </w:r>
          </w:p>
        </w:tc>
        <w:tc>
          <w:tcPr>
            <w:tcW w:w="25"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25"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83"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r>
      <w:tr w:rsidR="00376768">
        <w:tc>
          <w:tcPr>
            <w:tcW w:w="1213" w:type="pct"/>
            <w:vAlign w:val="center"/>
          </w:tcPr>
          <w:p w:rsidR="00376768" w:rsidRDefault="00EC2B72">
            <w:pPr>
              <w:rPr>
                <w:rFonts w:ascii="Arial" w:hAnsi="Arial" w:cs="Arial"/>
                <w:sz w:val="18"/>
              </w:rPr>
            </w:pPr>
            <w:r>
              <w:rPr>
                <w:rFonts w:ascii="Arial" w:hAnsi="Arial" w:cs="Arial"/>
                <w:sz w:val="18"/>
                <w:szCs w:val="18"/>
              </w:rPr>
              <w:t>Equity Awards (Unvested)</w:t>
            </w:r>
          </w:p>
        </w:tc>
        <w:tc>
          <w:tcPr>
            <w:tcW w:w="107" w:type="pct"/>
            <w:tcBorders>
              <w:right w:val="single" w:sz="4" w:space="0" w:color="auto"/>
            </w:tcBorders>
          </w:tcPr>
          <w:p w:rsidR="00376768" w:rsidRDefault="00376768">
            <w:pPr>
              <w:jc w:val="center"/>
              <w:rPr>
                <w:rFonts w:ascii="Arial" w:hAnsi="Arial" w:cs="Arial"/>
                <w:sz w:val="18"/>
                <w:szCs w:val="2"/>
              </w:rPr>
            </w:pPr>
          </w:p>
        </w:tc>
        <w:tc>
          <w:tcPr>
            <w:tcW w:w="543" w:type="pct"/>
            <w:tcBorders>
              <w:top w:val="single" w:sz="4" w:space="0" w:color="auto"/>
              <w:left w:val="single" w:sz="4" w:space="0" w:color="auto"/>
              <w:bottom w:val="single" w:sz="4" w:space="0" w:color="auto"/>
            </w:tcBorders>
          </w:tcPr>
          <w:p w:rsidR="00376768" w:rsidRDefault="00376768">
            <w:pPr>
              <w:jc w:val="center"/>
              <w:rPr>
                <w:rFonts w:ascii="Arial" w:hAnsi="Arial" w:cs="Arial"/>
                <w:sz w:val="18"/>
                <w:szCs w:val="2"/>
              </w:rPr>
            </w:pPr>
          </w:p>
        </w:tc>
        <w:tc>
          <w:tcPr>
            <w:tcW w:w="36"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c>
          <w:tcPr>
            <w:tcW w:w="36"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524" w:type="pct"/>
            <w:tcBorders>
              <w:top w:val="single" w:sz="4" w:space="0" w:color="auto"/>
              <w:left w:val="nil"/>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$120,007</w:t>
            </w:r>
            <w:r>
              <w:rPr>
                <w:rFonts w:ascii="Arial" w:hAnsi="Arial" w:cs="Arial"/>
                <w:sz w:val="18"/>
                <w:szCs w:val="14"/>
                <w:vertAlign w:val="superscript"/>
              </w:rPr>
              <w:t>(5)</w:t>
            </w:r>
          </w:p>
        </w:tc>
        <w:tc>
          <w:tcPr>
            <w:tcW w:w="38"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39"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19" w:type="pct"/>
            <w:tcBorders>
              <w:top w:val="single" w:sz="4" w:space="0" w:color="auto"/>
              <w:left w:val="nil"/>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$120,007</w:t>
            </w:r>
            <w:r>
              <w:rPr>
                <w:rFonts w:ascii="Arial" w:hAnsi="Arial" w:cs="Arial"/>
                <w:sz w:val="18"/>
                <w:szCs w:val="14"/>
                <w:vertAlign w:val="superscript"/>
              </w:rPr>
              <w:t>(5)</w:t>
            </w:r>
          </w:p>
        </w:tc>
        <w:tc>
          <w:tcPr>
            <w:tcW w:w="31"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32"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08" w:type="pct"/>
            <w:tcBorders>
              <w:top w:val="single" w:sz="4" w:space="0" w:color="auto"/>
              <w:left w:val="nil"/>
              <w:bottom w:val="single" w:sz="4" w:space="0" w:color="auto"/>
              <w:right w:val="single" w:sz="4" w:space="0" w:color="auto"/>
            </w:tcBorders>
            <w:vAlign w:val="center"/>
          </w:tcPr>
          <w:p w:rsidR="00376768" w:rsidRDefault="00EC2B72">
            <w:pPr>
              <w:jc w:val="center"/>
              <w:rPr>
                <w:rFonts w:ascii="Arial" w:hAnsi="Arial" w:cs="Arial"/>
                <w:sz w:val="18"/>
              </w:rPr>
            </w:pPr>
            <w:r>
              <w:rPr>
                <w:rFonts w:ascii="Arial" w:hAnsi="Arial" w:cs="Arial"/>
                <w:sz w:val="18"/>
                <w:szCs w:val="18"/>
              </w:rPr>
              <w:t>$120,007</w:t>
            </w:r>
            <w:r>
              <w:rPr>
                <w:rFonts w:ascii="Arial" w:hAnsi="Arial" w:cs="Arial"/>
                <w:sz w:val="18"/>
                <w:szCs w:val="14"/>
                <w:vertAlign w:val="superscript"/>
              </w:rPr>
              <w:t>(5)</w:t>
            </w:r>
          </w:p>
        </w:tc>
        <w:tc>
          <w:tcPr>
            <w:tcW w:w="151" w:type="pct"/>
            <w:tcBorders>
              <w:left w:val="single" w:sz="4" w:space="0" w:color="auto"/>
              <w:right w:val="single" w:sz="4" w:space="0" w:color="auto"/>
            </w:tcBorders>
          </w:tcPr>
          <w:p w:rsidR="00376768" w:rsidRDefault="00376768">
            <w:pPr>
              <w:jc w:val="center"/>
              <w:rPr>
                <w:rFonts w:ascii="Arial" w:hAnsi="Arial" w:cs="Arial"/>
                <w:sz w:val="18"/>
                <w:szCs w:val="2"/>
              </w:rPr>
            </w:pPr>
          </w:p>
        </w:tc>
        <w:tc>
          <w:tcPr>
            <w:tcW w:w="590" w:type="pct"/>
            <w:tcBorders>
              <w:top w:val="single" w:sz="4" w:space="0" w:color="auto"/>
              <w:left w:val="single" w:sz="4" w:space="0" w:color="auto"/>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$ 151,596</w:t>
            </w:r>
            <w:r>
              <w:rPr>
                <w:rFonts w:ascii="Arial" w:hAnsi="Arial" w:cs="Arial"/>
                <w:sz w:val="18"/>
                <w:szCs w:val="14"/>
                <w:vertAlign w:val="superscript"/>
              </w:rPr>
              <w:t>(6)</w:t>
            </w:r>
          </w:p>
        </w:tc>
        <w:tc>
          <w:tcPr>
            <w:tcW w:w="25"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25"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83" w:type="pct"/>
            <w:tcBorders>
              <w:top w:val="single" w:sz="4" w:space="0" w:color="auto"/>
              <w:left w:val="nil"/>
              <w:bottom w:val="single" w:sz="4" w:space="0" w:color="auto"/>
              <w:right w:val="single" w:sz="4" w:space="0" w:color="auto"/>
            </w:tcBorders>
          </w:tcPr>
          <w:p w:rsidR="00376768" w:rsidRDefault="00EC2B72">
            <w:pPr>
              <w:jc w:val="center"/>
              <w:rPr>
                <w:rFonts w:ascii="Arial" w:hAnsi="Arial" w:cs="Arial"/>
                <w:sz w:val="18"/>
              </w:rPr>
            </w:pPr>
            <w:r>
              <w:rPr>
                <w:rFonts w:ascii="Arial" w:hAnsi="Arial" w:cs="Arial"/>
                <w:sz w:val="18"/>
                <w:szCs w:val="18"/>
              </w:rPr>
              <w:t>$120,007</w:t>
            </w:r>
            <w:r>
              <w:rPr>
                <w:rFonts w:ascii="Arial" w:hAnsi="Arial" w:cs="Arial"/>
                <w:sz w:val="18"/>
                <w:szCs w:val="14"/>
                <w:vertAlign w:val="superscript"/>
              </w:rPr>
              <w:t>(6)</w:t>
            </w:r>
          </w:p>
        </w:tc>
      </w:tr>
      <w:tr w:rsidR="00376768">
        <w:tc>
          <w:tcPr>
            <w:tcW w:w="1213" w:type="pct"/>
            <w:vAlign w:val="center"/>
          </w:tcPr>
          <w:p w:rsidR="00376768" w:rsidRDefault="00EC2B72">
            <w:pPr>
              <w:rPr>
                <w:rFonts w:ascii="Arial" w:hAnsi="Arial" w:cs="Arial"/>
                <w:sz w:val="18"/>
              </w:rPr>
            </w:pPr>
            <w:r>
              <w:rPr>
                <w:rFonts w:ascii="Arial" w:hAnsi="Arial" w:cs="Arial"/>
                <w:sz w:val="18"/>
                <w:szCs w:val="18"/>
              </w:rPr>
              <w:t>Outplacement Services</w:t>
            </w:r>
          </w:p>
        </w:tc>
        <w:tc>
          <w:tcPr>
            <w:tcW w:w="107" w:type="pct"/>
            <w:tcBorders>
              <w:right w:val="single" w:sz="4" w:space="0" w:color="auto"/>
            </w:tcBorders>
          </w:tcPr>
          <w:p w:rsidR="00376768" w:rsidRDefault="00376768">
            <w:pPr>
              <w:jc w:val="center"/>
              <w:rPr>
                <w:rFonts w:ascii="Arial" w:hAnsi="Arial" w:cs="Arial"/>
                <w:sz w:val="18"/>
                <w:szCs w:val="2"/>
              </w:rPr>
            </w:pPr>
          </w:p>
        </w:tc>
        <w:tc>
          <w:tcPr>
            <w:tcW w:w="543" w:type="pct"/>
            <w:tcBorders>
              <w:top w:val="single" w:sz="4" w:space="0" w:color="auto"/>
              <w:left w:val="single" w:sz="4" w:space="0" w:color="auto"/>
              <w:bottom w:val="single" w:sz="4" w:space="0" w:color="auto"/>
            </w:tcBorders>
          </w:tcPr>
          <w:p w:rsidR="00376768" w:rsidRDefault="00376768">
            <w:pPr>
              <w:jc w:val="center"/>
              <w:rPr>
                <w:rFonts w:ascii="Arial" w:hAnsi="Arial" w:cs="Arial"/>
                <w:sz w:val="18"/>
                <w:szCs w:val="2"/>
              </w:rPr>
            </w:pPr>
          </w:p>
        </w:tc>
        <w:tc>
          <w:tcPr>
            <w:tcW w:w="36"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c>
          <w:tcPr>
            <w:tcW w:w="36"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524" w:type="pct"/>
            <w:tcBorders>
              <w:top w:val="single" w:sz="4" w:space="0" w:color="auto"/>
              <w:left w:val="nil"/>
              <w:bottom w:val="single" w:sz="4" w:space="0" w:color="auto"/>
            </w:tcBorders>
            <w:vAlign w:val="center"/>
          </w:tcPr>
          <w:p w:rsidR="00376768" w:rsidRDefault="00376768">
            <w:pPr>
              <w:jc w:val="center"/>
              <w:rPr>
                <w:rFonts w:ascii="Arial" w:hAnsi="Arial" w:cs="Arial"/>
                <w:sz w:val="18"/>
                <w:szCs w:val="2"/>
              </w:rPr>
            </w:pPr>
          </w:p>
        </w:tc>
        <w:tc>
          <w:tcPr>
            <w:tcW w:w="38"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c>
          <w:tcPr>
            <w:tcW w:w="39"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519" w:type="pct"/>
            <w:tcBorders>
              <w:top w:val="single" w:sz="4" w:space="0" w:color="auto"/>
              <w:left w:val="nil"/>
              <w:bottom w:val="single" w:sz="4" w:space="0" w:color="auto"/>
            </w:tcBorders>
            <w:vAlign w:val="center"/>
          </w:tcPr>
          <w:p w:rsidR="00376768" w:rsidRDefault="00376768">
            <w:pPr>
              <w:jc w:val="center"/>
              <w:rPr>
                <w:rFonts w:ascii="Arial" w:hAnsi="Arial" w:cs="Arial"/>
                <w:sz w:val="18"/>
                <w:szCs w:val="2"/>
              </w:rPr>
            </w:pPr>
          </w:p>
        </w:tc>
        <w:tc>
          <w:tcPr>
            <w:tcW w:w="31"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c>
          <w:tcPr>
            <w:tcW w:w="32"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508" w:type="pct"/>
            <w:tcBorders>
              <w:top w:val="single" w:sz="4" w:space="0" w:color="auto"/>
              <w:left w:val="nil"/>
              <w:bottom w:val="single" w:sz="4" w:space="0" w:color="auto"/>
              <w:right w:val="single" w:sz="4" w:space="0" w:color="auto"/>
            </w:tcBorders>
            <w:vAlign w:val="center"/>
          </w:tcPr>
          <w:p w:rsidR="00376768" w:rsidRDefault="00376768">
            <w:pPr>
              <w:jc w:val="center"/>
              <w:rPr>
                <w:rFonts w:ascii="Arial" w:hAnsi="Arial" w:cs="Arial"/>
                <w:sz w:val="18"/>
                <w:szCs w:val="2"/>
              </w:rPr>
            </w:pPr>
          </w:p>
        </w:tc>
        <w:tc>
          <w:tcPr>
            <w:tcW w:w="151" w:type="pct"/>
            <w:tcBorders>
              <w:left w:val="single" w:sz="4" w:space="0" w:color="auto"/>
              <w:right w:val="single" w:sz="4" w:space="0" w:color="auto"/>
            </w:tcBorders>
          </w:tcPr>
          <w:p w:rsidR="00376768" w:rsidRDefault="00376768">
            <w:pPr>
              <w:jc w:val="center"/>
              <w:rPr>
                <w:rFonts w:ascii="Arial" w:hAnsi="Arial" w:cs="Arial"/>
                <w:sz w:val="18"/>
                <w:szCs w:val="2"/>
              </w:rPr>
            </w:pPr>
          </w:p>
        </w:tc>
        <w:tc>
          <w:tcPr>
            <w:tcW w:w="590" w:type="pct"/>
            <w:tcBorders>
              <w:top w:val="single" w:sz="4" w:space="0" w:color="auto"/>
              <w:left w:val="single" w:sz="4" w:space="0" w:color="auto"/>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$15,000</w:t>
            </w:r>
          </w:p>
        </w:tc>
        <w:tc>
          <w:tcPr>
            <w:tcW w:w="25"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25"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83"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r>
      <w:tr w:rsidR="00376768">
        <w:tc>
          <w:tcPr>
            <w:tcW w:w="1213" w:type="pct"/>
            <w:vAlign w:val="center"/>
          </w:tcPr>
          <w:p w:rsidR="00376768" w:rsidRDefault="00EC2B72">
            <w:pPr>
              <w:rPr>
                <w:rFonts w:ascii="Arial" w:hAnsi="Arial" w:cs="Arial"/>
                <w:sz w:val="18"/>
              </w:rPr>
            </w:pPr>
            <w:r>
              <w:rPr>
                <w:rFonts w:ascii="Arial" w:hAnsi="Arial" w:cs="Arial"/>
                <w:sz w:val="18"/>
                <w:szCs w:val="18"/>
              </w:rPr>
              <w:t>SERP</w:t>
            </w:r>
            <w:r>
              <w:rPr>
                <w:rFonts w:ascii="Arial" w:hAnsi="Arial" w:cs="Arial"/>
                <w:b/>
                <w:bCs/>
                <w:sz w:val="18"/>
                <w:szCs w:val="14"/>
                <w:vertAlign w:val="superscript"/>
              </w:rPr>
              <w:t>(4)</w:t>
            </w:r>
          </w:p>
        </w:tc>
        <w:tc>
          <w:tcPr>
            <w:tcW w:w="107" w:type="pct"/>
            <w:tcBorders>
              <w:right w:val="single" w:sz="4" w:space="0" w:color="auto"/>
            </w:tcBorders>
          </w:tcPr>
          <w:p w:rsidR="00376768" w:rsidRDefault="00376768">
            <w:pPr>
              <w:jc w:val="center"/>
              <w:rPr>
                <w:rFonts w:ascii="Arial" w:hAnsi="Arial" w:cs="Arial"/>
                <w:sz w:val="18"/>
                <w:szCs w:val="18"/>
              </w:rPr>
            </w:pPr>
          </w:p>
        </w:tc>
        <w:tc>
          <w:tcPr>
            <w:tcW w:w="543" w:type="pct"/>
            <w:tcBorders>
              <w:top w:val="single" w:sz="4" w:space="0" w:color="auto"/>
              <w:left w:val="single" w:sz="4" w:space="0" w:color="auto"/>
              <w:bottom w:val="single" w:sz="4" w:space="0" w:color="auto"/>
            </w:tcBorders>
          </w:tcPr>
          <w:p w:rsidR="00376768" w:rsidRDefault="00EC2B72">
            <w:pPr>
              <w:jc w:val="center"/>
              <w:rPr>
                <w:rFonts w:ascii="Arial" w:hAnsi="Arial" w:cs="Arial"/>
                <w:sz w:val="18"/>
              </w:rPr>
            </w:pPr>
            <w:r>
              <w:rPr>
                <w:rFonts w:ascii="Arial" w:hAnsi="Arial" w:cs="Arial"/>
                <w:sz w:val="18"/>
                <w:szCs w:val="18"/>
              </w:rPr>
              <w:t>$0</w:t>
            </w:r>
          </w:p>
        </w:tc>
        <w:tc>
          <w:tcPr>
            <w:tcW w:w="36"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36"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24" w:type="pct"/>
            <w:tcBorders>
              <w:top w:val="single" w:sz="4" w:space="0" w:color="auto"/>
              <w:left w:val="nil"/>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$0</w:t>
            </w:r>
          </w:p>
        </w:tc>
        <w:tc>
          <w:tcPr>
            <w:tcW w:w="38"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39"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19" w:type="pct"/>
            <w:tcBorders>
              <w:top w:val="single" w:sz="4" w:space="0" w:color="auto"/>
              <w:left w:val="nil"/>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$0</w:t>
            </w:r>
          </w:p>
        </w:tc>
        <w:tc>
          <w:tcPr>
            <w:tcW w:w="31"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32"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08" w:type="pct"/>
            <w:tcBorders>
              <w:top w:val="single" w:sz="4" w:space="0" w:color="auto"/>
              <w:left w:val="nil"/>
              <w:bottom w:val="single" w:sz="4" w:space="0" w:color="auto"/>
              <w:right w:val="single" w:sz="4" w:space="0" w:color="auto"/>
            </w:tcBorders>
            <w:vAlign w:val="center"/>
          </w:tcPr>
          <w:p w:rsidR="00376768" w:rsidRDefault="00EC2B72">
            <w:pPr>
              <w:jc w:val="center"/>
              <w:rPr>
                <w:rFonts w:ascii="Arial" w:hAnsi="Arial" w:cs="Arial"/>
                <w:sz w:val="18"/>
              </w:rPr>
            </w:pPr>
            <w:r>
              <w:rPr>
                <w:rFonts w:ascii="Arial" w:hAnsi="Arial" w:cs="Arial"/>
                <w:sz w:val="18"/>
                <w:szCs w:val="18"/>
              </w:rPr>
              <w:t>$0</w:t>
            </w:r>
          </w:p>
        </w:tc>
        <w:tc>
          <w:tcPr>
            <w:tcW w:w="151" w:type="pct"/>
            <w:tcBorders>
              <w:left w:val="single" w:sz="4" w:space="0" w:color="auto"/>
              <w:right w:val="single" w:sz="4" w:space="0" w:color="auto"/>
            </w:tcBorders>
          </w:tcPr>
          <w:p w:rsidR="00376768" w:rsidRDefault="00376768">
            <w:pPr>
              <w:jc w:val="center"/>
              <w:rPr>
                <w:rFonts w:ascii="Arial" w:hAnsi="Arial" w:cs="Arial"/>
                <w:sz w:val="18"/>
                <w:szCs w:val="2"/>
              </w:rPr>
            </w:pPr>
          </w:p>
        </w:tc>
        <w:tc>
          <w:tcPr>
            <w:tcW w:w="590" w:type="pct"/>
            <w:tcBorders>
              <w:top w:val="single" w:sz="4" w:space="0" w:color="auto"/>
              <w:left w:val="single" w:sz="4" w:space="0" w:color="auto"/>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$0</w:t>
            </w:r>
          </w:p>
        </w:tc>
        <w:tc>
          <w:tcPr>
            <w:tcW w:w="25"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25"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83"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r>
      <w:tr w:rsidR="00376768">
        <w:tc>
          <w:tcPr>
            <w:tcW w:w="1213" w:type="pct"/>
            <w:vAlign w:val="center"/>
          </w:tcPr>
          <w:p w:rsidR="00376768" w:rsidRDefault="00376768">
            <w:pPr>
              <w:rPr>
                <w:rFonts w:ascii="Arial" w:hAnsi="Arial" w:cs="Arial"/>
                <w:sz w:val="18"/>
              </w:rPr>
            </w:pPr>
          </w:p>
        </w:tc>
        <w:tc>
          <w:tcPr>
            <w:tcW w:w="107" w:type="pct"/>
          </w:tcPr>
          <w:p w:rsidR="00376768" w:rsidRDefault="00376768">
            <w:pPr>
              <w:jc w:val="center"/>
              <w:rPr>
                <w:rFonts w:ascii="Arial" w:hAnsi="Arial" w:cs="Arial"/>
                <w:sz w:val="18"/>
              </w:rPr>
            </w:pPr>
          </w:p>
        </w:tc>
        <w:tc>
          <w:tcPr>
            <w:tcW w:w="543" w:type="pct"/>
            <w:tcBorders>
              <w:top w:val="single" w:sz="4" w:space="0" w:color="auto"/>
            </w:tcBorders>
          </w:tcPr>
          <w:p w:rsidR="00376768" w:rsidRDefault="00376768">
            <w:pPr>
              <w:jc w:val="center"/>
              <w:rPr>
                <w:rFonts w:ascii="Arial" w:hAnsi="Arial" w:cs="Arial"/>
                <w:sz w:val="18"/>
              </w:rPr>
            </w:pPr>
          </w:p>
        </w:tc>
        <w:tc>
          <w:tcPr>
            <w:tcW w:w="36" w:type="pct"/>
            <w:tcBorders>
              <w:top w:val="single" w:sz="4" w:space="0" w:color="auto"/>
            </w:tcBorders>
          </w:tcPr>
          <w:p w:rsidR="00376768" w:rsidRDefault="00376768">
            <w:pPr>
              <w:jc w:val="center"/>
              <w:rPr>
                <w:rFonts w:ascii="Arial" w:hAnsi="Arial" w:cs="Arial"/>
                <w:sz w:val="18"/>
              </w:rPr>
            </w:pPr>
          </w:p>
        </w:tc>
        <w:tc>
          <w:tcPr>
            <w:tcW w:w="36" w:type="pct"/>
            <w:tcBorders>
              <w:top w:val="single" w:sz="4" w:space="0" w:color="auto"/>
            </w:tcBorders>
          </w:tcPr>
          <w:p w:rsidR="00376768" w:rsidRDefault="00376768">
            <w:pPr>
              <w:jc w:val="center"/>
              <w:rPr>
                <w:rFonts w:ascii="Arial" w:hAnsi="Arial" w:cs="Arial"/>
                <w:sz w:val="18"/>
              </w:rPr>
            </w:pPr>
          </w:p>
        </w:tc>
        <w:tc>
          <w:tcPr>
            <w:tcW w:w="524" w:type="pct"/>
            <w:tcBorders>
              <w:top w:val="single" w:sz="4" w:space="0" w:color="auto"/>
            </w:tcBorders>
          </w:tcPr>
          <w:p w:rsidR="00376768" w:rsidRDefault="00376768">
            <w:pPr>
              <w:jc w:val="center"/>
              <w:rPr>
                <w:rFonts w:ascii="Arial" w:hAnsi="Arial" w:cs="Arial"/>
                <w:sz w:val="18"/>
              </w:rPr>
            </w:pPr>
          </w:p>
        </w:tc>
        <w:tc>
          <w:tcPr>
            <w:tcW w:w="38" w:type="pct"/>
            <w:tcBorders>
              <w:top w:val="single" w:sz="4" w:space="0" w:color="auto"/>
            </w:tcBorders>
          </w:tcPr>
          <w:p w:rsidR="00376768" w:rsidRDefault="00376768">
            <w:pPr>
              <w:jc w:val="center"/>
              <w:rPr>
                <w:rFonts w:ascii="Arial" w:hAnsi="Arial" w:cs="Arial"/>
                <w:sz w:val="18"/>
              </w:rPr>
            </w:pPr>
          </w:p>
        </w:tc>
        <w:tc>
          <w:tcPr>
            <w:tcW w:w="39" w:type="pct"/>
            <w:tcBorders>
              <w:top w:val="single" w:sz="4" w:space="0" w:color="auto"/>
            </w:tcBorders>
          </w:tcPr>
          <w:p w:rsidR="00376768" w:rsidRDefault="00376768">
            <w:pPr>
              <w:jc w:val="center"/>
              <w:rPr>
                <w:rFonts w:ascii="Arial" w:hAnsi="Arial" w:cs="Arial"/>
                <w:sz w:val="18"/>
              </w:rPr>
            </w:pPr>
          </w:p>
        </w:tc>
        <w:tc>
          <w:tcPr>
            <w:tcW w:w="519" w:type="pct"/>
            <w:tcBorders>
              <w:top w:val="single" w:sz="4" w:space="0" w:color="auto"/>
            </w:tcBorders>
          </w:tcPr>
          <w:p w:rsidR="00376768" w:rsidRDefault="00376768">
            <w:pPr>
              <w:jc w:val="center"/>
              <w:rPr>
                <w:rFonts w:ascii="Arial" w:hAnsi="Arial" w:cs="Arial"/>
                <w:sz w:val="18"/>
              </w:rPr>
            </w:pPr>
          </w:p>
        </w:tc>
        <w:tc>
          <w:tcPr>
            <w:tcW w:w="31" w:type="pct"/>
            <w:tcBorders>
              <w:top w:val="single" w:sz="4" w:space="0" w:color="auto"/>
            </w:tcBorders>
          </w:tcPr>
          <w:p w:rsidR="00376768" w:rsidRDefault="00376768">
            <w:pPr>
              <w:jc w:val="center"/>
              <w:rPr>
                <w:rFonts w:ascii="Arial" w:hAnsi="Arial" w:cs="Arial"/>
                <w:sz w:val="18"/>
              </w:rPr>
            </w:pPr>
          </w:p>
        </w:tc>
        <w:tc>
          <w:tcPr>
            <w:tcW w:w="32" w:type="pct"/>
            <w:tcBorders>
              <w:top w:val="single" w:sz="4" w:space="0" w:color="auto"/>
            </w:tcBorders>
          </w:tcPr>
          <w:p w:rsidR="00376768" w:rsidRDefault="00376768">
            <w:pPr>
              <w:jc w:val="center"/>
              <w:rPr>
                <w:rFonts w:ascii="Arial" w:hAnsi="Arial" w:cs="Arial"/>
                <w:sz w:val="18"/>
              </w:rPr>
            </w:pPr>
          </w:p>
        </w:tc>
        <w:tc>
          <w:tcPr>
            <w:tcW w:w="508" w:type="pct"/>
            <w:tcBorders>
              <w:top w:val="single" w:sz="4" w:space="0" w:color="auto"/>
            </w:tcBorders>
          </w:tcPr>
          <w:p w:rsidR="00376768" w:rsidRDefault="00376768">
            <w:pPr>
              <w:jc w:val="center"/>
              <w:rPr>
                <w:rFonts w:ascii="Arial" w:hAnsi="Arial" w:cs="Arial"/>
                <w:sz w:val="18"/>
              </w:rPr>
            </w:pPr>
          </w:p>
        </w:tc>
        <w:tc>
          <w:tcPr>
            <w:tcW w:w="151" w:type="pct"/>
          </w:tcPr>
          <w:p w:rsidR="00376768" w:rsidRDefault="00376768">
            <w:pPr>
              <w:jc w:val="center"/>
              <w:rPr>
                <w:rFonts w:ascii="Arial" w:hAnsi="Arial" w:cs="Arial"/>
                <w:sz w:val="18"/>
              </w:rPr>
            </w:pPr>
          </w:p>
        </w:tc>
        <w:tc>
          <w:tcPr>
            <w:tcW w:w="590" w:type="pct"/>
            <w:tcBorders>
              <w:top w:val="single" w:sz="4" w:space="0" w:color="auto"/>
            </w:tcBorders>
          </w:tcPr>
          <w:p w:rsidR="00376768" w:rsidRDefault="00376768">
            <w:pPr>
              <w:jc w:val="center"/>
              <w:rPr>
                <w:rFonts w:ascii="Arial" w:hAnsi="Arial" w:cs="Arial"/>
                <w:sz w:val="18"/>
              </w:rPr>
            </w:pPr>
          </w:p>
        </w:tc>
        <w:tc>
          <w:tcPr>
            <w:tcW w:w="25" w:type="pct"/>
            <w:tcBorders>
              <w:top w:val="single" w:sz="4" w:space="0" w:color="auto"/>
            </w:tcBorders>
          </w:tcPr>
          <w:p w:rsidR="00376768" w:rsidRDefault="00376768">
            <w:pPr>
              <w:jc w:val="center"/>
              <w:rPr>
                <w:rFonts w:ascii="Arial" w:hAnsi="Arial" w:cs="Arial"/>
                <w:sz w:val="18"/>
              </w:rPr>
            </w:pPr>
          </w:p>
        </w:tc>
        <w:tc>
          <w:tcPr>
            <w:tcW w:w="25" w:type="pct"/>
            <w:tcBorders>
              <w:top w:val="single" w:sz="4" w:space="0" w:color="auto"/>
            </w:tcBorders>
          </w:tcPr>
          <w:p w:rsidR="00376768" w:rsidRDefault="00376768">
            <w:pPr>
              <w:jc w:val="center"/>
              <w:rPr>
                <w:rFonts w:ascii="Arial" w:hAnsi="Arial" w:cs="Arial"/>
                <w:sz w:val="18"/>
              </w:rPr>
            </w:pPr>
          </w:p>
        </w:tc>
        <w:tc>
          <w:tcPr>
            <w:tcW w:w="583" w:type="pct"/>
            <w:tcBorders>
              <w:top w:val="single" w:sz="4" w:space="0" w:color="auto"/>
            </w:tcBorders>
          </w:tcPr>
          <w:p w:rsidR="00376768" w:rsidRDefault="00376768">
            <w:pPr>
              <w:jc w:val="center"/>
              <w:rPr>
                <w:rFonts w:ascii="Arial" w:hAnsi="Arial" w:cs="Arial"/>
                <w:sz w:val="18"/>
              </w:rPr>
            </w:pPr>
          </w:p>
        </w:tc>
      </w:tr>
      <w:tr w:rsidR="00376768">
        <w:tc>
          <w:tcPr>
            <w:tcW w:w="1213" w:type="pct"/>
            <w:vAlign w:val="center"/>
          </w:tcPr>
          <w:p w:rsidR="00376768" w:rsidRDefault="00EC2B72">
            <w:pPr>
              <w:jc w:val="center"/>
              <w:rPr>
                <w:rFonts w:ascii="Arial" w:hAnsi="Arial" w:cs="Arial"/>
                <w:sz w:val="18"/>
              </w:rPr>
            </w:pPr>
            <w:r>
              <w:rPr>
                <w:rFonts w:ascii="Arial" w:hAnsi="Arial" w:cs="Arial"/>
                <w:b/>
                <w:bCs/>
                <w:sz w:val="18"/>
                <w:szCs w:val="18"/>
              </w:rPr>
              <w:t>Totals</w:t>
            </w:r>
          </w:p>
        </w:tc>
        <w:tc>
          <w:tcPr>
            <w:tcW w:w="107" w:type="pct"/>
          </w:tcPr>
          <w:p w:rsidR="00376768" w:rsidRDefault="00376768">
            <w:pPr>
              <w:jc w:val="center"/>
              <w:rPr>
                <w:rFonts w:ascii="Arial" w:hAnsi="Arial" w:cs="Arial"/>
                <w:b/>
                <w:bCs/>
                <w:sz w:val="18"/>
                <w:szCs w:val="18"/>
              </w:rPr>
            </w:pPr>
          </w:p>
        </w:tc>
        <w:tc>
          <w:tcPr>
            <w:tcW w:w="543" w:type="pct"/>
            <w:tcBorders>
              <w:bottom w:val="double" w:sz="4" w:space="0" w:color="auto"/>
            </w:tcBorders>
          </w:tcPr>
          <w:p w:rsidR="00376768" w:rsidRDefault="00EC2B72">
            <w:pPr>
              <w:jc w:val="center"/>
              <w:rPr>
                <w:rFonts w:ascii="Arial" w:hAnsi="Arial" w:cs="Arial"/>
                <w:sz w:val="18"/>
              </w:rPr>
            </w:pPr>
            <w:r>
              <w:rPr>
                <w:rFonts w:ascii="Arial" w:hAnsi="Arial" w:cs="Arial"/>
                <w:b/>
                <w:bCs/>
                <w:sz w:val="18"/>
                <w:szCs w:val="18"/>
              </w:rPr>
              <w:t>$0</w:t>
            </w:r>
          </w:p>
        </w:tc>
        <w:tc>
          <w:tcPr>
            <w:tcW w:w="36" w:type="pct"/>
          </w:tcPr>
          <w:p w:rsidR="00376768" w:rsidRDefault="00376768">
            <w:pPr>
              <w:jc w:val="center"/>
              <w:rPr>
                <w:rFonts w:ascii="Arial" w:hAnsi="Arial" w:cs="Arial"/>
                <w:sz w:val="18"/>
              </w:rPr>
            </w:pPr>
          </w:p>
        </w:tc>
        <w:tc>
          <w:tcPr>
            <w:tcW w:w="36" w:type="pct"/>
          </w:tcPr>
          <w:p w:rsidR="00376768" w:rsidRDefault="00376768">
            <w:pPr>
              <w:jc w:val="center"/>
              <w:rPr>
                <w:rFonts w:ascii="Arial" w:hAnsi="Arial" w:cs="Arial"/>
                <w:sz w:val="18"/>
              </w:rPr>
            </w:pPr>
          </w:p>
        </w:tc>
        <w:tc>
          <w:tcPr>
            <w:tcW w:w="524" w:type="pct"/>
            <w:tcBorders>
              <w:bottom w:val="double" w:sz="4" w:space="0" w:color="auto"/>
            </w:tcBorders>
          </w:tcPr>
          <w:p w:rsidR="00376768" w:rsidRDefault="00EC2B72">
            <w:pPr>
              <w:jc w:val="center"/>
              <w:rPr>
                <w:rFonts w:ascii="Arial" w:hAnsi="Arial" w:cs="Arial"/>
                <w:sz w:val="18"/>
              </w:rPr>
            </w:pPr>
            <w:r>
              <w:rPr>
                <w:rFonts w:ascii="Arial" w:hAnsi="Arial" w:cs="Arial"/>
                <w:b/>
                <w:bCs/>
                <w:sz w:val="18"/>
                <w:szCs w:val="18"/>
              </w:rPr>
              <w:t>$169,909</w:t>
            </w:r>
          </w:p>
        </w:tc>
        <w:tc>
          <w:tcPr>
            <w:tcW w:w="38" w:type="pct"/>
          </w:tcPr>
          <w:p w:rsidR="00376768" w:rsidRDefault="00376768">
            <w:pPr>
              <w:jc w:val="center"/>
              <w:rPr>
                <w:rFonts w:ascii="Arial" w:hAnsi="Arial" w:cs="Arial"/>
                <w:sz w:val="18"/>
              </w:rPr>
            </w:pPr>
          </w:p>
        </w:tc>
        <w:tc>
          <w:tcPr>
            <w:tcW w:w="39" w:type="pct"/>
          </w:tcPr>
          <w:p w:rsidR="00376768" w:rsidRDefault="00376768">
            <w:pPr>
              <w:jc w:val="center"/>
              <w:rPr>
                <w:rFonts w:ascii="Arial" w:hAnsi="Arial" w:cs="Arial"/>
                <w:sz w:val="18"/>
              </w:rPr>
            </w:pPr>
          </w:p>
        </w:tc>
        <w:tc>
          <w:tcPr>
            <w:tcW w:w="519" w:type="pct"/>
            <w:tcBorders>
              <w:bottom w:val="double" w:sz="4" w:space="0" w:color="auto"/>
            </w:tcBorders>
          </w:tcPr>
          <w:p w:rsidR="00376768" w:rsidRDefault="00EC2B72">
            <w:pPr>
              <w:jc w:val="center"/>
              <w:rPr>
                <w:rFonts w:ascii="Arial" w:hAnsi="Arial" w:cs="Arial"/>
                <w:sz w:val="18"/>
              </w:rPr>
            </w:pPr>
            <w:r>
              <w:rPr>
                <w:rFonts w:ascii="Arial" w:hAnsi="Arial" w:cs="Arial"/>
                <w:b/>
                <w:bCs/>
                <w:sz w:val="18"/>
                <w:szCs w:val="18"/>
              </w:rPr>
              <w:t>$169,909</w:t>
            </w:r>
          </w:p>
        </w:tc>
        <w:tc>
          <w:tcPr>
            <w:tcW w:w="31" w:type="pct"/>
          </w:tcPr>
          <w:p w:rsidR="00376768" w:rsidRDefault="00376768">
            <w:pPr>
              <w:jc w:val="center"/>
              <w:rPr>
                <w:rFonts w:ascii="Arial" w:hAnsi="Arial" w:cs="Arial"/>
                <w:sz w:val="18"/>
              </w:rPr>
            </w:pPr>
          </w:p>
        </w:tc>
        <w:tc>
          <w:tcPr>
            <w:tcW w:w="32" w:type="pct"/>
          </w:tcPr>
          <w:p w:rsidR="00376768" w:rsidRDefault="00376768">
            <w:pPr>
              <w:jc w:val="center"/>
              <w:rPr>
                <w:rFonts w:ascii="Arial" w:hAnsi="Arial" w:cs="Arial"/>
                <w:sz w:val="18"/>
              </w:rPr>
            </w:pPr>
          </w:p>
        </w:tc>
        <w:tc>
          <w:tcPr>
            <w:tcW w:w="508" w:type="pct"/>
            <w:tcBorders>
              <w:bottom w:val="double" w:sz="4" w:space="0" w:color="auto"/>
            </w:tcBorders>
          </w:tcPr>
          <w:p w:rsidR="00376768" w:rsidRDefault="00EC2B72">
            <w:pPr>
              <w:jc w:val="center"/>
              <w:rPr>
                <w:rFonts w:ascii="Arial" w:hAnsi="Arial" w:cs="Arial"/>
                <w:sz w:val="18"/>
              </w:rPr>
            </w:pPr>
            <w:r>
              <w:rPr>
                <w:rFonts w:ascii="Arial" w:hAnsi="Arial" w:cs="Arial"/>
                <w:b/>
                <w:bCs/>
                <w:sz w:val="18"/>
                <w:szCs w:val="18"/>
              </w:rPr>
              <w:t>$169,909</w:t>
            </w:r>
          </w:p>
        </w:tc>
        <w:tc>
          <w:tcPr>
            <w:tcW w:w="151" w:type="pct"/>
          </w:tcPr>
          <w:p w:rsidR="00376768" w:rsidRDefault="00376768">
            <w:pPr>
              <w:jc w:val="center"/>
              <w:rPr>
                <w:rFonts w:ascii="Arial" w:hAnsi="Arial" w:cs="Arial"/>
                <w:sz w:val="18"/>
                <w:szCs w:val="2"/>
              </w:rPr>
            </w:pPr>
          </w:p>
        </w:tc>
        <w:tc>
          <w:tcPr>
            <w:tcW w:w="590" w:type="pct"/>
            <w:tcBorders>
              <w:bottom w:val="double" w:sz="4" w:space="0" w:color="auto"/>
            </w:tcBorders>
          </w:tcPr>
          <w:p w:rsidR="00376768" w:rsidRDefault="00EC2B72">
            <w:pPr>
              <w:jc w:val="center"/>
              <w:rPr>
                <w:rFonts w:ascii="Arial" w:hAnsi="Arial" w:cs="Arial"/>
                <w:sz w:val="18"/>
              </w:rPr>
            </w:pPr>
            <w:r>
              <w:rPr>
                <w:rFonts w:ascii="Arial" w:hAnsi="Arial" w:cs="Arial"/>
                <w:b/>
                <w:bCs/>
                <w:sz w:val="18"/>
                <w:szCs w:val="18"/>
              </w:rPr>
              <w:t>$888,691</w:t>
            </w:r>
          </w:p>
        </w:tc>
        <w:tc>
          <w:tcPr>
            <w:tcW w:w="25" w:type="pct"/>
          </w:tcPr>
          <w:p w:rsidR="00376768" w:rsidRDefault="00376768">
            <w:pPr>
              <w:jc w:val="center"/>
              <w:rPr>
                <w:rFonts w:ascii="Arial" w:hAnsi="Arial" w:cs="Arial"/>
                <w:sz w:val="18"/>
              </w:rPr>
            </w:pPr>
          </w:p>
        </w:tc>
        <w:tc>
          <w:tcPr>
            <w:tcW w:w="25" w:type="pct"/>
          </w:tcPr>
          <w:p w:rsidR="00376768" w:rsidRDefault="00376768">
            <w:pPr>
              <w:jc w:val="center"/>
              <w:rPr>
                <w:rFonts w:ascii="Arial" w:hAnsi="Arial" w:cs="Arial"/>
                <w:sz w:val="18"/>
              </w:rPr>
            </w:pPr>
          </w:p>
        </w:tc>
        <w:tc>
          <w:tcPr>
            <w:tcW w:w="583" w:type="pct"/>
            <w:tcBorders>
              <w:bottom w:val="double" w:sz="4" w:space="0" w:color="auto"/>
            </w:tcBorders>
          </w:tcPr>
          <w:p w:rsidR="00376768" w:rsidRDefault="00EC2B72">
            <w:pPr>
              <w:jc w:val="center"/>
              <w:rPr>
                <w:rFonts w:ascii="Arial" w:hAnsi="Arial" w:cs="Arial"/>
                <w:sz w:val="18"/>
              </w:rPr>
            </w:pPr>
            <w:r>
              <w:rPr>
                <w:rFonts w:ascii="Arial" w:hAnsi="Arial" w:cs="Arial"/>
                <w:b/>
                <w:bCs/>
                <w:sz w:val="18"/>
                <w:szCs w:val="18"/>
              </w:rPr>
              <w:t>$120,007</w:t>
            </w:r>
          </w:p>
        </w:tc>
      </w:tr>
    </w:tbl>
    <w:p w:rsidR="00376768" w:rsidRDefault="00376768">
      <w:pPr>
        <w:rPr>
          <w:rFonts w:ascii="Arial" w:hAnsi="Arial" w:cs="Arial"/>
          <w:sz w:val="2"/>
        </w:rPr>
      </w:pPr>
    </w:p>
    <w:tbl>
      <w:tblPr>
        <w:tblW w:w="5000" w:type="pct"/>
        <w:tblLayout w:type="fixed"/>
        <w:tblCellMar>
          <w:left w:w="0" w:type="dxa"/>
          <w:right w:w="0" w:type="dxa"/>
        </w:tblCellMar>
        <w:tblLook w:val="0000" w:firstRow="0" w:lastRow="0" w:firstColumn="0" w:lastColumn="0" w:noHBand="0" w:noVBand="0"/>
      </w:tblPr>
      <w:tblGrid>
        <w:gridCol w:w="2621"/>
        <w:gridCol w:w="231"/>
        <w:gridCol w:w="1173"/>
        <w:gridCol w:w="78"/>
        <w:gridCol w:w="78"/>
        <w:gridCol w:w="1132"/>
        <w:gridCol w:w="82"/>
        <w:gridCol w:w="84"/>
        <w:gridCol w:w="1121"/>
        <w:gridCol w:w="67"/>
        <w:gridCol w:w="69"/>
        <w:gridCol w:w="1097"/>
        <w:gridCol w:w="326"/>
        <w:gridCol w:w="1274"/>
        <w:gridCol w:w="54"/>
        <w:gridCol w:w="54"/>
        <w:gridCol w:w="1259"/>
      </w:tblGrid>
      <w:tr w:rsidR="00376768">
        <w:tc>
          <w:tcPr>
            <w:tcW w:w="1213" w:type="pct"/>
          </w:tcPr>
          <w:p w:rsidR="00376768" w:rsidRDefault="00376768">
            <w:pPr>
              <w:rPr>
                <w:rFonts w:ascii="Arial" w:hAnsi="Arial" w:cs="Arial"/>
                <w:sz w:val="18"/>
                <w:szCs w:val="16"/>
              </w:rPr>
            </w:pPr>
          </w:p>
        </w:tc>
        <w:tc>
          <w:tcPr>
            <w:tcW w:w="107" w:type="pct"/>
          </w:tcPr>
          <w:p w:rsidR="00376768" w:rsidRDefault="00376768">
            <w:pPr>
              <w:jc w:val="center"/>
              <w:rPr>
                <w:rFonts w:ascii="Arial" w:hAnsi="Arial" w:cs="Arial"/>
                <w:sz w:val="18"/>
                <w:szCs w:val="16"/>
              </w:rPr>
            </w:pPr>
          </w:p>
        </w:tc>
        <w:tc>
          <w:tcPr>
            <w:tcW w:w="543" w:type="pct"/>
          </w:tcPr>
          <w:p w:rsidR="00376768" w:rsidRDefault="00376768">
            <w:pPr>
              <w:jc w:val="center"/>
              <w:rPr>
                <w:rFonts w:ascii="Arial" w:hAnsi="Arial" w:cs="Arial"/>
                <w:sz w:val="18"/>
                <w:szCs w:val="16"/>
              </w:rPr>
            </w:pPr>
          </w:p>
        </w:tc>
        <w:tc>
          <w:tcPr>
            <w:tcW w:w="36" w:type="pct"/>
          </w:tcPr>
          <w:p w:rsidR="00376768" w:rsidRDefault="00376768">
            <w:pPr>
              <w:jc w:val="center"/>
              <w:rPr>
                <w:rFonts w:ascii="Arial" w:hAnsi="Arial" w:cs="Arial"/>
                <w:sz w:val="18"/>
                <w:szCs w:val="16"/>
              </w:rPr>
            </w:pPr>
          </w:p>
        </w:tc>
        <w:tc>
          <w:tcPr>
            <w:tcW w:w="36" w:type="pct"/>
          </w:tcPr>
          <w:p w:rsidR="00376768" w:rsidRDefault="00376768">
            <w:pPr>
              <w:jc w:val="center"/>
              <w:rPr>
                <w:rFonts w:ascii="Arial" w:hAnsi="Arial" w:cs="Arial"/>
                <w:sz w:val="18"/>
                <w:szCs w:val="16"/>
              </w:rPr>
            </w:pPr>
          </w:p>
        </w:tc>
        <w:tc>
          <w:tcPr>
            <w:tcW w:w="524" w:type="pct"/>
          </w:tcPr>
          <w:p w:rsidR="00376768" w:rsidRDefault="00376768">
            <w:pPr>
              <w:jc w:val="center"/>
              <w:rPr>
                <w:rFonts w:ascii="Arial" w:hAnsi="Arial" w:cs="Arial"/>
                <w:sz w:val="18"/>
                <w:szCs w:val="16"/>
              </w:rPr>
            </w:pPr>
          </w:p>
        </w:tc>
        <w:tc>
          <w:tcPr>
            <w:tcW w:w="77" w:type="pct"/>
            <w:gridSpan w:val="2"/>
          </w:tcPr>
          <w:p w:rsidR="00376768" w:rsidRDefault="00376768">
            <w:pPr>
              <w:jc w:val="center"/>
              <w:rPr>
                <w:rFonts w:ascii="Arial" w:hAnsi="Arial" w:cs="Arial"/>
                <w:sz w:val="18"/>
                <w:szCs w:val="16"/>
              </w:rPr>
            </w:pPr>
          </w:p>
        </w:tc>
        <w:tc>
          <w:tcPr>
            <w:tcW w:w="519" w:type="pct"/>
          </w:tcPr>
          <w:p w:rsidR="00376768" w:rsidRDefault="00376768">
            <w:pPr>
              <w:jc w:val="center"/>
              <w:rPr>
                <w:rFonts w:ascii="Arial" w:hAnsi="Arial" w:cs="Arial"/>
                <w:sz w:val="18"/>
                <w:szCs w:val="16"/>
              </w:rPr>
            </w:pPr>
          </w:p>
        </w:tc>
        <w:tc>
          <w:tcPr>
            <w:tcW w:w="63" w:type="pct"/>
            <w:gridSpan w:val="2"/>
          </w:tcPr>
          <w:p w:rsidR="00376768" w:rsidRDefault="00376768">
            <w:pPr>
              <w:jc w:val="center"/>
              <w:rPr>
                <w:rFonts w:ascii="Arial" w:hAnsi="Arial" w:cs="Arial"/>
                <w:sz w:val="18"/>
                <w:szCs w:val="16"/>
              </w:rPr>
            </w:pPr>
          </w:p>
        </w:tc>
        <w:tc>
          <w:tcPr>
            <w:tcW w:w="508" w:type="pct"/>
          </w:tcPr>
          <w:p w:rsidR="00376768" w:rsidRDefault="00376768">
            <w:pPr>
              <w:jc w:val="center"/>
              <w:rPr>
                <w:rFonts w:ascii="Arial" w:hAnsi="Arial" w:cs="Arial"/>
                <w:sz w:val="18"/>
                <w:szCs w:val="16"/>
              </w:rPr>
            </w:pPr>
          </w:p>
        </w:tc>
        <w:tc>
          <w:tcPr>
            <w:tcW w:w="151" w:type="pct"/>
          </w:tcPr>
          <w:p w:rsidR="00376768" w:rsidRDefault="00376768">
            <w:pPr>
              <w:jc w:val="center"/>
              <w:rPr>
                <w:rFonts w:ascii="Arial" w:hAnsi="Arial" w:cs="Arial"/>
                <w:sz w:val="18"/>
                <w:szCs w:val="16"/>
              </w:rPr>
            </w:pPr>
          </w:p>
        </w:tc>
        <w:tc>
          <w:tcPr>
            <w:tcW w:w="590" w:type="pct"/>
          </w:tcPr>
          <w:p w:rsidR="00376768" w:rsidRDefault="00376768">
            <w:pPr>
              <w:jc w:val="center"/>
              <w:rPr>
                <w:rFonts w:ascii="Arial" w:hAnsi="Arial" w:cs="Arial"/>
                <w:sz w:val="18"/>
                <w:szCs w:val="16"/>
              </w:rPr>
            </w:pPr>
          </w:p>
        </w:tc>
        <w:tc>
          <w:tcPr>
            <w:tcW w:w="50" w:type="pct"/>
            <w:gridSpan w:val="2"/>
          </w:tcPr>
          <w:p w:rsidR="00376768" w:rsidRDefault="00376768">
            <w:pPr>
              <w:jc w:val="center"/>
              <w:rPr>
                <w:rFonts w:ascii="Arial" w:hAnsi="Arial" w:cs="Arial"/>
                <w:sz w:val="18"/>
                <w:szCs w:val="16"/>
              </w:rPr>
            </w:pPr>
          </w:p>
        </w:tc>
        <w:tc>
          <w:tcPr>
            <w:tcW w:w="583" w:type="pct"/>
          </w:tcPr>
          <w:p w:rsidR="00376768" w:rsidRDefault="00376768">
            <w:pPr>
              <w:jc w:val="center"/>
              <w:rPr>
                <w:rFonts w:ascii="Arial" w:hAnsi="Arial" w:cs="Arial"/>
                <w:sz w:val="18"/>
                <w:szCs w:val="16"/>
              </w:rPr>
            </w:pPr>
          </w:p>
        </w:tc>
      </w:tr>
      <w:tr w:rsidR="00376768">
        <w:tc>
          <w:tcPr>
            <w:tcW w:w="1213" w:type="pct"/>
            <w:tcBorders>
              <w:bottom w:val="single" w:sz="4" w:space="0" w:color="auto"/>
            </w:tcBorders>
          </w:tcPr>
          <w:p w:rsidR="00376768" w:rsidRDefault="00EC2B72">
            <w:pPr>
              <w:rPr>
                <w:rFonts w:ascii="Arial" w:hAnsi="Arial" w:cs="Arial"/>
                <w:sz w:val="18"/>
                <w:szCs w:val="16"/>
              </w:rPr>
            </w:pPr>
            <w:r>
              <w:rPr>
                <w:rFonts w:ascii="Arial" w:hAnsi="Arial" w:cs="Arial"/>
                <w:b/>
                <w:bCs/>
                <w:sz w:val="18"/>
                <w:szCs w:val="18"/>
              </w:rPr>
              <w:t>Christopher T. Scanlon</w:t>
            </w:r>
            <w:r>
              <w:rPr>
                <w:rFonts w:ascii="Arial" w:hAnsi="Arial" w:cs="Arial"/>
                <w:sz w:val="18"/>
                <w:szCs w:val="14"/>
                <w:vertAlign w:val="superscript"/>
              </w:rPr>
              <w:t>(7)</w:t>
            </w:r>
          </w:p>
        </w:tc>
        <w:tc>
          <w:tcPr>
            <w:tcW w:w="107" w:type="pct"/>
          </w:tcPr>
          <w:p w:rsidR="00376768" w:rsidRDefault="00376768">
            <w:pPr>
              <w:jc w:val="center"/>
              <w:rPr>
                <w:rFonts w:ascii="Arial" w:hAnsi="Arial" w:cs="Arial"/>
                <w:sz w:val="18"/>
                <w:szCs w:val="16"/>
              </w:rPr>
            </w:pPr>
          </w:p>
        </w:tc>
        <w:tc>
          <w:tcPr>
            <w:tcW w:w="2306" w:type="pct"/>
            <w:gridSpan w:val="10"/>
            <w:tcBorders>
              <w:bottom w:val="single" w:sz="4" w:space="0" w:color="auto"/>
            </w:tcBorders>
          </w:tcPr>
          <w:p w:rsidR="00376768" w:rsidRDefault="00EC2B72">
            <w:pPr>
              <w:jc w:val="center"/>
              <w:rPr>
                <w:rFonts w:ascii="Arial" w:hAnsi="Arial" w:cs="Arial"/>
                <w:sz w:val="18"/>
                <w:szCs w:val="16"/>
              </w:rPr>
            </w:pPr>
            <w:r>
              <w:rPr>
                <w:rFonts w:ascii="Arial" w:hAnsi="Arial" w:cs="Arial"/>
                <w:sz w:val="18"/>
                <w:szCs w:val="18"/>
              </w:rPr>
              <w:t>Non-Change-in-Control</w:t>
            </w:r>
          </w:p>
        </w:tc>
        <w:tc>
          <w:tcPr>
            <w:tcW w:w="151" w:type="pct"/>
          </w:tcPr>
          <w:p w:rsidR="00376768" w:rsidRDefault="00376768">
            <w:pPr>
              <w:jc w:val="center"/>
              <w:rPr>
                <w:rFonts w:ascii="Arial" w:hAnsi="Arial" w:cs="Arial"/>
                <w:sz w:val="18"/>
                <w:szCs w:val="16"/>
              </w:rPr>
            </w:pPr>
          </w:p>
        </w:tc>
        <w:tc>
          <w:tcPr>
            <w:tcW w:w="1223" w:type="pct"/>
            <w:gridSpan w:val="4"/>
            <w:tcBorders>
              <w:bottom w:val="single" w:sz="4" w:space="0" w:color="auto"/>
            </w:tcBorders>
          </w:tcPr>
          <w:p w:rsidR="00376768" w:rsidRDefault="00EC2B72">
            <w:pPr>
              <w:jc w:val="center"/>
              <w:rPr>
                <w:rFonts w:ascii="Arial" w:hAnsi="Arial" w:cs="Arial"/>
                <w:sz w:val="18"/>
                <w:szCs w:val="16"/>
              </w:rPr>
            </w:pPr>
            <w:r>
              <w:rPr>
                <w:rFonts w:ascii="Arial" w:hAnsi="Arial" w:cs="Arial"/>
                <w:sz w:val="18"/>
                <w:szCs w:val="18"/>
              </w:rPr>
              <w:t>Change-in-Control</w:t>
            </w:r>
          </w:p>
        </w:tc>
      </w:tr>
      <w:tr w:rsidR="00376768">
        <w:tc>
          <w:tcPr>
            <w:tcW w:w="1213" w:type="pct"/>
            <w:tcBorders>
              <w:top w:val="single" w:sz="4" w:space="0" w:color="auto"/>
            </w:tcBorders>
            <w:vAlign w:val="center"/>
          </w:tcPr>
          <w:p w:rsidR="00376768" w:rsidRDefault="00EC2B72">
            <w:pPr>
              <w:rPr>
                <w:rFonts w:ascii="Arial" w:hAnsi="Arial" w:cs="Arial"/>
                <w:sz w:val="18"/>
                <w:szCs w:val="16"/>
              </w:rPr>
            </w:pPr>
            <w:r>
              <w:rPr>
                <w:rFonts w:ascii="Arial" w:hAnsi="Arial" w:cs="Arial"/>
                <w:sz w:val="18"/>
                <w:szCs w:val="18"/>
                <w:u w:val="single"/>
              </w:rPr>
              <w:t>NEO - Payments and Benefits</w:t>
            </w:r>
          </w:p>
        </w:tc>
        <w:tc>
          <w:tcPr>
            <w:tcW w:w="107" w:type="pct"/>
            <w:tcBorders>
              <w:right w:val="single" w:sz="4" w:space="0" w:color="auto"/>
            </w:tcBorders>
          </w:tcPr>
          <w:p w:rsidR="00376768" w:rsidRDefault="00376768">
            <w:pPr>
              <w:jc w:val="center"/>
              <w:rPr>
                <w:rFonts w:ascii="Arial" w:hAnsi="Arial" w:cs="Arial"/>
                <w:sz w:val="18"/>
                <w:szCs w:val="16"/>
              </w:rPr>
            </w:pPr>
          </w:p>
        </w:tc>
        <w:tc>
          <w:tcPr>
            <w:tcW w:w="543" w:type="pct"/>
            <w:tcBorders>
              <w:top w:val="single" w:sz="4" w:space="0" w:color="auto"/>
              <w:left w:val="single" w:sz="4" w:space="0" w:color="auto"/>
              <w:bottom w:val="single" w:sz="4" w:space="0" w:color="auto"/>
            </w:tcBorders>
            <w:vAlign w:val="center"/>
          </w:tcPr>
          <w:p w:rsidR="00376768" w:rsidRDefault="00EC2B72">
            <w:pPr>
              <w:jc w:val="center"/>
              <w:rPr>
                <w:rFonts w:ascii="Arial" w:hAnsi="Arial" w:cs="Arial"/>
                <w:sz w:val="18"/>
                <w:szCs w:val="16"/>
              </w:rPr>
            </w:pPr>
            <w:r>
              <w:rPr>
                <w:rFonts w:ascii="Arial" w:hAnsi="Arial" w:cs="Arial"/>
                <w:sz w:val="18"/>
                <w:szCs w:val="18"/>
              </w:rPr>
              <w:t xml:space="preserve">By Company </w:t>
            </w:r>
            <w:r>
              <w:rPr>
                <w:rFonts w:ascii="Arial" w:hAnsi="Arial" w:cs="Arial"/>
                <w:sz w:val="18"/>
                <w:szCs w:val="18"/>
              </w:rPr>
              <w:br/>
              <w:t xml:space="preserve">without </w:t>
            </w:r>
            <w:r>
              <w:rPr>
                <w:rFonts w:ascii="Arial" w:hAnsi="Arial" w:cs="Arial"/>
                <w:sz w:val="18"/>
                <w:szCs w:val="18"/>
              </w:rPr>
              <w:br/>
              <w:t xml:space="preserve">Cause or by </w:t>
            </w:r>
            <w:r>
              <w:rPr>
                <w:rFonts w:ascii="Arial" w:hAnsi="Arial" w:cs="Arial"/>
                <w:sz w:val="18"/>
                <w:szCs w:val="18"/>
              </w:rPr>
              <w:br/>
              <w:t xml:space="preserve">Executive for </w:t>
            </w:r>
            <w:r>
              <w:rPr>
                <w:rFonts w:ascii="Arial" w:hAnsi="Arial" w:cs="Arial"/>
                <w:sz w:val="18"/>
                <w:szCs w:val="18"/>
              </w:rPr>
              <w:br/>
              <w:t>Good Reason</w:t>
            </w:r>
          </w:p>
        </w:tc>
        <w:tc>
          <w:tcPr>
            <w:tcW w:w="36" w:type="pct"/>
            <w:tcBorders>
              <w:top w:val="single" w:sz="4" w:space="0" w:color="auto"/>
              <w:left w:val="nil"/>
              <w:bottom w:val="single" w:sz="4" w:space="0" w:color="auto"/>
              <w:right w:val="single" w:sz="4" w:space="0" w:color="auto"/>
            </w:tcBorders>
            <w:vAlign w:val="center"/>
          </w:tcPr>
          <w:p w:rsidR="00376768" w:rsidRDefault="00376768">
            <w:pPr>
              <w:jc w:val="center"/>
              <w:rPr>
                <w:rFonts w:ascii="Arial" w:hAnsi="Arial" w:cs="Arial"/>
                <w:sz w:val="18"/>
                <w:szCs w:val="16"/>
              </w:rPr>
            </w:pPr>
          </w:p>
        </w:tc>
        <w:tc>
          <w:tcPr>
            <w:tcW w:w="36" w:type="pct"/>
            <w:tcBorders>
              <w:top w:val="single" w:sz="4" w:space="0" w:color="auto"/>
              <w:left w:val="nil"/>
              <w:bottom w:val="single" w:sz="4" w:space="0" w:color="auto"/>
            </w:tcBorders>
            <w:vAlign w:val="center"/>
          </w:tcPr>
          <w:p w:rsidR="00376768" w:rsidRDefault="00376768">
            <w:pPr>
              <w:jc w:val="center"/>
              <w:rPr>
                <w:rFonts w:ascii="Arial" w:hAnsi="Arial" w:cs="Arial"/>
                <w:sz w:val="18"/>
                <w:szCs w:val="16"/>
              </w:rPr>
            </w:pPr>
          </w:p>
        </w:tc>
        <w:tc>
          <w:tcPr>
            <w:tcW w:w="524" w:type="pct"/>
            <w:tcBorders>
              <w:top w:val="single" w:sz="4" w:space="0" w:color="auto"/>
              <w:left w:val="nil"/>
              <w:bottom w:val="single" w:sz="4" w:space="0" w:color="auto"/>
            </w:tcBorders>
            <w:vAlign w:val="center"/>
          </w:tcPr>
          <w:p w:rsidR="00376768" w:rsidRDefault="00EC2B72">
            <w:pPr>
              <w:jc w:val="center"/>
              <w:rPr>
                <w:rFonts w:ascii="Arial" w:hAnsi="Arial" w:cs="Arial"/>
                <w:sz w:val="18"/>
                <w:szCs w:val="16"/>
              </w:rPr>
            </w:pPr>
            <w:r>
              <w:rPr>
                <w:rFonts w:ascii="Arial" w:hAnsi="Arial" w:cs="Arial"/>
                <w:sz w:val="18"/>
                <w:szCs w:val="18"/>
              </w:rPr>
              <w:t>Death</w:t>
            </w:r>
          </w:p>
        </w:tc>
        <w:tc>
          <w:tcPr>
            <w:tcW w:w="38" w:type="pct"/>
            <w:tcBorders>
              <w:top w:val="single" w:sz="4" w:space="0" w:color="auto"/>
              <w:left w:val="nil"/>
              <w:bottom w:val="single" w:sz="4" w:space="0" w:color="auto"/>
              <w:right w:val="single" w:sz="4" w:space="0" w:color="auto"/>
            </w:tcBorders>
            <w:vAlign w:val="center"/>
          </w:tcPr>
          <w:p w:rsidR="00376768" w:rsidRDefault="00376768">
            <w:pPr>
              <w:jc w:val="center"/>
              <w:rPr>
                <w:rFonts w:ascii="Arial" w:hAnsi="Arial" w:cs="Arial"/>
                <w:sz w:val="18"/>
                <w:szCs w:val="16"/>
              </w:rPr>
            </w:pPr>
          </w:p>
        </w:tc>
        <w:tc>
          <w:tcPr>
            <w:tcW w:w="39" w:type="pct"/>
            <w:tcBorders>
              <w:top w:val="single" w:sz="4" w:space="0" w:color="auto"/>
              <w:left w:val="nil"/>
              <w:bottom w:val="single" w:sz="4" w:space="0" w:color="auto"/>
            </w:tcBorders>
            <w:vAlign w:val="center"/>
          </w:tcPr>
          <w:p w:rsidR="00376768" w:rsidRDefault="00376768">
            <w:pPr>
              <w:jc w:val="center"/>
              <w:rPr>
                <w:rFonts w:ascii="Arial" w:hAnsi="Arial" w:cs="Arial"/>
                <w:sz w:val="18"/>
                <w:szCs w:val="16"/>
              </w:rPr>
            </w:pPr>
          </w:p>
        </w:tc>
        <w:tc>
          <w:tcPr>
            <w:tcW w:w="519" w:type="pct"/>
            <w:tcBorders>
              <w:top w:val="single" w:sz="4" w:space="0" w:color="auto"/>
              <w:left w:val="nil"/>
              <w:bottom w:val="single" w:sz="4" w:space="0" w:color="auto"/>
            </w:tcBorders>
            <w:vAlign w:val="center"/>
          </w:tcPr>
          <w:p w:rsidR="00376768" w:rsidRDefault="00EC2B72">
            <w:pPr>
              <w:jc w:val="center"/>
              <w:rPr>
                <w:rFonts w:ascii="Arial" w:hAnsi="Arial" w:cs="Arial"/>
                <w:sz w:val="18"/>
                <w:szCs w:val="16"/>
              </w:rPr>
            </w:pPr>
            <w:r>
              <w:rPr>
                <w:rFonts w:ascii="Arial" w:hAnsi="Arial" w:cs="Arial"/>
                <w:sz w:val="18"/>
                <w:szCs w:val="16"/>
              </w:rPr>
              <w:t>Disability</w:t>
            </w:r>
          </w:p>
        </w:tc>
        <w:tc>
          <w:tcPr>
            <w:tcW w:w="31" w:type="pct"/>
            <w:tcBorders>
              <w:top w:val="single" w:sz="4" w:space="0" w:color="auto"/>
              <w:left w:val="nil"/>
              <w:bottom w:val="single" w:sz="4" w:space="0" w:color="auto"/>
              <w:right w:val="single" w:sz="4" w:space="0" w:color="auto"/>
            </w:tcBorders>
            <w:vAlign w:val="center"/>
          </w:tcPr>
          <w:p w:rsidR="00376768" w:rsidRDefault="00376768">
            <w:pPr>
              <w:jc w:val="center"/>
              <w:rPr>
                <w:rFonts w:ascii="Arial" w:hAnsi="Arial" w:cs="Arial"/>
                <w:sz w:val="18"/>
                <w:szCs w:val="16"/>
              </w:rPr>
            </w:pPr>
          </w:p>
        </w:tc>
        <w:tc>
          <w:tcPr>
            <w:tcW w:w="32" w:type="pct"/>
            <w:tcBorders>
              <w:top w:val="single" w:sz="4" w:space="0" w:color="auto"/>
              <w:left w:val="nil"/>
              <w:bottom w:val="single" w:sz="4" w:space="0" w:color="auto"/>
            </w:tcBorders>
            <w:vAlign w:val="center"/>
          </w:tcPr>
          <w:p w:rsidR="00376768" w:rsidRDefault="00376768">
            <w:pPr>
              <w:jc w:val="center"/>
              <w:rPr>
                <w:rFonts w:ascii="Arial" w:hAnsi="Arial" w:cs="Arial"/>
                <w:sz w:val="18"/>
                <w:szCs w:val="16"/>
              </w:rPr>
            </w:pPr>
          </w:p>
        </w:tc>
        <w:tc>
          <w:tcPr>
            <w:tcW w:w="508" w:type="pct"/>
            <w:tcBorders>
              <w:top w:val="single" w:sz="4" w:space="0" w:color="auto"/>
              <w:left w:val="nil"/>
              <w:bottom w:val="single" w:sz="4" w:space="0" w:color="auto"/>
              <w:right w:val="single" w:sz="4" w:space="0" w:color="auto"/>
            </w:tcBorders>
            <w:vAlign w:val="center"/>
          </w:tcPr>
          <w:p w:rsidR="00376768" w:rsidRDefault="00EC2B72">
            <w:pPr>
              <w:jc w:val="center"/>
              <w:rPr>
                <w:rFonts w:ascii="Arial" w:hAnsi="Arial" w:cs="Arial"/>
                <w:sz w:val="18"/>
                <w:szCs w:val="16"/>
              </w:rPr>
            </w:pPr>
            <w:r>
              <w:rPr>
                <w:rFonts w:ascii="Arial" w:hAnsi="Arial" w:cs="Arial"/>
                <w:sz w:val="18"/>
                <w:szCs w:val="16"/>
              </w:rPr>
              <w:t>Retirement</w:t>
            </w:r>
          </w:p>
        </w:tc>
        <w:tc>
          <w:tcPr>
            <w:tcW w:w="151" w:type="pct"/>
            <w:tcBorders>
              <w:left w:val="single" w:sz="4" w:space="0" w:color="auto"/>
              <w:right w:val="single" w:sz="4" w:space="0" w:color="auto"/>
            </w:tcBorders>
            <w:vAlign w:val="center"/>
          </w:tcPr>
          <w:p w:rsidR="00376768" w:rsidRDefault="00376768">
            <w:pPr>
              <w:jc w:val="center"/>
              <w:rPr>
                <w:rFonts w:ascii="Arial" w:hAnsi="Arial" w:cs="Arial"/>
                <w:sz w:val="18"/>
                <w:szCs w:val="16"/>
              </w:rPr>
            </w:pPr>
          </w:p>
        </w:tc>
        <w:tc>
          <w:tcPr>
            <w:tcW w:w="590" w:type="pct"/>
            <w:tcBorders>
              <w:top w:val="single" w:sz="4" w:space="0" w:color="auto"/>
              <w:left w:val="single" w:sz="4" w:space="0" w:color="auto"/>
              <w:bottom w:val="single" w:sz="4" w:space="0" w:color="auto"/>
            </w:tcBorders>
            <w:vAlign w:val="center"/>
          </w:tcPr>
          <w:p w:rsidR="00376768" w:rsidRDefault="00EC2B72">
            <w:pPr>
              <w:jc w:val="center"/>
              <w:rPr>
                <w:rFonts w:ascii="Arial" w:hAnsi="Arial" w:cs="Arial"/>
                <w:sz w:val="18"/>
                <w:szCs w:val="16"/>
              </w:rPr>
            </w:pPr>
            <w:r>
              <w:rPr>
                <w:rFonts w:ascii="Arial" w:hAnsi="Arial" w:cs="Arial"/>
                <w:sz w:val="18"/>
                <w:szCs w:val="18"/>
              </w:rPr>
              <w:t xml:space="preserve">By Company </w:t>
            </w:r>
            <w:r>
              <w:rPr>
                <w:rFonts w:ascii="Arial" w:hAnsi="Arial" w:cs="Arial"/>
                <w:sz w:val="18"/>
                <w:szCs w:val="18"/>
              </w:rPr>
              <w:br/>
              <w:t xml:space="preserve">without </w:t>
            </w:r>
            <w:r>
              <w:rPr>
                <w:rFonts w:ascii="Arial" w:hAnsi="Arial" w:cs="Arial"/>
                <w:sz w:val="18"/>
                <w:szCs w:val="18"/>
              </w:rPr>
              <w:br/>
              <w:t xml:space="preserve">Cause or by </w:t>
            </w:r>
            <w:r>
              <w:rPr>
                <w:rFonts w:ascii="Arial" w:hAnsi="Arial" w:cs="Arial"/>
                <w:sz w:val="18"/>
                <w:szCs w:val="18"/>
              </w:rPr>
              <w:br/>
              <w:t xml:space="preserve">Executive for </w:t>
            </w:r>
            <w:r>
              <w:rPr>
                <w:rFonts w:ascii="Arial" w:hAnsi="Arial" w:cs="Arial"/>
                <w:sz w:val="18"/>
                <w:szCs w:val="18"/>
              </w:rPr>
              <w:br/>
              <w:t>Good Reason</w:t>
            </w:r>
          </w:p>
        </w:tc>
        <w:tc>
          <w:tcPr>
            <w:tcW w:w="25" w:type="pct"/>
            <w:tcBorders>
              <w:top w:val="single" w:sz="4" w:space="0" w:color="auto"/>
              <w:left w:val="nil"/>
              <w:bottom w:val="single" w:sz="4" w:space="0" w:color="auto"/>
              <w:right w:val="single" w:sz="4" w:space="0" w:color="auto"/>
            </w:tcBorders>
            <w:vAlign w:val="center"/>
          </w:tcPr>
          <w:p w:rsidR="00376768" w:rsidRDefault="00376768">
            <w:pPr>
              <w:jc w:val="center"/>
              <w:rPr>
                <w:rFonts w:ascii="Arial" w:hAnsi="Arial" w:cs="Arial"/>
                <w:sz w:val="18"/>
                <w:szCs w:val="16"/>
              </w:rPr>
            </w:pPr>
          </w:p>
        </w:tc>
        <w:tc>
          <w:tcPr>
            <w:tcW w:w="25" w:type="pct"/>
            <w:tcBorders>
              <w:top w:val="single" w:sz="4" w:space="0" w:color="auto"/>
              <w:left w:val="nil"/>
              <w:bottom w:val="single" w:sz="4" w:space="0" w:color="auto"/>
            </w:tcBorders>
            <w:vAlign w:val="center"/>
          </w:tcPr>
          <w:p w:rsidR="00376768" w:rsidRDefault="00376768">
            <w:pPr>
              <w:jc w:val="center"/>
              <w:rPr>
                <w:rFonts w:ascii="Arial" w:hAnsi="Arial" w:cs="Arial"/>
                <w:sz w:val="18"/>
                <w:szCs w:val="16"/>
              </w:rPr>
            </w:pPr>
          </w:p>
        </w:tc>
        <w:tc>
          <w:tcPr>
            <w:tcW w:w="583" w:type="pct"/>
            <w:tcBorders>
              <w:top w:val="single" w:sz="4" w:space="0" w:color="auto"/>
              <w:left w:val="nil"/>
              <w:bottom w:val="single" w:sz="4" w:space="0" w:color="auto"/>
              <w:right w:val="single" w:sz="4" w:space="0" w:color="auto"/>
            </w:tcBorders>
            <w:vAlign w:val="center"/>
          </w:tcPr>
          <w:p w:rsidR="00376768" w:rsidRDefault="00EC2B72">
            <w:pPr>
              <w:jc w:val="center"/>
              <w:rPr>
                <w:rFonts w:ascii="Arial" w:hAnsi="Arial" w:cs="Arial"/>
                <w:sz w:val="18"/>
                <w:szCs w:val="16"/>
              </w:rPr>
            </w:pPr>
            <w:r>
              <w:rPr>
                <w:rFonts w:ascii="Arial" w:hAnsi="Arial" w:cs="Arial"/>
                <w:sz w:val="18"/>
                <w:szCs w:val="18"/>
              </w:rPr>
              <w:t xml:space="preserve">Without </w:t>
            </w:r>
            <w:r>
              <w:rPr>
                <w:rFonts w:ascii="Arial" w:hAnsi="Arial" w:cs="Arial"/>
                <w:sz w:val="18"/>
                <w:szCs w:val="18"/>
              </w:rPr>
              <w:br/>
              <w:t xml:space="preserve">Termination of </w:t>
            </w:r>
            <w:r>
              <w:rPr>
                <w:rFonts w:ascii="Arial" w:hAnsi="Arial" w:cs="Arial"/>
                <w:sz w:val="18"/>
                <w:szCs w:val="18"/>
              </w:rPr>
              <w:br/>
              <w:t xml:space="preserve">Employment </w:t>
            </w:r>
            <w:r>
              <w:rPr>
                <w:rFonts w:ascii="Arial" w:hAnsi="Arial" w:cs="Arial"/>
                <w:sz w:val="18"/>
                <w:szCs w:val="18"/>
              </w:rPr>
              <w:br/>
              <w:t xml:space="preserve">or Termination </w:t>
            </w:r>
            <w:r>
              <w:rPr>
                <w:rFonts w:ascii="Arial" w:hAnsi="Arial" w:cs="Arial"/>
                <w:sz w:val="18"/>
                <w:szCs w:val="18"/>
              </w:rPr>
              <w:br/>
              <w:t xml:space="preserve">for any other </w:t>
            </w:r>
            <w:r>
              <w:rPr>
                <w:rFonts w:ascii="Arial" w:hAnsi="Arial" w:cs="Arial"/>
                <w:sz w:val="18"/>
                <w:szCs w:val="18"/>
              </w:rPr>
              <w:br/>
              <w:t>Reason</w:t>
            </w:r>
          </w:p>
        </w:tc>
      </w:tr>
      <w:tr w:rsidR="00376768">
        <w:tc>
          <w:tcPr>
            <w:tcW w:w="1213" w:type="pct"/>
          </w:tcPr>
          <w:p w:rsidR="00376768" w:rsidRDefault="00376768">
            <w:pPr>
              <w:rPr>
                <w:rFonts w:ascii="Arial" w:hAnsi="Arial" w:cs="Arial"/>
                <w:sz w:val="18"/>
              </w:rPr>
            </w:pPr>
          </w:p>
        </w:tc>
        <w:tc>
          <w:tcPr>
            <w:tcW w:w="107" w:type="pct"/>
          </w:tcPr>
          <w:p w:rsidR="00376768" w:rsidRDefault="00376768">
            <w:pPr>
              <w:jc w:val="center"/>
              <w:rPr>
                <w:rFonts w:ascii="Arial" w:hAnsi="Arial" w:cs="Arial"/>
                <w:sz w:val="18"/>
              </w:rPr>
            </w:pPr>
          </w:p>
        </w:tc>
        <w:tc>
          <w:tcPr>
            <w:tcW w:w="543" w:type="pct"/>
            <w:tcBorders>
              <w:top w:val="single" w:sz="4" w:space="0" w:color="auto"/>
              <w:bottom w:val="single" w:sz="4" w:space="0" w:color="auto"/>
            </w:tcBorders>
          </w:tcPr>
          <w:p w:rsidR="00376768" w:rsidRDefault="00376768">
            <w:pPr>
              <w:jc w:val="center"/>
              <w:rPr>
                <w:rFonts w:ascii="Arial" w:hAnsi="Arial" w:cs="Arial"/>
                <w:sz w:val="18"/>
              </w:rPr>
            </w:pPr>
          </w:p>
        </w:tc>
        <w:tc>
          <w:tcPr>
            <w:tcW w:w="36" w:type="pct"/>
            <w:tcBorders>
              <w:top w:val="single" w:sz="4" w:space="0" w:color="auto"/>
              <w:bottom w:val="single" w:sz="4" w:space="0" w:color="auto"/>
            </w:tcBorders>
          </w:tcPr>
          <w:p w:rsidR="00376768" w:rsidRDefault="00376768">
            <w:pPr>
              <w:jc w:val="center"/>
              <w:rPr>
                <w:rFonts w:ascii="Arial" w:hAnsi="Arial" w:cs="Arial"/>
                <w:sz w:val="18"/>
              </w:rPr>
            </w:pPr>
          </w:p>
        </w:tc>
        <w:tc>
          <w:tcPr>
            <w:tcW w:w="36" w:type="pct"/>
            <w:tcBorders>
              <w:top w:val="single" w:sz="4" w:space="0" w:color="auto"/>
              <w:bottom w:val="single" w:sz="4" w:space="0" w:color="auto"/>
            </w:tcBorders>
          </w:tcPr>
          <w:p w:rsidR="00376768" w:rsidRDefault="00376768">
            <w:pPr>
              <w:jc w:val="center"/>
              <w:rPr>
                <w:rFonts w:ascii="Arial" w:hAnsi="Arial" w:cs="Arial"/>
                <w:sz w:val="18"/>
              </w:rPr>
            </w:pPr>
          </w:p>
        </w:tc>
        <w:tc>
          <w:tcPr>
            <w:tcW w:w="524" w:type="pct"/>
            <w:tcBorders>
              <w:top w:val="single" w:sz="4" w:space="0" w:color="auto"/>
              <w:bottom w:val="single" w:sz="4" w:space="0" w:color="auto"/>
            </w:tcBorders>
          </w:tcPr>
          <w:p w:rsidR="00376768" w:rsidRDefault="00376768">
            <w:pPr>
              <w:jc w:val="center"/>
              <w:rPr>
                <w:rFonts w:ascii="Arial" w:hAnsi="Arial" w:cs="Arial"/>
                <w:sz w:val="18"/>
              </w:rPr>
            </w:pPr>
          </w:p>
        </w:tc>
        <w:tc>
          <w:tcPr>
            <w:tcW w:w="38" w:type="pct"/>
            <w:tcBorders>
              <w:top w:val="single" w:sz="4" w:space="0" w:color="auto"/>
              <w:bottom w:val="single" w:sz="4" w:space="0" w:color="auto"/>
            </w:tcBorders>
          </w:tcPr>
          <w:p w:rsidR="00376768" w:rsidRDefault="00376768">
            <w:pPr>
              <w:jc w:val="center"/>
              <w:rPr>
                <w:rFonts w:ascii="Arial" w:hAnsi="Arial" w:cs="Arial"/>
                <w:sz w:val="18"/>
              </w:rPr>
            </w:pPr>
          </w:p>
        </w:tc>
        <w:tc>
          <w:tcPr>
            <w:tcW w:w="39" w:type="pct"/>
            <w:tcBorders>
              <w:top w:val="single" w:sz="4" w:space="0" w:color="auto"/>
              <w:bottom w:val="single" w:sz="4" w:space="0" w:color="auto"/>
            </w:tcBorders>
          </w:tcPr>
          <w:p w:rsidR="00376768" w:rsidRDefault="00376768">
            <w:pPr>
              <w:jc w:val="center"/>
              <w:rPr>
                <w:rFonts w:ascii="Arial" w:hAnsi="Arial" w:cs="Arial"/>
                <w:sz w:val="18"/>
              </w:rPr>
            </w:pPr>
          </w:p>
        </w:tc>
        <w:tc>
          <w:tcPr>
            <w:tcW w:w="519" w:type="pct"/>
            <w:tcBorders>
              <w:top w:val="single" w:sz="4" w:space="0" w:color="auto"/>
              <w:bottom w:val="single" w:sz="4" w:space="0" w:color="auto"/>
            </w:tcBorders>
          </w:tcPr>
          <w:p w:rsidR="00376768" w:rsidRDefault="00376768">
            <w:pPr>
              <w:jc w:val="center"/>
              <w:rPr>
                <w:rFonts w:ascii="Arial" w:hAnsi="Arial" w:cs="Arial"/>
                <w:sz w:val="18"/>
              </w:rPr>
            </w:pPr>
          </w:p>
        </w:tc>
        <w:tc>
          <w:tcPr>
            <w:tcW w:w="31" w:type="pct"/>
            <w:tcBorders>
              <w:top w:val="single" w:sz="4" w:space="0" w:color="auto"/>
              <w:bottom w:val="single" w:sz="4" w:space="0" w:color="auto"/>
            </w:tcBorders>
          </w:tcPr>
          <w:p w:rsidR="00376768" w:rsidRDefault="00376768">
            <w:pPr>
              <w:jc w:val="center"/>
              <w:rPr>
                <w:rFonts w:ascii="Arial" w:hAnsi="Arial" w:cs="Arial"/>
                <w:sz w:val="18"/>
              </w:rPr>
            </w:pPr>
          </w:p>
        </w:tc>
        <w:tc>
          <w:tcPr>
            <w:tcW w:w="32" w:type="pct"/>
            <w:tcBorders>
              <w:top w:val="single" w:sz="4" w:space="0" w:color="auto"/>
              <w:bottom w:val="single" w:sz="4" w:space="0" w:color="auto"/>
            </w:tcBorders>
          </w:tcPr>
          <w:p w:rsidR="00376768" w:rsidRDefault="00376768">
            <w:pPr>
              <w:jc w:val="center"/>
              <w:rPr>
                <w:rFonts w:ascii="Arial" w:hAnsi="Arial" w:cs="Arial"/>
                <w:sz w:val="18"/>
              </w:rPr>
            </w:pPr>
          </w:p>
        </w:tc>
        <w:tc>
          <w:tcPr>
            <w:tcW w:w="508" w:type="pct"/>
            <w:tcBorders>
              <w:top w:val="single" w:sz="4" w:space="0" w:color="auto"/>
              <w:bottom w:val="single" w:sz="4" w:space="0" w:color="auto"/>
            </w:tcBorders>
          </w:tcPr>
          <w:p w:rsidR="00376768" w:rsidRDefault="00376768">
            <w:pPr>
              <w:jc w:val="center"/>
              <w:rPr>
                <w:rFonts w:ascii="Arial" w:hAnsi="Arial" w:cs="Arial"/>
                <w:sz w:val="18"/>
              </w:rPr>
            </w:pPr>
          </w:p>
        </w:tc>
        <w:tc>
          <w:tcPr>
            <w:tcW w:w="151" w:type="pct"/>
          </w:tcPr>
          <w:p w:rsidR="00376768" w:rsidRDefault="00376768">
            <w:pPr>
              <w:jc w:val="center"/>
              <w:rPr>
                <w:rFonts w:ascii="Arial" w:hAnsi="Arial" w:cs="Arial"/>
                <w:sz w:val="18"/>
              </w:rPr>
            </w:pPr>
          </w:p>
        </w:tc>
        <w:tc>
          <w:tcPr>
            <w:tcW w:w="590" w:type="pct"/>
            <w:tcBorders>
              <w:top w:val="single" w:sz="4" w:space="0" w:color="auto"/>
              <w:bottom w:val="single" w:sz="4" w:space="0" w:color="auto"/>
            </w:tcBorders>
          </w:tcPr>
          <w:p w:rsidR="00376768" w:rsidRDefault="00376768">
            <w:pPr>
              <w:jc w:val="center"/>
              <w:rPr>
                <w:rFonts w:ascii="Arial" w:hAnsi="Arial" w:cs="Arial"/>
                <w:sz w:val="18"/>
              </w:rPr>
            </w:pPr>
          </w:p>
        </w:tc>
        <w:tc>
          <w:tcPr>
            <w:tcW w:w="25" w:type="pct"/>
            <w:tcBorders>
              <w:top w:val="single" w:sz="4" w:space="0" w:color="auto"/>
              <w:bottom w:val="single" w:sz="4" w:space="0" w:color="auto"/>
            </w:tcBorders>
          </w:tcPr>
          <w:p w:rsidR="00376768" w:rsidRDefault="00376768">
            <w:pPr>
              <w:jc w:val="center"/>
              <w:rPr>
                <w:rFonts w:ascii="Arial" w:hAnsi="Arial" w:cs="Arial"/>
                <w:sz w:val="18"/>
              </w:rPr>
            </w:pPr>
          </w:p>
        </w:tc>
        <w:tc>
          <w:tcPr>
            <w:tcW w:w="25" w:type="pct"/>
            <w:tcBorders>
              <w:top w:val="single" w:sz="4" w:space="0" w:color="auto"/>
              <w:bottom w:val="single" w:sz="4" w:space="0" w:color="auto"/>
            </w:tcBorders>
          </w:tcPr>
          <w:p w:rsidR="00376768" w:rsidRDefault="00376768">
            <w:pPr>
              <w:jc w:val="center"/>
              <w:rPr>
                <w:rFonts w:ascii="Arial" w:hAnsi="Arial" w:cs="Arial"/>
                <w:sz w:val="18"/>
              </w:rPr>
            </w:pPr>
          </w:p>
        </w:tc>
        <w:tc>
          <w:tcPr>
            <w:tcW w:w="583" w:type="pct"/>
            <w:tcBorders>
              <w:top w:val="single" w:sz="4" w:space="0" w:color="auto"/>
              <w:bottom w:val="single" w:sz="4" w:space="0" w:color="auto"/>
            </w:tcBorders>
          </w:tcPr>
          <w:p w:rsidR="00376768" w:rsidRDefault="00376768">
            <w:pPr>
              <w:jc w:val="center"/>
              <w:rPr>
                <w:rFonts w:ascii="Arial" w:hAnsi="Arial" w:cs="Arial"/>
                <w:sz w:val="18"/>
              </w:rPr>
            </w:pPr>
          </w:p>
        </w:tc>
      </w:tr>
      <w:tr w:rsidR="00376768">
        <w:tc>
          <w:tcPr>
            <w:tcW w:w="1213" w:type="pct"/>
            <w:vAlign w:val="center"/>
          </w:tcPr>
          <w:p w:rsidR="00376768" w:rsidRDefault="00EC2B72">
            <w:pPr>
              <w:rPr>
                <w:rFonts w:ascii="Arial" w:hAnsi="Arial" w:cs="Arial"/>
                <w:sz w:val="18"/>
              </w:rPr>
            </w:pPr>
            <w:r>
              <w:rPr>
                <w:rFonts w:ascii="Arial" w:hAnsi="Arial" w:cs="Arial"/>
                <w:sz w:val="18"/>
                <w:szCs w:val="18"/>
              </w:rPr>
              <w:t>Lump Sum Severance</w:t>
            </w:r>
            <w:r>
              <w:rPr>
                <w:rFonts w:ascii="Arial" w:hAnsi="Arial" w:cs="Arial"/>
                <w:b/>
                <w:bCs/>
                <w:sz w:val="18"/>
                <w:szCs w:val="14"/>
                <w:vertAlign w:val="superscript"/>
              </w:rPr>
              <w:t>(1)(2)</w:t>
            </w:r>
          </w:p>
        </w:tc>
        <w:tc>
          <w:tcPr>
            <w:tcW w:w="107" w:type="pct"/>
            <w:tcBorders>
              <w:right w:val="single" w:sz="4" w:space="0" w:color="auto"/>
            </w:tcBorders>
          </w:tcPr>
          <w:p w:rsidR="00376768" w:rsidRDefault="00376768">
            <w:pPr>
              <w:jc w:val="center"/>
              <w:rPr>
                <w:rFonts w:ascii="Arial" w:hAnsi="Arial" w:cs="Arial"/>
                <w:sz w:val="18"/>
                <w:szCs w:val="2"/>
              </w:rPr>
            </w:pPr>
          </w:p>
        </w:tc>
        <w:tc>
          <w:tcPr>
            <w:tcW w:w="543" w:type="pct"/>
            <w:tcBorders>
              <w:top w:val="single" w:sz="4" w:space="0" w:color="auto"/>
              <w:left w:val="single" w:sz="4" w:space="0" w:color="auto"/>
              <w:bottom w:val="single" w:sz="4" w:space="0" w:color="auto"/>
            </w:tcBorders>
          </w:tcPr>
          <w:p w:rsidR="00376768" w:rsidRDefault="00376768">
            <w:pPr>
              <w:jc w:val="center"/>
              <w:rPr>
                <w:rFonts w:ascii="Arial" w:hAnsi="Arial" w:cs="Arial"/>
                <w:sz w:val="18"/>
                <w:szCs w:val="2"/>
              </w:rPr>
            </w:pPr>
          </w:p>
        </w:tc>
        <w:tc>
          <w:tcPr>
            <w:tcW w:w="36"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c>
          <w:tcPr>
            <w:tcW w:w="36"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524" w:type="pct"/>
            <w:tcBorders>
              <w:top w:val="single" w:sz="4" w:space="0" w:color="auto"/>
              <w:left w:val="nil"/>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$72,959</w:t>
            </w:r>
          </w:p>
        </w:tc>
        <w:tc>
          <w:tcPr>
            <w:tcW w:w="38"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39"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19" w:type="pct"/>
            <w:tcBorders>
              <w:top w:val="single" w:sz="4" w:space="0" w:color="auto"/>
              <w:left w:val="nil"/>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$72,959</w:t>
            </w:r>
          </w:p>
        </w:tc>
        <w:tc>
          <w:tcPr>
            <w:tcW w:w="31"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32"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08" w:type="pct"/>
            <w:tcBorders>
              <w:top w:val="single" w:sz="4" w:space="0" w:color="auto"/>
              <w:left w:val="nil"/>
              <w:bottom w:val="single" w:sz="4" w:space="0" w:color="auto"/>
              <w:right w:val="single" w:sz="4" w:space="0" w:color="auto"/>
            </w:tcBorders>
            <w:vAlign w:val="center"/>
          </w:tcPr>
          <w:p w:rsidR="00376768" w:rsidRDefault="00EC2B72">
            <w:pPr>
              <w:jc w:val="center"/>
              <w:rPr>
                <w:rFonts w:ascii="Arial" w:hAnsi="Arial" w:cs="Arial"/>
                <w:sz w:val="18"/>
              </w:rPr>
            </w:pPr>
            <w:r>
              <w:rPr>
                <w:rFonts w:ascii="Arial" w:hAnsi="Arial" w:cs="Arial"/>
                <w:sz w:val="18"/>
                <w:szCs w:val="18"/>
              </w:rPr>
              <w:t>$72,959</w:t>
            </w:r>
          </w:p>
        </w:tc>
        <w:tc>
          <w:tcPr>
            <w:tcW w:w="151" w:type="pct"/>
            <w:tcBorders>
              <w:left w:val="single" w:sz="4" w:space="0" w:color="auto"/>
              <w:right w:val="single" w:sz="4" w:space="0" w:color="auto"/>
            </w:tcBorders>
          </w:tcPr>
          <w:p w:rsidR="00376768" w:rsidRDefault="00376768">
            <w:pPr>
              <w:jc w:val="center"/>
              <w:rPr>
                <w:rFonts w:ascii="Arial" w:hAnsi="Arial" w:cs="Arial"/>
                <w:sz w:val="18"/>
                <w:szCs w:val="2"/>
              </w:rPr>
            </w:pPr>
          </w:p>
        </w:tc>
        <w:tc>
          <w:tcPr>
            <w:tcW w:w="590" w:type="pct"/>
            <w:tcBorders>
              <w:top w:val="single" w:sz="4" w:space="0" w:color="auto"/>
              <w:left w:val="single" w:sz="4" w:space="0" w:color="auto"/>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$238,182</w:t>
            </w:r>
          </w:p>
        </w:tc>
        <w:tc>
          <w:tcPr>
            <w:tcW w:w="25"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25"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83"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r>
      <w:tr w:rsidR="00376768">
        <w:tc>
          <w:tcPr>
            <w:tcW w:w="1213" w:type="pct"/>
            <w:vAlign w:val="center"/>
          </w:tcPr>
          <w:p w:rsidR="00376768" w:rsidRDefault="00EC2B72">
            <w:pPr>
              <w:rPr>
                <w:rFonts w:ascii="Arial" w:hAnsi="Arial" w:cs="Arial"/>
                <w:sz w:val="18"/>
              </w:rPr>
            </w:pPr>
            <w:r>
              <w:rPr>
                <w:rFonts w:ascii="Arial" w:hAnsi="Arial" w:cs="Arial"/>
                <w:sz w:val="18"/>
                <w:szCs w:val="18"/>
              </w:rPr>
              <w:t>Benefits Continuation</w:t>
            </w:r>
            <w:r>
              <w:rPr>
                <w:rFonts w:ascii="Arial" w:hAnsi="Arial" w:cs="Arial"/>
                <w:b/>
                <w:bCs/>
                <w:sz w:val="18"/>
                <w:szCs w:val="14"/>
                <w:vertAlign w:val="superscript"/>
              </w:rPr>
              <w:t xml:space="preserve"> (3)</w:t>
            </w:r>
          </w:p>
        </w:tc>
        <w:tc>
          <w:tcPr>
            <w:tcW w:w="107" w:type="pct"/>
            <w:tcBorders>
              <w:right w:val="single" w:sz="4" w:space="0" w:color="auto"/>
            </w:tcBorders>
          </w:tcPr>
          <w:p w:rsidR="00376768" w:rsidRDefault="00376768">
            <w:pPr>
              <w:jc w:val="center"/>
              <w:rPr>
                <w:rFonts w:ascii="Arial" w:hAnsi="Arial" w:cs="Arial"/>
                <w:sz w:val="18"/>
                <w:szCs w:val="2"/>
              </w:rPr>
            </w:pPr>
          </w:p>
        </w:tc>
        <w:tc>
          <w:tcPr>
            <w:tcW w:w="543" w:type="pct"/>
            <w:tcBorders>
              <w:top w:val="single" w:sz="4" w:space="0" w:color="auto"/>
              <w:left w:val="single" w:sz="4" w:space="0" w:color="auto"/>
              <w:bottom w:val="single" w:sz="4" w:space="0" w:color="auto"/>
            </w:tcBorders>
          </w:tcPr>
          <w:p w:rsidR="00376768" w:rsidRDefault="00376768">
            <w:pPr>
              <w:jc w:val="center"/>
              <w:rPr>
                <w:rFonts w:ascii="Arial" w:hAnsi="Arial" w:cs="Arial"/>
                <w:sz w:val="18"/>
                <w:szCs w:val="2"/>
              </w:rPr>
            </w:pPr>
          </w:p>
        </w:tc>
        <w:tc>
          <w:tcPr>
            <w:tcW w:w="36"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c>
          <w:tcPr>
            <w:tcW w:w="36"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524" w:type="pct"/>
            <w:tcBorders>
              <w:top w:val="single" w:sz="4" w:space="0" w:color="auto"/>
              <w:left w:val="nil"/>
              <w:bottom w:val="single" w:sz="4" w:space="0" w:color="auto"/>
            </w:tcBorders>
            <w:vAlign w:val="center"/>
          </w:tcPr>
          <w:p w:rsidR="00376768" w:rsidRDefault="00376768">
            <w:pPr>
              <w:jc w:val="center"/>
              <w:rPr>
                <w:rFonts w:ascii="Arial" w:hAnsi="Arial" w:cs="Arial"/>
                <w:sz w:val="18"/>
                <w:szCs w:val="2"/>
              </w:rPr>
            </w:pPr>
          </w:p>
        </w:tc>
        <w:tc>
          <w:tcPr>
            <w:tcW w:w="38"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c>
          <w:tcPr>
            <w:tcW w:w="39"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519" w:type="pct"/>
            <w:tcBorders>
              <w:top w:val="single" w:sz="4" w:space="0" w:color="auto"/>
              <w:left w:val="nil"/>
              <w:bottom w:val="single" w:sz="4" w:space="0" w:color="auto"/>
            </w:tcBorders>
            <w:vAlign w:val="center"/>
          </w:tcPr>
          <w:p w:rsidR="00376768" w:rsidRDefault="00376768">
            <w:pPr>
              <w:jc w:val="center"/>
              <w:rPr>
                <w:rFonts w:ascii="Arial" w:hAnsi="Arial" w:cs="Arial"/>
                <w:sz w:val="18"/>
                <w:szCs w:val="2"/>
              </w:rPr>
            </w:pPr>
          </w:p>
        </w:tc>
        <w:tc>
          <w:tcPr>
            <w:tcW w:w="31"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c>
          <w:tcPr>
            <w:tcW w:w="32"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508" w:type="pct"/>
            <w:tcBorders>
              <w:top w:val="single" w:sz="4" w:space="0" w:color="auto"/>
              <w:left w:val="nil"/>
              <w:bottom w:val="single" w:sz="4" w:space="0" w:color="auto"/>
              <w:right w:val="single" w:sz="4" w:space="0" w:color="auto"/>
            </w:tcBorders>
            <w:vAlign w:val="center"/>
          </w:tcPr>
          <w:p w:rsidR="00376768" w:rsidRDefault="00376768">
            <w:pPr>
              <w:jc w:val="center"/>
              <w:rPr>
                <w:rFonts w:ascii="Arial" w:hAnsi="Arial" w:cs="Arial"/>
                <w:sz w:val="18"/>
                <w:szCs w:val="2"/>
              </w:rPr>
            </w:pPr>
          </w:p>
        </w:tc>
        <w:tc>
          <w:tcPr>
            <w:tcW w:w="151" w:type="pct"/>
            <w:tcBorders>
              <w:left w:val="single" w:sz="4" w:space="0" w:color="auto"/>
              <w:right w:val="single" w:sz="4" w:space="0" w:color="auto"/>
            </w:tcBorders>
          </w:tcPr>
          <w:p w:rsidR="00376768" w:rsidRDefault="00376768">
            <w:pPr>
              <w:jc w:val="center"/>
              <w:rPr>
                <w:rFonts w:ascii="Arial" w:hAnsi="Arial" w:cs="Arial"/>
                <w:sz w:val="18"/>
                <w:szCs w:val="2"/>
              </w:rPr>
            </w:pPr>
          </w:p>
        </w:tc>
        <w:tc>
          <w:tcPr>
            <w:tcW w:w="590" w:type="pct"/>
            <w:tcBorders>
              <w:top w:val="single" w:sz="4" w:space="0" w:color="auto"/>
              <w:left w:val="single" w:sz="4" w:space="0" w:color="auto"/>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$28,727</w:t>
            </w:r>
          </w:p>
        </w:tc>
        <w:tc>
          <w:tcPr>
            <w:tcW w:w="25"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25"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83"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r>
      <w:tr w:rsidR="00376768">
        <w:tc>
          <w:tcPr>
            <w:tcW w:w="1213" w:type="pct"/>
            <w:vAlign w:val="center"/>
          </w:tcPr>
          <w:p w:rsidR="00376768" w:rsidRDefault="00EC2B72">
            <w:pPr>
              <w:rPr>
                <w:rFonts w:ascii="Arial" w:hAnsi="Arial" w:cs="Arial"/>
                <w:sz w:val="18"/>
              </w:rPr>
            </w:pPr>
            <w:r>
              <w:rPr>
                <w:rFonts w:ascii="Arial" w:hAnsi="Arial" w:cs="Arial"/>
                <w:sz w:val="18"/>
                <w:szCs w:val="18"/>
              </w:rPr>
              <w:t>Equity Awards (Unvested)</w:t>
            </w:r>
          </w:p>
        </w:tc>
        <w:tc>
          <w:tcPr>
            <w:tcW w:w="107" w:type="pct"/>
            <w:tcBorders>
              <w:right w:val="single" w:sz="4" w:space="0" w:color="auto"/>
            </w:tcBorders>
          </w:tcPr>
          <w:p w:rsidR="00376768" w:rsidRDefault="00376768">
            <w:pPr>
              <w:jc w:val="center"/>
              <w:rPr>
                <w:rFonts w:ascii="Arial" w:hAnsi="Arial" w:cs="Arial"/>
                <w:sz w:val="18"/>
                <w:szCs w:val="2"/>
              </w:rPr>
            </w:pPr>
          </w:p>
        </w:tc>
        <w:tc>
          <w:tcPr>
            <w:tcW w:w="543" w:type="pct"/>
            <w:tcBorders>
              <w:top w:val="single" w:sz="4" w:space="0" w:color="auto"/>
              <w:left w:val="single" w:sz="4" w:space="0" w:color="auto"/>
              <w:bottom w:val="single" w:sz="4" w:space="0" w:color="auto"/>
            </w:tcBorders>
          </w:tcPr>
          <w:p w:rsidR="00376768" w:rsidRDefault="00376768">
            <w:pPr>
              <w:jc w:val="center"/>
              <w:rPr>
                <w:rFonts w:ascii="Arial" w:hAnsi="Arial" w:cs="Arial"/>
                <w:sz w:val="18"/>
                <w:szCs w:val="2"/>
              </w:rPr>
            </w:pPr>
          </w:p>
        </w:tc>
        <w:tc>
          <w:tcPr>
            <w:tcW w:w="36"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c>
          <w:tcPr>
            <w:tcW w:w="36"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524" w:type="pct"/>
            <w:tcBorders>
              <w:top w:val="single" w:sz="4" w:space="0" w:color="auto"/>
              <w:left w:val="nil"/>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$68,264</w:t>
            </w:r>
            <w:r>
              <w:rPr>
                <w:rFonts w:ascii="Arial" w:hAnsi="Arial" w:cs="Arial"/>
                <w:sz w:val="18"/>
                <w:szCs w:val="14"/>
                <w:vertAlign w:val="superscript"/>
              </w:rPr>
              <w:t>(5)</w:t>
            </w:r>
          </w:p>
        </w:tc>
        <w:tc>
          <w:tcPr>
            <w:tcW w:w="38"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39"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19" w:type="pct"/>
            <w:tcBorders>
              <w:top w:val="single" w:sz="4" w:space="0" w:color="auto"/>
              <w:left w:val="nil"/>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$68,264</w:t>
            </w:r>
            <w:r>
              <w:rPr>
                <w:rFonts w:ascii="Arial" w:hAnsi="Arial" w:cs="Arial"/>
                <w:sz w:val="18"/>
                <w:szCs w:val="14"/>
                <w:vertAlign w:val="superscript"/>
              </w:rPr>
              <w:t>(5)</w:t>
            </w:r>
          </w:p>
        </w:tc>
        <w:tc>
          <w:tcPr>
            <w:tcW w:w="31"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32"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08" w:type="pct"/>
            <w:tcBorders>
              <w:top w:val="single" w:sz="4" w:space="0" w:color="auto"/>
              <w:left w:val="nil"/>
              <w:bottom w:val="single" w:sz="4" w:space="0" w:color="auto"/>
              <w:right w:val="single" w:sz="4" w:space="0" w:color="auto"/>
            </w:tcBorders>
            <w:vAlign w:val="center"/>
          </w:tcPr>
          <w:p w:rsidR="00376768" w:rsidRDefault="00EC2B72">
            <w:pPr>
              <w:jc w:val="center"/>
              <w:rPr>
                <w:rFonts w:ascii="Arial" w:hAnsi="Arial" w:cs="Arial"/>
                <w:sz w:val="18"/>
              </w:rPr>
            </w:pPr>
            <w:r>
              <w:rPr>
                <w:rFonts w:ascii="Arial" w:hAnsi="Arial" w:cs="Arial"/>
                <w:sz w:val="18"/>
                <w:szCs w:val="18"/>
              </w:rPr>
              <w:t>$68,264</w:t>
            </w:r>
            <w:r>
              <w:rPr>
                <w:rFonts w:ascii="Arial" w:hAnsi="Arial" w:cs="Arial"/>
                <w:sz w:val="18"/>
                <w:szCs w:val="14"/>
                <w:vertAlign w:val="superscript"/>
              </w:rPr>
              <w:t>(5)</w:t>
            </w:r>
          </w:p>
        </w:tc>
        <w:tc>
          <w:tcPr>
            <w:tcW w:w="151" w:type="pct"/>
            <w:tcBorders>
              <w:left w:val="single" w:sz="4" w:space="0" w:color="auto"/>
              <w:right w:val="single" w:sz="4" w:space="0" w:color="auto"/>
            </w:tcBorders>
          </w:tcPr>
          <w:p w:rsidR="00376768" w:rsidRDefault="00376768">
            <w:pPr>
              <w:jc w:val="center"/>
              <w:rPr>
                <w:rFonts w:ascii="Arial" w:hAnsi="Arial" w:cs="Arial"/>
                <w:sz w:val="18"/>
                <w:szCs w:val="2"/>
              </w:rPr>
            </w:pPr>
          </w:p>
        </w:tc>
        <w:tc>
          <w:tcPr>
            <w:tcW w:w="590" w:type="pct"/>
            <w:tcBorders>
              <w:top w:val="single" w:sz="4" w:space="0" w:color="auto"/>
              <w:left w:val="single" w:sz="4" w:space="0" w:color="auto"/>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$ 490,826</w:t>
            </w:r>
            <w:r>
              <w:rPr>
                <w:rFonts w:ascii="Arial" w:hAnsi="Arial" w:cs="Arial"/>
                <w:sz w:val="18"/>
                <w:szCs w:val="14"/>
                <w:vertAlign w:val="superscript"/>
              </w:rPr>
              <w:t>(6)</w:t>
            </w:r>
          </w:p>
        </w:tc>
        <w:tc>
          <w:tcPr>
            <w:tcW w:w="25"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25"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83" w:type="pct"/>
            <w:tcBorders>
              <w:top w:val="single" w:sz="4" w:space="0" w:color="auto"/>
              <w:left w:val="nil"/>
              <w:bottom w:val="single" w:sz="4" w:space="0" w:color="auto"/>
              <w:right w:val="single" w:sz="4" w:space="0" w:color="auto"/>
            </w:tcBorders>
          </w:tcPr>
          <w:p w:rsidR="00376768" w:rsidRDefault="00EC2B72">
            <w:pPr>
              <w:jc w:val="center"/>
              <w:rPr>
                <w:rFonts w:ascii="Arial" w:hAnsi="Arial" w:cs="Arial"/>
                <w:sz w:val="18"/>
              </w:rPr>
            </w:pPr>
            <w:r>
              <w:rPr>
                <w:rFonts w:ascii="Arial" w:hAnsi="Arial" w:cs="Arial"/>
                <w:sz w:val="18"/>
                <w:szCs w:val="18"/>
              </w:rPr>
              <w:t>$ 68,264</w:t>
            </w:r>
            <w:r>
              <w:rPr>
                <w:rFonts w:ascii="Arial" w:hAnsi="Arial" w:cs="Arial"/>
                <w:sz w:val="18"/>
                <w:szCs w:val="14"/>
                <w:vertAlign w:val="superscript"/>
              </w:rPr>
              <w:t>(6)</w:t>
            </w:r>
          </w:p>
        </w:tc>
      </w:tr>
      <w:tr w:rsidR="00376768">
        <w:tc>
          <w:tcPr>
            <w:tcW w:w="1213" w:type="pct"/>
            <w:vAlign w:val="center"/>
          </w:tcPr>
          <w:p w:rsidR="00376768" w:rsidRDefault="00EC2B72">
            <w:pPr>
              <w:rPr>
                <w:rFonts w:ascii="Arial" w:hAnsi="Arial" w:cs="Arial"/>
                <w:sz w:val="18"/>
              </w:rPr>
            </w:pPr>
            <w:r>
              <w:rPr>
                <w:rFonts w:ascii="Arial" w:hAnsi="Arial" w:cs="Arial"/>
                <w:sz w:val="18"/>
                <w:szCs w:val="18"/>
              </w:rPr>
              <w:t>Outplacement Services</w:t>
            </w:r>
          </w:p>
        </w:tc>
        <w:tc>
          <w:tcPr>
            <w:tcW w:w="107" w:type="pct"/>
            <w:tcBorders>
              <w:right w:val="single" w:sz="4" w:space="0" w:color="auto"/>
            </w:tcBorders>
          </w:tcPr>
          <w:p w:rsidR="00376768" w:rsidRDefault="00376768">
            <w:pPr>
              <w:jc w:val="center"/>
              <w:rPr>
                <w:rFonts w:ascii="Arial" w:hAnsi="Arial" w:cs="Arial"/>
                <w:sz w:val="18"/>
                <w:szCs w:val="2"/>
              </w:rPr>
            </w:pPr>
          </w:p>
        </w:tc>
        <w:tc>
          <w:tcPr>
            <w:tcW w:w="543" w:type="pct"/>
            <w:tcBorders>
              <w:top w:val="single" w:sz="4" w:space="0" w:color="auto"/>
              <w:left w:val="single" w:sz="4" w:space="0" w:color="auto"/>
              <w:bottom w:val="single" w:sz="4" w:space="0" w:color="auto"/>
            </w:tcBorders>
          </w:tcPr>
          <w:p w:rsidR="00376768" w:rsidRDefault="00376768">
            <w:pPr>
              <w:jc w:val="center"/>
              <w:rPr>
                <w:rFonts w:ascii="Arial" w:hAnsi="Arial" w:cs="Arial"/>
                <w:sz w:val="18"/>
                <w:szCs w:val="2"/>
              </w:rPr>
            </w:pPr>
          </w:p>
        </w:tc>
        <w:tc>
          <w:tcPr>
            <w:tcW w:w="36"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c>
          <w:tcPr>
            <w:tcW w:w="36"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524" w:type="pct"/>
            <w:tcBorders>
              <w:top w:val="single" w:sz="4" w:space="0" w:color="auto"/>
              <w:left w:val="nil"/>
              <w:bottom w:val="single" w:sz="4" w:space="0" w:color="auto"/>
            </w:tcBorders>
            <w:vAlign w:val="center"/>
          </w:tcPr>
          <w:p w:rsidR="00376768" w:rsidRDefault="00376768">
            <w:pPr>
              <w:jc w:val="center"/>
              <w:rPr>
                <w:rFonts w:ascii="Arial" w:hAnsi="Arial" w:cs="Arial"/>
                <w:sz w:val="18"/>
                <w:szCs w:val="2"/>
              </w:rPr>
            </w:pPr>
          </w:p>
        </w:tc>
        <w:tc>
          <w:tcPr>
            <w:tcW w:w="38"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c>
          <w:tcPr>
            <w:tcW w:w="39"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519" w:type="pct"/>
            <w:tcBorders>
              <w:top w:val="single" w:sz="4" w:space="0" w:color="auto"/>
              <w:left w:val="nil"/>
              <w:bottom w:val="single" w:sz="4" w:space="0" w:color="auto"/>
            </w:tcBorders>
            <w:vAlign w:val="center"/>
          </w:tcPr>
          <w:p w:rsidR="00376768" w:rsidRDefault="00376768">
            <w:pPr>
              <w:jc w:val="center"/>
              <w:rPr>
                <w:rFonts w:ascii="Arial" w:hAnsi="Arial" w:cs="Arial"/>
                <w:sz w:val="18"/>
                <w:szCs w:val="2"/>
              </w:rPr>
            </w:pPr>
          </w:p>
        </w:tc>
        <w:tc>
          <w:tcPr>
            <w:tcW w:w="31"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c>
          <w:tcPr>
            <w:tcW w:w="32"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508" w:type="pct"/>
            <w:tcBorders>
              <w:top w:val="single" w:sz="4" w:space="0" w:color="auto"/>
              <w:left w:val="nil"/>
              <w:bottom w:val="single" w:sz="4" w:space="0" w:color="auto"/>
              <w:right w:val="single" w:sz="4" w:space="0" w:color="auto"/>
            </w:tcBorders>
            <w:vAlign w:val="center"/>
          </w:tcPr>
          <w:p w:rsidR="00376768" w:rsidRDefault="00376768">
            <w:pPr>
              <w:jc w:val="center"/>
              <w:rPr>
                <w:rFonts w:ascii="Arial" w:hAnsi="Arial" w:cs="Arial"/>
                <w:sz w:val="18"/>
                <w:szCs w:val="2"/>
              </w:rPr>
            </w:pPr>
          </w:p>
        </w:tc>
        <w:tc>
          <w:tcPr>
            <w:tcW w:w="151" w:type="pct"/>
            <w:tcBorders>
              <w:left w:val="single" w:sz="4" w:space="0" w:color="auto"/>
              <w:right w:val="single" w:sz="4" w:space="0" w:color="auto"/>
            </w:tcBorders>
          </w:tcPr>
          <w:p w:rsidR="00376768" w:rsidRDefault="00376768">
            <w:pPr>
              <w:jc w:val="center"/>
              <w:rPr>
                <w:rFonts w:ascii="Arial" w:hAnsi="Arial" w:cs="Arial"/>
                <w:sz w:val="18"/>
                <w:szCs w:val="2"/>
              </w:rPr>
            </w:pPr>
          </w:p>
        </w:tc>
        <w:tc>
          <w:tcPr>
            <w:tcW w:w="590" w:type="pct"/>
            <w:tcBorders>
              <w:top w:val="single" w:sz="4" w:space="0" w:color="auto"/>
              <w:left w:val="single" w:sz="4" w:space="0" w:color="auto"/>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$15,000</w:t>
            </w:r>
          </w:p>
        </w:tc>
        <w:tc>
          <w:tcPr>
            <w:tcW w:w="25"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25"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83"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r>
      <w:tr w:rsidR="00376768">
        <w:tc>
          <w:tcPr>
            <w:tcW w:w="1213" w:type="pct"/>
            <w:vAlign w:val="center"/>
          </w:tcPr>
          <w:p w:rsidR="00376768" w:rsidRDefault="00EC2B72">
            <w:pPr>
              <w:rPr>
                <w:rFonts w:ascii="Arial" w:hAnsi="Arial" w:cs="Arial"/>
                <w:sz w:val="18"/>
              </w:rPr>
            </w:pPr>
            <w:r>
              <w:rPr>
                <w:rFonts w:ascii="Arial" w:hAnsi="Arial" w:cs="Arial"/>
                <w:sz w:val="18"/>
                <w:szCs w:val="18"/>
              </w:rPr>
              <w:t>SERP</w:t>
            </w:r>
            <w:r>
              <w:rPr>
                <w:rFonts w:ascii="Arial" w:hAnsi="Arial" w:cs="Arial"/>
                <w:b/>
                <w:bCs/>
                <w:sz w:val="18"/>
                <w:szCs w:val="14"/>
                <w:vertAlign w:val="superscript"/>
              </w:rPr>
              <w:t>(4)</w:t>
            </w:r>
          </w:p>
        </w:tc>
        <w:tc>
          <w:tcPr>
            <w:tcW w:w="107" w:type="pct"/>
            <w:tcBorders>
              <w:right w:val="single" w:sz="4" w:space="0" w:color="auto"/>
            </w:tcBorders>
          </w:tcPr>
          <w:p w:rsidR="00376768" w:rsidRDefault="00376768">
            <w:pPr>
              <w:jc w:val="center"/>
              <w:rPr>
                <w:rFonts w:ascii="Arial" w:hAnsi="Arial" w:cs="Arial"/>
                <w:sz w:val="18"/>
                <w:szCs w:val="18"/>
              </w:rPr>
            </w:pPr>
          </w:p>
        </w:tc>
        <w:tc>
          <w:tcPr>
            <w:tcW w:w="543" w:type="pct"/>
            <w:tcBorders>
              <w:top w:val="single" w:sz="4" w:space="0" w:color="auto"/>
              <w:left w:val="single" w:sz="4" w:space="0" w:color="auto"/>
              <w:bottom w:val="single" w:sz="4" w:space="0" w:color="auto"/>
            </w:tcBorders>
          </w:tcPr>
          <w:p w:rsidR="00376768" w:rsidRDefault="00EC2B72">
            <w:pPr>
              <w:jc w:val="center"/>
              <w:rPr>
                <w:rFonts w:ascii="Arial" w:hAnsi="Arial" w:cs="Arial"/>
                <w:sz w:val="18"/>
              </w:rPr>
            </w:pPr>
            <w:r>
              <w:rPr>
                <w:rFonts w:ascii="Arial" w:hAnsi="Arial" w:cs="Arial"/>
                <w:sz w:val="18"/>
                <w:szCs w:val="18"/>
              </w:rPr>
              <w:t>$0</w:t>
            </w:r>
          </w:p>
        </w:tc>
        <w:tc>
          <w:tcPr>
            <w:tcW w:w="36"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36"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24" w:type="pct"/>
            <w:tcBorders>
              <w:top w:val="single" w:sz="4" w:space="0" w:color="auto"/>
              <w:left w:val="nil"/>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$0</w:t>
            </w:r>
          </w:p>
        </w:tc>
        <w:tc>
          <w:tcPr>
            <w:tcW w:w="38"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39"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19" w:type="pct"/>
            <w:tcBorders>
              <w:top w:val="single" w:sz="4" w:space="0" w:color="auto"/>
              <w:left w:val="nil"/>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$0</w:t>
            </w:r>
          </w:p>
        </w:tc>
        <w:tc>
          <w:tcPr>
            <w:tcW w:w="31"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32"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08" w:type="pct"/>
            <w:tcBorders>
              <w:top w:val="single" w:sz="4" w:space="0" w:color="auto"/>
              <w:left w:val="nil"/>
              <w:bottom w:val="single" w:sz="4" w:space="0" w:color="auto"/>
              <w:right w:val="single" w:sz="4" w:space="0" w:color="auto"/>
            </w:tcBorders>
            <w:vAlign w:val="center"/>
          </w:tcPr>
          <w:p w:rsidR="00376768" w:rsidRDefault="00EC2B72">
            <w:pPr>
              <w:jc w:val="center"/>
              <w:rPr>
                <w:rFonts w:ascii="Arial" w:hAnsi="Arial" w:cs="Arial"/>
                <w:sz w:val="18"/>
              </w:rPr>
            </w:pPr>
            <w:r>
              <w:rPr>
                <w:rFonts w:ascii="Arial" w:hAnsi="Arial" w:cs="Arial"/>
                <w:sz w:val="18"/>
                <w:szCs w:val="18"/>
              </w:rPr>
              <w:t>$0</w:t>
            </w:r>
          </w:p>
        </w:tc>
        <w:tc>
          <w:tcPr>
            <w:tcW w:w="151" w:type="pct"/>
            <w:tcBorders>
              <w:left w:val="single" w:sz="4" w:space="0" w:color="auto"/>
              <w:right w:val="single" w:sz="4" w:space="0" w:color="auto"/>
            </w:tcBorders>
          </w:tcPr>
          <w:p w:rsidR="00376768" w:rsidRDefault="00376768">
            <w:pPr>
              <w:jc w:val="center"/>
              <w:rPr>
                <w:rFonts w:ascii="Arial" w:hAnsi="Arial" w:cs="Arial"/>
                <w:sz w:val="18"/>
                <w:szCs w:val="2"/>
              </w:rPr>
            </w:pPr>
          </w:p>
        </w:tc>
        <w:tc>
          <w:tcPr>
            <w:tcW w:w="590" w:type="pct"/>
            <w:tcBorders>
              <w:top w:val="single" w:sz="4" w:space="0" w:color="auto"/>
              <w:left w:val="single" w:sz="4" w:space="0" w:color="auto"/>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$0</w:t>
            </w:r>
          </w:p>
        </w:tc>
        <w:tc>
          <w:tcPr>
            <w:tcW w:w="25"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25"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83"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r>
      <w:tr w:rsidR="00376768">
        <w:tc>
          <w:tcPr>
            <w:tcW w:w="1213" w:type="pct"/>
            <w:vAlign w:val="center"/>
          </w:tcPr>
          <w:p w:rsidR="00376768" w:rsidRDefault="00376768">
            <w:pPr>
              <w:rPr>
                <w:rFonts w:ascii="Arial" w:hAnsi="Arial" w:cs="Arial"/>
                <w:sz w:val="18"/>
                <w:szCs w:val="2"/>
              </w:rPr>
            </w:pPr>
          </w:p>
        </w:tc>
        <w:tc>
          <w:tcPr>
            <w:tcW w:w="107" w:type="pct"/>
          </w:tcPr>
          <w:p w:rsidR="00376768" w:rsidRDefault="00376768">
            <w:pPr>
              <w:jc w:val="center"/>
              <w:rPr>
                <w:rFonts w:ascii="Arial" w:hAnsi="Arial" w:cs="Arial"/>
                <w:sz w:val="18"/>
              </w:rPr>
            </w:pPr>
          </w:p>
        </w:tc>
        <w:tc>
          <w:tcPr>
            <w:tcW w:w="543" w:type="pct"/>
            <w:tcBorders>
              <w:top w:val="single" w:sz="4" w:space="0" w:color="auto"/>
            </w:tcBorders>
          </w:tcPr>
          <w:p w:rsidR="00376768" w:rsidRDefault="00376768">
            <w:pPr>
              <w:jc w:val="center"/>
              <w:rPr>
                <w:rFonts w:ascii="Arial" w:hAnsi="Arial" w:cs="Arial"/>
                <w:sz w:val="18"/>
              </w:rPr>
            </w:pPr>
          </w:p>
        </w:tc>
        <w:tc>
          <w:tcPr>
            <w:tcW w:w="36" w:type="pct"/>
            <w:tcBorders>
              <w:top w:val="single" w:sz="4" w:space="0" w:color="auto"/>
            </w:tcBorders>
          </w:tcPr>
          <w:p w:rsidR="00376768" w:rsidRDefault="00376768">
            <w:pPr>
              <w:jc w:val="center"/>
              <w:rPr>
                <w:rFonts w:ascii="Arial" w:hAnsi="Arial" w:cs="Arial"/>
                <w:sz w:val="18"/>
              </w:rPr>
            </w:pPr>
          </w:p>
        </w:tc>
        <w:tc>
          <w:tcPr>
            <w:tcW w:w="36" w:type="pct"/>
            <w:tcBorders>
              <w:top w:val="single" w:sz="4" w:space="0" w:color="auto"/>
            </w:tcBorders>
          </w:tcPr>
          <w:p w:rsidR="00376768" w:rsidRDefault="00376768">
            <w:pPr>
              <w:jc w:val="center"/>
              <w:rPr>
                <w:rFonts w:ascii="Arial" w:hAnsi="Arial" w:cs="Arial"/>
                <w:sz w:val="18"/>
              </w:rPr>
            </w:pPr>
          </w:p>
        </w:tc>
        <w:tc>
          <w:tcPr>
            <w:tcW w:w="524" w:type="pct"/>
            <w:tcBorders>
              <w:top w:val="single" w:sz="4" w:space="0" w:color="auto"/>
            </w:tcBorders>
          </w:tcPr>
          <w:p w:rsidR="00376768" w:rsidRDefault="00376768">
            <w:pPr>
              <w:jc w:val="center"/>
              <w:rPr>
                <w:rFonts w:ascii="Arial" w:hAnsi="Arial" w:cs="Arial"/>
                <w:sz w:val="18"/>
              </w:rPr>
            </w:pPr>
          </w:p>
        </w:tc>
        <w:tc>
          <w:tcPr>
            <w:tcW w:w="38" w:type="pct"/>
            <w:tcBorders>
              <w:top w:val="single" w:sz="4" w:space="0" w:color="auto"/>
            </w:tcBorders>
          </w:tcPr>
          <w:p w:rsidR="00376768" w:rsidRDefault="00376768">
            <w:pPr>
              <w:jc w:val="center"/>
              <w:rPr>
                <w:rFonts w:ascii="Arial" w:hAnsi="Arial" w:cs="Arial"/>
                <w:sz w:val="18"/>
              </w:rPr>
            </w:pPr>
          </w:p>
        </w:tc>
        <w:tc>
          <w:tcPr>
            <w:tcW w:w="39" w:type="pct"/>
            <w:tcBorders>
              <w:top w:val="single" w:sz="4" w:space="0" w:color="auto"/>
            </w:tcBorders>
          </w:tcPr>
          <w:p w:rsidR="00376768" w:rsidRDefault="00376768">
            <w:pPr>
              <w:jc w:val="center"/>
              <w:rPr>
                <w:rFonts w:ascii="Arial" w:hAnsi="Arial" w:cs="Arial"/>
                <w:sz w:val="18"/>
              </w:rPr>
            </w:pPr>
          </w:p>
        </w:tc>
        <w:tc>
          <w:tcPr>
            <w:tcW w:w="519" w:type="pct"/>
            <w:tcBorders>
              <w:top w:val="single" w:sz="4" w:space="0" w:color="auto"/>
            </w:tcBorders>
          </w:tcPr>
          <w:p w:rsidR="00376768" w:rsidRDefault="00376768">
            <w:pPr>
              <w:jc w:val="center"/>
              <w:rPr>
                <w:rFonts w:ascii="Arial" w:hAnsi="Arial" w:cs="Arial"/>
                <w:sz w:val="18"/>
              </w:rPr>
            </w:pPr>
          </w:p>
        </w:tc>
        <w:tc>
          <w:tcPr>
            <w:tcW w:w="31" w:type="pct"/>
            <w:tcBorders>
              <w:top w:val="single" w:sz="4" w:space="0" w:color="auto"/>
            </w:tcBorders>
          </w:tcPr>
          <w:p w:rsidR="00376768" w:rsidRDefault="00376768">
            <w:pPr>
              <w:jc w:val="center"/>
              <w:rPr>
                <w:rFonts w:ascii="Arial" w:hAnsi="Arial" w:cs="Arial"/>
                <w:sz w:val="18"/>
              </w:rPr>
            </w:pPr>
          </w:p>
        </w:tc>
        <w:tc>
          <w:tcPr>
            <w:tcW w:w="32" w:type="pct"/>
            <w:tcBorders>
              <w:top w:val="single" w:sz="4" w:space="0" w:color="auto"/>
            </w:tcBorders>
          </w:tcPr>
          <w:p w:rsidR="00376768" w:rsidRDefault="00376768">
            <w:pPr>
              <w:jc w:val="center"/>
              <w:rPr>
                <w:rFonts w:ascii="Arial" w:hAnsi="Arial" w:cs="Arial"/>
                <w:sz w:val="18"/>
              </w:rPr>
            </w:pPr>
          </w:p>
        </w:tc>
        <w:tc>
          <w:tcPr>
            <w:tcW w:w="508" w:type="pct"/>
            <w:tcBorders>
              <w:top w:val="single" w:sz="4" w:space="0" w:color="auto"/>
            </w:tcBorders>
          </w:tcPr>
          <w:p w:rsidR="00376768" w:rsidRDefault="00376768">
            <w:pPr>
              <w:jc w:val="center"/>
              <w:rPr>
                <w:rFonts w:ascii="Arial" w:hAnsi="Arial" w:cs="Arial"/>
                <w:sz w:val="18"/>
              </w:rPr>
            </w:pPr>
          </w:p>
        </w:tc>
        <w:tc>
          <w:tcPr>
            <w:tcW w:w="151" w:type="pct"/>
          </w:tcPr>
          <w:p w:rsidR="00376768" w:rsidRDefault="00376768">
            <w:pPr>
              <w:jc w:val="center"/>
              <w:rPr>
                <w:rFonts w:ascii="Arial" w:hAnsi="Arial" w:cs="Arial"/>
                <w:sz w:val="18"/>
              </w:rPr>
            </w:pPr>
          </w:p>
        </w:tc>
        <w:tc>
          <w:tcPr>
            <w:tcW w:w="590" w:type="pct"/>
            <w:tcBorders>
              <w:top w:val="single" w:sz="4" w:space="0" w:color="auto"/>
            </w:tcBorders>
          </w:tcPr>
          <w:p w:rsidR="00376768" w:rsidRDefault="00376768">
            <w:pPr>
              <w:jc w:val="center"/>
              <w:rPr>
                <w:rFonts w:ascii="Arial" w:hAnsi="Arial" w:cs="Arial"/>
                <w:sz w:val="18"/>
              </w:rPr>
            </w:pPr>
          </w:p>
        </w:tc>
        <w:tc>
          <w:tcPr>
            <w:tcW w:w="25" w:type="pct"/>
            <w:tcBorders>
              <w:top w:val="single" w:sz="4" w:space="0" w:color="auto"/>
            </w:tcBorders>
          </w:tcPr>
          <w:p w:rsidR="00376768" w:rsidRDefault="00376768">
            <w:pPr>
              <w:jc w:val="center"/>
              <w:rPr>
                <w:rFonts w:ascii="Arial" w:hAnsi="Arial" w:cs="Arial"/>
                <w:sz w:val="18"/>
              </w:rPr>
            </w:pPr>
          </w:p>
        </w:tc>
        <w:tc>
          <w:tcPr>
            <w:tcW w:w="25" w:type="pct"/>
            <w:tcBorders>
              <w:top w:val="single" w:sz="4" w:space="0" w:color="auto"/>
            </w:tcBorders>
          </w:tcPr>
          <w:p w:rsidR="00376768" w:rsidRDefault="00376768">
            <w:pPr>
              <w:jc w:val="center"/>
              <w:rPr>
                <w:rFonts w:ascii="Arial" w:hAnsi="Arial" w:cs="Arial"/>
                <w:sz w:val="18"/>
              </w:rPr>
            </w:pPr>
          </w:p>
        </w:tc>
        <w:tc>
          <w:tcPr>
            <w:tcW w:w="583" w:type="pct"/>
            <w:tcBorders>
              <w:top w:val="single" w:sz="4" w:space="0" w:color="auto"/>
            </w:tcBorders>
          </w:tcPr>
          <w:p w:rsidR="00376768" w:rsidRDefault="00376768">
            <w:pPr>
              <w:jc w:val="center"/>
              <w:rPr>
                <w:rFonts w:ascii="Arial" w:hAnsi="Arial" w:cs="Arial"/>
                <w:sz w:val="18"/>
              </w:rPr>
            </w:pPr>
          </w:p>
        </w:tc>
      </w:tr>
      <w:tr w:rsidR="00376768">
        <w:tc>
          <w:tcPr>
            <w:tcW w:w="1213" w:type="pct"/>
            <w:vAlign w:val="center"/>
          </w:tcPr>
          <w:p w:rsidR="00376768" w:rsidRDefault="00EC2B72">
            <w:pPr>
              <w:jc w:val="center"/>
              <w:rPr>
                <w:rFonts w:ascii="Arial" w:hAnsi="Arial" w:cs="Arial"/>
                <w:sz w:val="18"/>
              </w:rPr>
            </w:pPr>
            <w:r>
              <w:rPr>
                <w:rFonts w:ascii="Arial" w:hAnsi="Arial" w:cs="Arial"/>
                <w:b/>
                <w:bCs/>
                <w:sz w:val="18"/>
                <w:szCs w:val="18"/>
              </w:rPr>
              <w:t>Totals</w:t>
            </w:r>
          </w:p>
        </w:tc>
        <w:tc>
          <w:tcPr>
            <w:tcW w:w="107" w:type="pct"/>
          </w:tcPr>
          <w:p w:rsidR="00376768" w:rsidRDefault="00376768">
            <w:pPr>
              <w:jc w:val="center"/>
              <w:rPr>
                <w:rFonts w:ascii="Arial" w:hAnsi="Arial" w:cs="Arial"/>
                <w:b/>
                <w:bCs/>
                <w:sz w:val="18"/>
                <w:szCs w:val="18"/>
              </w:rPr>
            </w:pPr>
          </w:p>
        </w:tc>
        <w:tc>
          <w:tcPr>
            <w:tcW w:w="543" w:type="pct"/>
            <w:tcBorders>
              <w:bottom w:val="double" w:sz="4" w:space="0" w:color="auto"/>
            </w:tcBorders>
          </w:tcPr>
          <w:p w:rsidR="00376768" w:rsidRDefault="00EC2B72">
            <w:pPr>
              <w:jc w:val="center"/>
              <w:rPr>
                <w:rFonts w:ascii="Arial" w:hAnsi="Arial" w:cs="Arial"/>
                <w:sz w:val="18"/>
              </w:rPr>
            </w:pPr>
            <w:r>
              <w:rPr>
                <w:rFonts w:ascii="Arial" w:hAnsi="Arial" w:cs="Arial"/>
                <w:b/>
                <w:bCs/>
                <w:sz w:val="18"/>
                <w:szCs w:val="18"/>
              </w:rPr>
              <w:t>$0</w:t>
            </w:r>
          </w:p>
        </w:tc>
        <w:tc>
          <w:tcPr>
            <w:tcW w:w="36" w:type="pct"/>
          </w:tcPr>
          <w:p w:rsidR="00376768" w:rsidRDefault="00376768">
            <w:pPr>
              <w:jc w:val="center"/>
              <w:rPr>
                <w:rFonts w:ascii="Arial" w:hAnsi="Arial" w:cs="Arial"/>
                <w:sz w:val="18"/>
              </w:rPr>
            </w:pPr>
          </w:p>
        </w:tc>
        <w:tc>
          <w:tcPr>
            <w:tcW w:w="36" w:type="pct"/>
          </w:tcPr>
          <w:p w:rsidR="00376768" w:rsidRDefault="00376768">
            <w:pPr>
              <w:jc w:val="center"/>
              <w:rPr>
                <w:rFonts w:ascii="Arial" w:hAnsi="Arial" w:cs="Arial"/>
                <w:sz w:val="18"/>
              </w:rPr>
            </w:pPr>
          </w:p>
        </w:tc>
        <w:tc>
          <w:tcPr>
            <w:tcW w:w="524" w:type="pct"/>
            <w:tcBorders>
              <w:bottom w:val="double" w:sz="4" w:space="0" w:color="auto"/>
            </w:tcBorders>
          </w:tcPr>
          <w:p w:rsidR="00376768" w:rsidRDefault="00EC2B72">
            <w:pPr>
              <w:jc w:val="center"/>
              <w:rPr>
                <w:rFonts w:ascii="Arial" w:hAnsi="Arial" w:cs="Arial"/>
                <w:sz w:val="18"/>
              </w:rPr>
            </w:pPr>
            <w:r>
              <w:rPr>
                <w:rFonts w:ascii="Arial" w:hAnsi="Arial" w:cs="Arial"/>
                <w:b/>
                <w:bCs/>
                <w:sz w:val="18"/>
                <w:szCs w:val="18"/>
              </w:rPr>
              <w:t>$141,223</w:t>
            </w:r>
          </w:p>
        </w:tc>
        <w:tc>
          <w:tcPr>
            <w:tcW w:w="38" w:type="pct"/>
          </w:tcPr>
          <w:p w:rsidR="00376768" w:rsidRDefault="00376768">
            <w:pPr>
              <w:jc w:val="center"/>
              <w:rPr>
                <w:rFonts w:ascii="Arial" w:hAnsi="Arial" w:cs="Arial"/>
                <w:sz w:val="18"/>
              </w:rPr>
            </w:pPr>
          </w:p>
        </w:tc>
        <w:tc>
          <w:tcPr>
            <w:tcW w:w="39" w:type="pct"/>
          </w:tcPr>
          <w:p w:rsidR="00376768" w:rsidRDefault="00376768">
            <w:pPr>
              <w:jc w:val="center"/>
              <w:rPr>
                <w:rFonts w:ascii="Arial" w:hAnsi="Arial" w:cs="Arial"/>
                <w:sz w:val="18"/>
              </w:rPr>
            </w:pPr>
          </w:p>
        </w:tc>
        <w:tc>
          <w:tcPr>
            <w:tcW w:w="519" w:type="pct"/>
            <w:tcBorders>
              <w:bottom w:val="double" w:sz="4" w:space="0" w:color="auto"/>
            </w:tcBorders>
          </w:tcPr>
          <w:p w:rsidR="00376768" w:rsidRDefault="00EC2B72">
            <w:pPr>
              <w:jc w:val="center"/>
              <w:rPr>
                <w:rFonts w:ascii="Arial" w:hAnsi="Arial" w:cs="Arial"/>
                <w:sz w:val="18"/>
              </w:rPr>
            </w:pPr>
            <w:r>
              <w:rPr>
                <w:rFonts w:ascii="Arial" w:hAnsi="Arial" w:cs="Arial"/>
                <w:b/>
                <w:bCs/>
                <w:sz w:val="18"/>
                <w:szCs w:val="18"/>
              </w:rPr>
              <w:t>$141,223</w:t>
            </w:r>
          </w:p>
        </w:tc>
        <w:tc>
          <w:tcPr>
            <w:tcW w:w="31" w:type="pct"/>
          </w:tcPr>
          <w:p w:rsidR="00376768" w:rsidRDefault="00376768">
            <w:pPr>
              <w:jc w:val="center"/>
              <w:rPr>
                <w:rFonts w:ascii="Arial" w:hAnsi="Arial" w:cs="Arial"/>
                <w:sz w:val="18"/>
              </w:rPr>
            </w:pPr>
          </w:p>
        </w:tc>
        <w:tc>
          <w:tcPr>
            <w:tcW w:w="32" w:type="pct"/>
          </w:tcPr>
          <w:p w:rsidR="00376768" w:rsidRDefault="00376768">
            <w:pPr>
              <w:jc w:val="center"/>
              <w:rPr>
                <w:rFonts w:ascii="Arial" w:hAnsi="Arial" w:cs="Arial"/>
                <w:sz w:val="18"/>
              </w:rPr>
            </w:pPr>
          </w:p>
        </w:tc>
        <w:tc>
          <w:tcPr>
            <w:tcW w:w="508" w:type="pct"/>
            <w:tcBorders>
              <w:bottom w:val="double" w:sz="4" w:space="0" w:color="auto"/>
            </w:tcBorders>
          </w:tcPr>
          <w:p w:rsidR="00376768" w:rsidRDefault="00EC2B72">
            <w:pPr>
              <w:jc w:val="center"/>
              <w:rPr>
                <w:rFonts w:ascii="Arial" w:hAnsi="Arial" w:cs="Arial"/>
                <w:sz w:val="18"/>
              </w:rPr>
            </w:pPr>
            <w:r>
              <w:rPr>
                <w:rFonts w:ascii="Arial" w:hAnsi="Arial" w:cs="Arial"/>
                <w:b/>
                <w:bCs/>
                <w:sz w:val="18"/>
                <w:szCs w:val="18"/>
              </w:rPr>
              <w:t>$141,223</w:t>
            </w:r>
          </w:p>
        </w:tc>
        <w:tc>
          <w:tcPr>
            <w:tcW w:w="151" w:type="pct"/>
          </w:tcPr>
          <w:p w:rsidR="00376768" w:rsidRDefault="00376768">
            <w:pPr>
              <w:jc w:val="center"/>
              <w:rPr>
                <w:rFonts w:ascii="Arial" w:hAnsi="Arial" w:cs="Arial"/>
                <w:sz w:val="18"/>
                <w:szCs w:val="2"/>
              </w:rPr>
            </w:pPr>
          </w:p>
        </w:tc>
        <w:tc>
          <w:tcPr>
            <w:tcW w:w="590" w:type="pct"/>
            <w:tcBorders>
              <w:bottom w:val="double" w:sz="4" w:space="0" w:color="auto"/>
            </w:tcBorders>
          </w:tcPr>
          <w:p w:rsidR="00376768" w:rsidRDefault="00EC2B72">
            <w:pPr>
              <w:jc w:val="center"/>
              <w:rPr>
                <w:rFonts w:ascii="Arial" w:hAnsi="Arial" w:cs="Arial"/>
                <w:sz w:val="18"/>
              </w:rPr>
            </w:pPr>
            <w:r>
              <w:rPr>
                <w:rFonts w:ascii="Arial" w:hAnsi="Arial" w:cs="Arial"/>
                <w:b/>
                <w:bCs/>
                <w:sz w:val="18"/>
                <w:szCs w:val="18"/>
              </w:rPr>
              <w:t>$772,735</w:t>
            </w:r>
          </w:p>
        </w:tc>
        <w:tc>
          <w:tcPr>
            <w:tcW w:w="25" w:type="pct"/>
          </w:tcPr>
          <w:p w:rsidR="00376768" w:rsidRDefault="00376768">
            <w:pPr>
              <w:jc w:val="center"/>
              <w:rPr>
                <w:rFonts w:ascii="Arial" w:hAnsi="Arial" w:cs="Arial"/>
                <w:sz w:val="18"/>
              </w:rPr>
            </w:pPr>
          </w:p>
        </w:tc>
        <w:tc>
          <w:tcPr>
            <w:tcW w:w="25" w:type="pct"/>
          </w:tcPr>
          <w:p w:rsidR="00376768" w:rsidRDefault="00376768">
            <w:pPr>
              <w:jc w:val="center"/>
              <w:rPr>
                <w:rFonts w:ascii="Arial" w:hAnsi="Arial" w:cs="Arial"/>
                <w:sz w:val="18"/>
              </w:rPr>
            </w:pPr>
          </w:p>
        </w:tc>
        <w:tc>
          <w:tcPr>
            <w:tcW w:w="583" w:type="pct"/>
            <w:tcBorders>
              <w:bottom w:val="double" w:sz="4" w:space="0" w:color="auto"/>
            </w:tcBorders>
          </w:tcPr>
          <w:p w:rsidR="00376768" w:rsidRDefault="00EC2B72">
            <w:pPr>
              <w:jc w:val="center"/>
              <w:rPr>
                <w:rFonts w:ascii="Arial" w:hAnsi="Arial" w:cs="Arial"/>
                <w:sz w:val="18"/>
              </w:rPr>
            </w:pPr>
            <w:r>
              <w:rPr>
                <w:rFonts w:ascii="Arial" w:hAnsi="Arial" w:cs="Arial"/>
                <w:b/>
                <w:bCs/>
                <w:sz w:val="18"/>
                <w:szCs w:val="18"/>
              </w:rPr>
              <w:t>$68,264</w:t>
            </w:r>
          </w:p>
        </w:tc>
      </w:tr>
    </w:tbl>
    <w:p w:rsidR="00376768" w:rsidRDefault="00376768">
      <w:pPr>
        <w:rPr>
          <w:rFonts w:ascii="Arial" w:hAnsi="Arial" w:cs="Arial"/>
          <w:sz w:val="2"/>
        </w:rPr>
      </w:pPr>
    </w:p>
    <w:tbl>
      <w:tblPr>
        <w:tblW w:w="5000" w:type="pct"/>
        <w:tblLayout w:type="fixed"/>
        <w:tblCellMar>
          <w:left w:w="0" w:type="dxa"/>
          <w:right w:w="0" w:type="dxa"/>
        </w:tblCellMar>
        <w:tblLook w:val="0000" w:firstRow="0" w:lastRow="0" w:firstColumn="0" w:lastColumn="0" w:noHBand="0" w:noVBand="0"/>
      </w:tblPr>
      <w:tblGrid>
        <w:gridCol w:w="2621"/>
        <w:gridCol w:w="231"/>
        <w:gridCol w:w="1173"/>
        <w:gridCol w:w="78"/>
        <w:gridCol w:w="78"/>
        <w:gridCol w:w="1132"/>
        <w:gridCol w:w="82"/>
        <w:gridCol w:w="84"/>
        <w:gridCol w:w="1121"/>
        <w:gridCol w:w="67"/>
        <w:gridCol w:w="69"/>
        <w:gridCol w:w="1097"/>
        <w:gridCol w:w="326"/>
        <w:gridCol w:w="1274"/>
        <w:gridCol w:w="54"/>
        <w:gridCol w:w="54"/>
        <w:gridCol w:w="1259"/>
      </w:tblGrid>
      <w:tr w:rsidR="00376768">
        <w:tc>
          <w:tcPr>
            <w:tcW w:w="1213" w:type="pct"/>
          </w:tcPr>
          <w:p w:rsidR="00376768" w:rsidRDefault="00376768">
            <w:pPr>
              <w:rPr>
                <w:rFonts w:ascii="Arial" w:hAnsi="Arial" w:cs="Arial"/>
                <w:sz w:val="18"/>
                <w:szCs w:val="16"/>
              </w:rPr>
            </w:pPr>
          </w:p>
        </w:tc>
        <w:tc>
          <w:tcPr>
            <w:tcW w:w="107" w:type="pct"/>
          </w:tcPr>
          <w:p w:rsidR="00376768" w:rsidRDefault="00376768">
            <w:pPr>
              <w:jc w:val="center"/>
              <w:rPr>
                <w:rFonts w:ascii="Arial" w:hAnsi="Arial" w:cs="Arial"/>
                <w:sz w:val="18"/>
                <w:szCs w:val="16"/>
              </w:rPr>
            </w:pPr>
          </w:p>
        </w:tc>
        <w:tc>
          <w:tcPr>
            <w:tcW w:w="543" w:type="pct"/>
          </w:tcPr>
          <w:p w:rsidR="00376768" w:rsidRDefault="00376768">
            <w:pPr>
              <w:jc w:val="center"/>
              <w:rPr>
                <w:rFonts w:ascii="Arial" w:hAnsi="Arial" w:cs="Arial"/>
                <w:sz w:val="18"/>
                <w:szCs w:val="16"/>
              </w:rPr>
            </w:pPr>
          </w:p>
        </w:tc>
        <w:tc>
          <w:tcPr>
            <w:tcW w:w="36" w:type="pct"/>
          </w:tcPr>
          <w:p w:rsidR="00376768" w:rsidRDefault="00376768">
            <w:pPr>
              <w:jc w:val="center"/>
              <w:rPr>
                <w:rFonts w:ascii="Arial" w:hAnsi="Arial" w:cs="Arial"/>
                <w:sz w:val="18"/>
                <w:szCs w:val="16"/>
              </w:rPr>
            </w:pPr>
          </w:p>
        </w:tc>
        <w:tc>
          <w:tcPr>
            <w:tcW w:w="36" w:type="pct"/>
          </w:tcPr>
          <w:p w:rsidR="00376768" w:rsidRDefault="00376768">
            <w:pPr>
              <w:jc w:val="center"/>
              <w:rPr>
                <w:rFonts w:ascii="Arial" w:hAnsi="Arial" w:cs="Arial"/>
                <w:sz w:val="18"/>
                <w:szCs w:val="16"/>
              </w:rPr>
            </w:pPr>
          </w:p>
        </w:tc>
        <w:tc>
          <w:tcPr>
            <w:tcW w:w="524" w:type="pct"/>
          </w:tcPr>
          <w:p w:rsidR="00376768" w:rsidRDefault="00376768">
            <w:pPr>
              <w:jc w:val="center"/>
              <w:rPr>
                <w:rFonts w:ascii="Arial" w:hAnsi="Arial" w:cs="Arial"/>
                <w:sz w:val="18"/>
                <w:szCs w:val="16"/>
              </w:rPr>
            </w:pPr>
          </w:p>
        </w:tc>
        <w:tc>
          <w:tcPr>
            <w:tcW w:w="77" w:type="pct"/>
            <w:gridSpan w:val="2"/>
          </w:tcPr>
          <w:p w:rsidR="00376768" w:rsidRDefault="00376768">
            <w:pPr>
              <w:jc w:val="center"/>
              <w:rPr>
                <w:rFonts w:ascii="Arial" w:hAnsi="Arial" w:cs="Arial"/>
                <w:sz w:val="18"/>
                <w:szCs w:val="16"/>
              </w:rPr>
            </w:pPr>
          </w:p>
        </w:tc>
        <w:tc>
          <w:tcPr>
            <w:tcW w:w="519" w:type="pct"/>
          </w:tcPr>
          <w:p w:rsidR="00376768" w:rsidRDefault="00376768">
            <w:pPr>
              <w:jc w:val="center"/>
              <w:rPr>
                <w:rFonts w:ascii="Arial" w:hAnsi="Arial" w:cs="Arial"/>
                <w:sz w:val="18"/>
                <w:szCs w:val="16"/>
              </w:rPr>
            </w:pPr>
          </w:p>
        </w:tc>
        <w:tc>
          <w:tcPr>
            <w:tcW w:w="63" w:type="pct"/>
            <w:gridSpan w:val="2"/>
          </w:tcPr>
          <w:p w:rsidR="00376768" w:rsidRDefault="00376768">
            <w:pPr>
              <w:jc w:val="center"/>
              <w:rPr>
                <w:rFonts w:ascii="Arial" w:hAnsi="Arial" w:cs="Arial"/>
                <w:sz w:val="18"/>
                <w:szCs w:val="16"/>
              </w:rPr>
            </w:pPr>
          </w:p>
        </w:tc>
        <w:tc>
          <w:tcPr>
            <w:tcW w:w="508" w:type="pct"/>
          </w:tcPr>
          <w:p w:rsidR="00376768" w:rsidRDefault="00376768">
            <w:pPr>
              <w:jc w:val="center"/>
              <w:rPr>
                <w:rFonts w:ascii="Arial" w:hAnsi="Arial" w:cs="Arial"/>
                <w:sz w:val="18"/>
                <w:szCs w:val="16"/>
              </w:rPr>
            </w:pPr>
          </w:p>
        </w:tc>
        <w:tc>
          <w:tcPr>
            <w:tcW w:w="151" w:type="pct"/>
          </w:tcPr>
          <w:p w:rsidR="00376768" w:rsidRDefault="00376768">
            <w:pPr>
              <w:jc w:val="center"/>
              <w:rPr>
                <w:rFonts w:ascii="Arial" w:hAnsi="Arial" w:cs="Arial"/>
                <w:sz w:val="18"/>
                <w:szCs w:val="16"/>
              </w:rPr>
            </w:pPr>
          </w:p>
        </w:tc>
        <w:tc>
          <w:tcPr>
            <w:tcW w:w="590" w:type="pct"/>
          </w:tcPr>
          <w:p w:rsidR="00376768" w:rsidRDefault="00376768">
            <w:pPr>
              <w:jc w:val="center"/>
              <w:rPr>
                <w:rFonts w:ascii="Arial" w:hAnsi="Arial" w:cs="Arial"/>
                <w:sz w:val="18"/>
                <w:szCs w:val="16"/>
              </w:rPr>
            </w:pPr>
          </w:p>
        </w:tc>
        <w:tc>
          <w:tcPr>
            <w:tcW w:w="50" w:type="pct"/>
            <w:gridSpan w:val="2"/>
          </w:tcPr>
          <w:p w:rsidR="00376768" w:rsidRDefault="00376768">
            <w:pPr>
              <w:jc w:val="center"/>
              <w:rPr>
                <w:rFonts w:ascii="Arial" w:hAnsi="Arial" w:cs="Arial"/>
                <w:sz w:val="18"/>
                <w:szCs w:val="16"/>
              </w:rPr>
            </w:pPr>
          </w:p>
        </w:tc>
        <w:tc>
          <w:tcPr>
            <w:tcW w:w="583" w:type="pct"/>
          </w:tcPr>
          <w:p w:rsidR="00376768" w:rsidRDefault="00376768">
            <w:pPr>
              <w:jc w:val="center"/>
              <w:rPr>
                <w:rFonts w:ascii="Arial" w:hAnsi="Arial" w:cs="Arial"/>
                <w:sz w:val="18"/>
                <w:szCs w:val="16"/>
              </w:rPr>
            </w:pPr>
          </w:p>
        </w:tc>
      </w:tr>
      <w:tr w:rsidR="00376768">
        <w:tc>
          <w:tcPr>
            <w:tcW w:w="1213" w:type="pct"/>
            <w:tcBorders>
              <w:bottom w:val="single" w:sz="4" w:space="0" w:color="auto"/>
            </w:tcBorders>
          </w:tcPr>
          <w:p w:rsidR="00376768" w:rsidRDefault="00EC2B72">
            <w:pPr>
              <w:rPr>
                <w:rFonts w:ascii="Arial" w:hAnsi="Arial" w:cs="Arial"/>
                <w:sz w:val="18"/>
                <w:szCs w:val="16"/>
              </w:rPr>
            </w:pPr>
            <w:r>
              <w:rPr>
                <w:rFonts w:ascii="Arial" w:hAnsi="Arial" w:cs="Arial"/>
                <w:b/>
                <w:bCs/>
                <w:sz w:val="18"/>
                <w:szCs w:val="18"/>
              </w:rPr>
              <w:t xml:space="preserve">John F. </w:t>
            </w:r>
            <w:proofErr w:type="spellStart"/>
            <w:r>
              <w:rPr>
                <w:rFonts w:ascii="Arial" w:hAnsi="Arial" w:cs="Arial"/>
                <w:b/>
                <w:bCs/>
                <w:sz w:val="18"/>
                <w:szCs w:val="18"/>
              </w:rPr>
              <w:t>Kasel</w:t>
            </w:r>
            <w:proofErr w:type="spellEnd"/>
          </w:p>
        </w:tc>
        <w:tc>
          <w:tcPr>
            <w:tcW w:w="107" w:type="pct"/>
          </w:tcPr>
          <w:p w:rsidR="00376768" w:rsidRDefault="00376768">
            <w:pPr>
              <w:jc w:val="center"/>
              <w:rPr>
                <w:rFonts w:ascii="Arial" w:hAnsi="Arial" w:cs="Arial"/>
                <w:sz w:val="18"/>
                <w:szCs w:val="16"/>
              </w:rPr>
            </w:pPr>
          </w:p>
        </w:tc>
        <w:tc>
          <w:tcPr>
            <w:tcW w:w="2306" w:type="pct"/>
            <w:gridSpan w:val="10"/>
            <w:tcBorders>
              <w:bottom w:val="single" w:sz="4" w:space="0" w:color="auto"/>
            </w:tcBorders>
          </w:tcPr>
          <w:p w:rsidR="00376768" w:rsidRDefault="00EC2B72">
            <w:pPr>
              <w:jc w:val="center"/>
              <w:rPr>
                <w:rFonts w:ascii="Arial" w:hAnsi="Arial" w:cs="Arial"/>
                <w:sz w:val="18"/>
                <w:szCs w:val="16"/>
              </w:rPr>
            </w:pPr>
            <w:r>
              <w:rPr>
                <w:rFonts w:ascii="Arial" w:hAnsi="Arial" w:cs="Arial"/>
                <w:sz w:val="18"/>
                <w:szCs w:val="18"/>
              </w:rPr>
              <w:t>Non-Change-in-Control</w:t>
            </w:r>
          </w:p>
        </w:tc>
        <w:tc>
          <w:tcPr>
            <w:tcW w:w="151" w:type="pct"/>
          </w:tcPr>
          <w:p w:rsidR="00376768" w:rsidRDefault="00376768">
            <w:pPr>
              <w:jc w:val="center"/>
              <w:rPr>
                <w:rFonts w:ascii="Arial" w:hAnsi="Arial" w:cs="Arial"/>
                <w:sz w:val="18"/>
                <w:szCs w:val="16"/>
              </w:rPr>
            </w:pPr>
          </w:p>
        </w:tc>
        <w:tc>
          <w:tcPr>
            <w:tcW w:w="1223" w:type="pct"/>
            <w:gridSpan w:val="4"/>
            <w:tcBorders>
              <w:bottom w:val="single" w:sz="4" w:space="0" w:color="auto"/>
            </w:tcBorders>
          </w:tcPr>
          <w:p w:rsidR="00376768" w:rsidRDefault="00EC2B72">
            <w:pPr>
              <w:jc w:val="center"/>
              <w:rPr>
                <w:rFonts w:ascii="Arial" w:hAnsi="Arial" w:cs="Arial"/>
                <w:sz w:val="18"/>
                <w:szCs w:val="16"/>
              </w:rPr>
            </w:pPr>
            <w:r>
              <w:rPr>
                <w:rFonts w:ascii="Arial" w:hAnsi="Arial" w:cs="Arial"/>
                <w:sz w:val="18"/>
                <w:szCs w:val="18"/>
              </w:rPr>
              <w:t>Change-in-Control</w:t>
            </w:r>
          </w:p>
        </w:tc>
      </w:tr>
      <w:tr w:rsidR="00376768">
        <w:tc>
          <w:tcPr>
            <w:tcW w:w="1213" w:type="pct"/>
            <w:tcBorders>
              <w:top w:val="single" w:sz="4" w:space="0" w:color="auto"/>
            </w:tcBorders>
            <w:vAlign w:val="center"/>
          </w:tcPr>
          <w:p w:rsidR="00376768" w:rsidRDefault="00EC2B72">
            <w:pPr>
              <w:rPr>
                <w:rFonts w:ascii="Arial" w:hAnsi="Arial" w:cs="Arial"/>
                <w:sz w:val="18"/>
                <w:szCs w:val="16"/>
              </w:rPr>
            </w:pPr>
            <w:r>
              <w:rPr>
                <w:rFonts w:ascii="Arial" w:hAnsi="Arial" w:cs="Arial"/>
                <w:sz w:val="18"/>
                <w:szCs w:val="18"/>
                <w:u w:val="single"/>
              </w:rPr>
              <w:t>NEO - Payments and Benefits</w:t>
            </w:r>
          </w:p>
        </w:tc>
        <w:tc>
          <w:tcPr>
            <w:tcW w:w="107" w:type="pct"/>
            <w:tcBorders>
              <w:right w:val="single" w:sz="4" w:space="0" w:color="auto"/>
            </w:tcBorders>
          </w:tcPr>
          <w:p w:rsidR="00376768" w:rsidRDefault="00376768">
            <w:pPr>
              <w:jc w:val="center"/>
              <w:rPr>
                <w:rFonts w:ascii="Arial" w:hAnsi="Arial" w:cs="Arial"/>
                <w:sz w:val="18"/>
                <w:szCs w:val="16"/>
              </w:rPr>
            </w:pPr>
          </w:p>
        </w:tc>
        <w:tc>
          <w:tcPr>
            <w:tcW w:w="543" w:type="pct"/>
            <w:tcBorders>
              <w:top w:val="single" w:sz="4" w:space="0" w:color="auto"/>
              <w:left w:val="single" w:sz="4" w:space="0" w:color="auto"/>
              <w:bottom w:val="single" w:sz="4" w:space="0" w:color="auto"/>
            </w:tcBorders>
            <w:vAlign w:val="center"/>
          </w:tcPr>
          <w:p w:rsidR="00376768" w:rsidRDefault="00EC2B72">
            <w:pPr>
              <w:jc w:val="center"/>
              <w:rPr>
                <w:rFonts w:ascii="Arial" w:hAnsi="Arial" w:cs="Arial"/>
                <w:sz w:val="18"/>
                <w:szCs w:val="16"/>
              </w:rPr>
            </w:pPr>
            <w:r>
              <w:rPr>
                <w:rFonts w:ascii="Arial" w:hAnsi="Arial" w:cs="Arial"/>
                <w:sz w:val="18"/>
                <w:szCs w:val="18"/>
              </w:rPr>
              <w:t xml:space="preserve">By Company </w:t>
            </w:r>
            <w:r>
              <w:rPr>
                <w:rFonts w:ascii="Arial" w:hAnsi="Arial" w:cs="Arial"/>
                <w:sz w:val="18"/>
                <w:szCs w:val="18"/>
              </w:rPr>
              <w:br/>
              <w:t xml:space="preserve">without </w:t>
            </w:r>
            <w:r>
              <w:rPr>
                <w:rFonts w:ascii="Arial" w:hAnsi="Arial" w:cs="Arial"/>
                <w:sz w:val="18"/>
                <w:szCs w:val="18"/>
              </w:rPr>
              <w:br/>
              <w:t xml:space="preserve">Cause or by </w:t>
            </w:r>
            <w:r>
              <w:rPr>
                <w:rFonts w:ascii="Arial" w:hAnsi="Arial" w:cs="Arial"/>
                <w:sz w:val="18"/>
                <w:szCs w:val="18"/>
              </w:rPr>
              <w:br/>
              <w:t xml:space="preserve">Executive for </w:t>
            </w:r>
            <w:r>
              <w:rPr>
                <w:rFonts w:ascii="Arial" w:hAnsi="Arial" w:cs="Arial"/>
                <w:sz w:val="18"/>
                <w:szCs w:val="18"/>
              </w:rPr>
              <w:br/>
              <w:t>Good Reason</w:t>
            </w:r>
          </w:p>
        </w:tc>
        <w:tc>
          <w:tcPr>
            <w:tcW w:w="36" w:type="pct"/>
            <w:tcBorders>
              <w:top w:val="single" w:sz="4" w:space="0" w:color="auto"/>
              <w:left w:val="nil"/>
              <w:bottom w:val="single" w:sz="4" w:space="0" w:color="auto"/>
              <w:right w:val="single" w:sz="4" w:space="0" w:color="auto"/>
            </w:tcBorders>
            <w:vAlign w:val="center"/>
          </w:tcPr>
          <w:p w:rsidR="00376768" w:rsidRDefault="00376768">
            <w:pPr>
              <w:jc w:val="center"/>
              <w:rPr>
                <w:rFonts w:ascii="Arial" w:hAnsi="Arial" w:cs="Arial"/>
                <w:sz w:val="18"/>
                <w:szCs w:val="16"/>
              </w:rPr>
            </w:pPr>
          </w:p>
        </w:tc>
        <w:tc>
          <w:tcPr>
            <w:tcW w:w="36" w:type="pct"/>
            <w:tcBorders>
              <w:top w:val="single" w:sz="4" w:space="0" w:color="auto"/>
              <w:left w:val="nil"/>
              <w:bottom w:val="single" w:sz="4" w:space="0" w:color="auto"/>
            </w:tcBorders>
            <w:vAlign w:val="center"/>
          </w:tcPr>
          <w:p w:rsidR="00376768" w:rsidRDefault="00376768">
            <w:pPr>
              <w:jc w:val="center"/>
              <w:rPr>
                <w:rFonts w:ascii="Arial" w:hAnsi="Arial" w:cs="Arial"/>
                <w:sz w:val="18"/>
                <w:szCs w:val="16"/>
              </w:rPr>
            </w:pPr>
          </w:p>
        </w:tc>
        <w:tc>
          <w:tcPr>
            <w:tcW w:w="524" w:type="pct"/>
            <w:tcBorders>
              <w:top w:val="single" w:sz="4" w:space="0" w:color="auto"/>
              <w:left w:val="nil"/>
              <w:bottom w:val="single" w:sz="4" w:space="0" w:color="auto"/>
            </w:tcBorders>
            <w:vAlign w:val="center"/>
          </w:tcPr>
          <w:p w:rsidR="00376768" w:rsidRDefault="00EC2B72">
            <w:pPr>
              <w:jc w:val="center"/>
              <w:rPr>
                <w:rFonts w:ascii="Arial" w:hAnsi="Arial" w:cs="Arial"/>
                <w:sz w:val="18"/>
                <w:szCs w:val="16"/>
              </w:rPr>
            </w:pPr>
            <w:r>
              <w:rPr>
                <w:rFonts w:ascii="Arial" w:hAnsi="Arial" w:cs="Arial"/>
                <w:sz w:val="18"/>
                <w:szCs w:val="18"/>
              </w:rPr>
              <w:t>Death</w:t>
            </w:r>
          </w:p>
        </w:tc>
        <w:tc>
          <w:tcPr>
            <w:tcW w:w="38" w:type="pct"/>
            <w:tcBorders>
              <w:top w:val="single" w:sz="4" w:space="0" w:color="auto"/>
              <w:left w:val="nil"/>
              <w:bottom w:val="single" w:sz="4" w:space="0" w:color="auto"/>
              <w:right w:val="single" w:sz="4" w:space="0" w:color="auto"/>
            </w:tcBorders>
            <w:vAlign w:val="center"/>
          </w:tcPr>
          <w:p w:rsidR="00376768" w:rsidRDefault="00376768">
            <w:pPr>
              <w:jc w:val="center"/>
              <w:rPr>
                <w:rFonts w:ascii="Arial" w:hAnsi="Arial" w:cs="Arial"/>
                <w:sz w:val="18"/>
                <w:szCs w:val="16"/>
              </w:rPr>
            </w:pPr>
          </w:p>
        </w:tc>
        <w:tc>
          <w:tcPr>
            <w:tcW w:w="39" w:type="pct"/>
            <w:tcBorders>
              <w:top w:val="single" w:sz="4" w:space="0" w:color="auto"/>
              <w:left w:val="nil"/>
              <w:bottom w:val="single" w:sz="4" w:space="0" w:color="auto"/>
            </w:tcBorders>
            <w:vAlign w:val="center"/>
          </w:tcPr>
          <w:p w:rsidR="00376768" w:rsidRDefault="00376768">
            <w:pPr>
              <w:jc w:val="center"/>
              <w:rPr>
                <w:rFonts w:ascii="Arial" w:hAnsi="Arial" w:cs="Arial"/>
                <w:sz w:val="18"/>
                <w:szCs w:val="16"/>
              </w:rPr>
            </w:pPr>
          </w:p>
        </w:tc>
        <w:tc>
          <w:tcPr>
            <w:tcW w:w="519" w:type="pct"/>
            <w:tcBorders>
              <w:top w:val="single" w:sz="4" w:space="0" w:color="auto"/>
              <w:left w:val="nil"/>
              <w:bottom w:val="single" w:sz="4" w:space="0" w:color="auto"/>
            </w:tcBorders>
            <w:vAlign w:val="center"/>
          </w:tcPr>
          <w:p w:rsidR="00376768" w:rsidRDefault="00EC2B72">
            <w:pPr>
              <w:jc w:val="center"/>
              <w:rPr>
                <w:rFonts w:ascii="Arial" w:hAnsi="Arial" w:cs="Arial"/>
                <w:sz w:val="18"/>
                <w:szCs w:val="16"/>
              </w:rPr>
            </w:pPr>
            <w:r>
              <w:rPr>
                <w:rFonts w:ascii="Arial" w:hAnsi="Arial" w:cs="Arial"/>
                <w:sz w:val="18"/>
                <w:szCs w:val="16"/>
              </w:rPr>
              <w:t>Disability</w:t>
            </w:r>
          </w:p>
        </w:tc>
        <w:tc>
          <w:tcPr>
            <w:tcW w:w="31" w:type="pct"/>
            <w:tcBorders>
              <w:top w:val="single" w:sz="4" w:space="0" w:color="auto"/>
              <w:left w:val="nil"/>
              <w:bottom w:val="single" w:sz="4" w:space="0" w:color="auto"/>
              <w:right w:val="single" w:sz="4" w:space="0" w:color="auto"/>
            </w:tcBorders>
            <w:vAlign w:val="center"/>
          </w:tcPr>
          <w:p w:rsidR="00376768" w:rsidRDefault="00376768">
            <w:pPr>
              <w:jc w:val="center"/>
              <w:rPr>
                <w:rFonts w:ascii="Arial" w:hAnsi="Arial" w:cs="Arial"/>
                <w:sz w:val="18"/>
                <w:szCs w:val="16"/>
              </w:rPr>
            </w:pPr>
          </w:p>
        </w:tc>
        <w:tc>
          <w:tcPr>
            <w:tcW w:w="32" w:type="pct"/>
            <w:tcBorders>
              <w:top w:val="single" w:sz="4" w:space="0" w:color="auto"/>
              <w:left w:val="nil"/>
              <w:bottom w:val="single" w:sz="4" w:space="0" w:color="auto"/>
            </w:tcBorders>
            <w:vAlign w:val="center"/>
          </w:tcPr>
          <w:p w:rsidR="00376768" w:rsidRDefault="00376768">
            <w:pPr>
              <w:jc w:val="center"/>
              <w:rPr>
                <w:rFonts w:ascii="Arial" w:hAnsi="Arial" w:cs="Arial"/>
                <w:sz w:val="18"/>
                <w:szCs w:val="16"/>
              </w:rPr>
            </w:pPr>
          </w:p>
        </w:tc>
        <w:tc>
          <w:tcPr>
            <w:tcW w:w="508" w:type="pct"/>
            <w:tcBorders>
              <w:top w:val="single" w:sz="4" w:space="0" w:color="auto"/>
              <w:left w:val="nil"/>
              <w:bottom w:val="single" w:sz="4" w:space="0" w:color="auto"/>
              <w:right w:val="single" w:sz="4" w:space="0" w:color="auto"/>
            </w:tcBorders>
            <w:vAlign w:val="center"/>
          </w:tcPr>
          <w:p w:rsidR="00376768" w:rsidRDefault="00EC2B72">
            <w:pPr>
              <w:jc w:val="center"/>
              <w:rPr>
                <w:rFonts w:ascii="Arial" w:hAnsi="Arial" w:cs="Arial"/>
                <w:sz w:val="18"/>
                <w:szCs w:val="16"/>
              </w:rPr>
            </w:pPr>
            <w:r>
              <w:rPr>
                <w:rFonts w:ascii="Arial" w:hAnsi="Arial" w:cs="Arial"/>
                <w:sz w:val="18"/>
                <w:szCs w:val="16"/>
              </w:rPr>
              <w:t>Retirement</w:t>
            </w:r>
          </w:p>
        </w:tc>
        <w:tc>
          <w:tcPr>
            <w:tcW w:w="151" w:type="pct"/>
            <w:tcBorders>
              <w:left w:val="single" w:sz="4" w:space="0" w:color="auto"/>
              <w:right w:val="single" w:sz="4" w:space="0" w:color="auto"/>
            </w:tcBorders>
            <w:vAlign w:val="center"/>
          </w:tcPr>
          <w:p w:rsidR="00376768" w:rsidRDefault="00376768">
            <w:pPr>
              <w:jc w:val="center"/>
              <w:rPr>
                <w:rFonts w:ascii="Arial" w:hAnsi="Arial" w:cs="Arial"/>
                <w:sz w:val="18"/>
                <w:szCs w:val="16"/>
              </w:rPr>
            </w:pPr>
          </w:p>
        </w:tc>
        <w:tc>
          <w:tcPr>
            <w:tcW w:w="590" w:type="pct"/>
            <w:tcBorders>
              <w:top w:val="single" w:sz="4" w:space="0" w:color="auto"/>
              <w:left w:val="single" w:sz="4" w:space="0" w:color="auto"/>
              <w:bottom w:val="single" w:sz="4" w:space="0" w:color="auto"/>
            </w:tcBorders>
            <w:vAlign w:val="center"/>
          </w:tcPr>
          <w:p w:rsidR="00376768" w:rsidRDefault="00EC2B72">
            <w:pPr>
              <w:jc w:val="center"/>
              <w:rPr>
                <w:rFonts w:ascii="Arial" w:hAnsi="Arial" w:cs="Arial"/>
                <w:sz w:val="18"/>
                <w:szCs w:val="16"/>
              </w:rPr>
            </w:pPr>
            <w:r>
              <w:rPr>
                <w:rFonts w:ascii="Arial" w:hAnsi="Arial" w:cs="Arial"/>
                <w:sz w:val="18"/>
                <w:szCs w:val="18"/>
              </w:rPr>
              <w:t xml:space="preserve">By Company </w:t>
            </w:r>
            <w:r>
              <w:rPr>
                <w:rFonts w:ascii="Arial" w:hAnsi="Arial" w:cs="Arial"/>
                <w:sz w:val="18"/>
                <w:szCs w:val="18"/>
              </w:rPr>
              <w:br/>
              <w:t xml:space="preserve">without </w:t>
            </w:r>
            <w:r>
              <w:rPr>
                <w:rFonts w:ascii="Arial" w:hAnsi="Arial" w:cs="Arial"/>
                <w:sz w:val="18"/>
                <w:szCs w:val="18"/>
              </w:rPr>
              <w:br/>
              <w:t xml:space="preserve">Cause or by </w:t>
            </w:r>
            <w:r>
              <w:rPr>
                <w:rFonts w:ascii="Arial" w:hAnsi="Arial" w:cs="Arial"/>
                <w:sz w:val="18"/>
                <w:szCs w:val="18"/>
              </w:rPr>
              <w:br/>
              <w:t xml:space="preserve">Executive for </w:t>
            </w:r>
            <w:r>
              <w:rPr>
                <w:rFonts w:ascii="Arial" w:hAnsi="Arial" w:cs="Arial"/>
                <w:sz w:val="18"/>
                <w:szCs w:val="18"/>
              </w:rPr>
              <w:br/>
              <w:t>Good Reason</w:t>
            </w:r>
          </w:p>
        </w:tc>
        <w:tc>
          <w:tcPr>
            <w:tcW w:w="25" w:type="pct"/>
            <w:tcBorders>
              <w:top w:val="single" w:sz="4" w:space="0" w:color="auto"/>
              <w:left w:val="nil"/>
              <w:bottom w:val="single" w:sz="4" w:space="0" w:color="auto"/>
              <w:right w:val="single" w:sz="4" w:space="0" w:color="auto"/>
            </w:tcBorders>
            <w:vAlign w:val="center"/>
          </w:tcPr>
          <w:p w:rsidR="00376768" w:rsidRDefault="00376768">
            <w:pPr>
              <w:jc w:val="center"/>
              <w:rPr>
                <w:rFonts w:ascii="Arial" w:hAnsi="Arial" w:cs="Arial"/>
                <w:sz w:val="18"/>
                <w:szCs w:val="16"/>
              </w:rPr>
            </w:pPr>
          </w:p>
        </w:tc>
        <w:tc>
          <w:tcPr>
            <w:tcW w:w="25" w:type="pct"/>
            <w:tcBorders>
              <w:top w:val="single" w:sz="4" w:space="0" w:color="auto"/>
              <w:left w:val="nil"/>
              <w:bottom w:val="single" w:sz="4" w:space="0" w:color="auto"/>
            </w:tcBorders>
            <w:vAlign w:val="center"/>
          </w:tcPr>
          <w:p w:rsidR="00376768" w:rsidRDefault="00376768">
            <w:pPr>
              <w:jc w:val="center"/>
              <w:rPr>
                <w:rFonts w:ascii="Arial" w:hAnsi="Arial" w:cs="Arial"/>
                <w:sz w:val="18"/>
                <w:szCs w:val="16"/>
              </w:rPr>
            </w:pPr>
          </w:p>
        </w:tc>
        <w:tc>
          <w:tcPr>
            <w:tcW w:w="583" w:type="pct"/>
            <w:tcBorders>
              <w:top w:val="single" w:sz="4" w:space="0" w:color="auto"/>
              <w:left w:val="nil"/>
              <w:bottom w:val="single" w:sz="4" w:space="0" w:color="auto"/>
              <w:right w:val="single" w:sz="4" w:space="0" w:color="auto"/>
            </w:tcBorders>
            <w:vAlign w:val="center"/>
          </w:tcPr>
          <w:p w:rsidR="00376768" w:rsidRDefault="00EC2B72">
            <w:pPr>
              <w:jc w:val="center"/>
              <w:rPr>
                <w:rFonts w:ascii="Arial" w:hAnsi="Arial" w:cs="Arial"/>
                <w:sz w:val="18"/>
                <w:szCs w:val="16"/>
              </w:rPr>
            </w:pPr>
            <w:r>
              <w:rPr>
                <w:rFonts w:ascii="Arial" w:hAnsi="Arial" w:cs="Arial"/>
                <w:sz w:val="18"/>
                <w:szCs w:val="18"/>
              </w:rPr>
              <w:t xml:space="preserve">Without </w:t>
            </w:r>
            <w:r>
              <w:rPr>
                <w:rFonts w:ascii="Arial" w:hAnsi="Arial" w:cs="Arial"/>
                <w:sz w:val="18"/>
                <w:szCs w:val="18"/>
              </w:rPr>
              <w:br/>
              <w:t xml:space="preserve">Termination of </w:t>
            </w:r>
            <w:r>
              <w:rPr>
                <w:rFonts w:ascii="Arial" w:hAnsi="Arial" w:cs="Arial"/>
                <w:sz w:val="18"/>
                <w:szCs w:val="18"/>
              </w:rPr>
              <w:br/>
              <w:t xml:space="preserve">Employment </w:t>
            </w:r>
            <w:r>
              <w:rPr>
                <w:rFonts w:ascii="Arial" w:hAnsi="Arial" w:cs="Arial"/>
                <w:sz w:val="18"/>
                <w:szCs w:val="18"/>
              </w:rPr>
              <w:br/>
              <w:t xml:space="preserve">or Termination </w:t>
            </w:r>
            <w:r>
              <w:rPr>
                <w:rFonts w:ascii="Arial" w:hAnsi="Arial" w:cs="Arial"/>
                <w:sz w:val="18"/>
                <w:szCs w:val="18"/>
              </w:rPr>
              <w:br/>
              <w:t xml:space="preserve">for any other </w:t>
            </w:r>
            <w:r>
              <w:rPr>
                <w:rFonts w:ascii="Arial" w:hAnsi="Arial" w:cs="Arial"/>
                <w:sz w:val="18"/>
                <w:szCs w:val="18"/>
              </w:rPr>
              <w:br/>
              <w:t>Reason</w:t>
            </w:r>
          </w:p>
        </w:tc>
      </w:tr>
      <w:tr w:rsidR="00376768">
        <w:tc>
          <w:tcPr>
            <w:tcW w:w="1213" w:type="pct"/>
          </w:tcPr>
          <w:p w:rsidR="00376768" w:rsidRDefault="00376768">
            <w:pPr>
              <w:rPr>
                <w:rFonts w:ascii="Arial" w:hAnsi="Arial" w:cs="Arial"/>
                <w:sz w:val="18"/>
              </w:rPr>
            </w:pPr>
          </w:p>
        </w:tc>
        <w:tc>
          <w:tcPr>
            <w:tcW w:w="107" w:type="pct"/>
          </w:tcPr>
          <w:p w:rsidR="00376768" w:rsidRDefault="00376768">
            <w:pPr>
              <w:jc w:val="center"/>
              <w:rPr>
                <w:rFonts w:ascii="Arial" w:hAnsi="Arial" w:cs="Arial"/>
                <w:sz w:val="18"/>
              </w:rPr>
            </w:pPr>
          </w:p>
        </w:tc>
        <w:tc>
          <w:tcPr>
            <w:tcW w:w="543" w:type="pct"/>
            <w:tcBorders>
              <w:top w:val="single" w:sz="4" w:space="0" w:color="auto"/>
              <w:bottom w:val="single" w:sz="4" w:space="0" w:color="auto"/>
            </w:tcBorders>
          </w:tcPr>
          <w:p w:rsidR="00376768" w:rsidRDefault="00376768">
            <w:pPr>
              <w:jc w:val="center"/>
              <w:rPr>
                <w:rFonts w:ascii="Arial" w:hAnsi="Arial" w:cs="Arial"/>
                <w:sz w:val="18"/>
              </w:rPr>
            </w:pPr>
          </w:p>
        </w:tc>
        <w:tc>
          <w:tcPr>
            <w:tcW w:w="36" w:type="pct"/>
            <w:tcBorders>
              <w:top w:val="single" w:sz="4" w:space="0" w:color="auto"/>
              <w:bottom w:val="single" w:sz="4" w:space="0" w:color="auto"/>
            </w:tcBorders>
          </w:tcPr>
          <w:p w:rsidR="00376768" w:rsidRDefault="00376768">
            <w:pPr>
              <w:jc w:val="center"/>
              <w:rPr>
                <w:rFonts w:ascii="Arial" w:hAnsi="Arial" w:cs="Arial"/>
                <w:sz w:val="18"/>
              </w:rPr>
            </w:pPr>
          </w:p>
        </w:tc>
        <w:tc>
          <w:tcPr>
            <w:tcW w:w="36" w:type="pct"/>
            <w:tcBorders>
              <w:top w:val="single" w:sz="4" w:space="0" w:color="auto"/>
              <w:bottom w:val="single" w:sz="4" w:space="0" w:color="auto"/>
            </w:tcBorders>
          </w:tcPr>
          <w:p w:rsidR="00376768" w:rsidRDefault="00376768">
            <w:pPr>
              <w:jc w:val="center"/>
              <w:rPr>
                <w:rFonts w:ascii="Arial" w:hAnsi="Arial" w:cs="Arial"/>
                <w:sz w:val="18"/>
              </w:rPr>
            </w:pPr>
          </w:p>
        </w:tc>
        <w:tc>
          <w:tcPr>
            <w:tcW w:w="524" w:type="pct"/>
            <w:tcBorders>
              <w:top w:val="single" w:sz="4" w:space="0" w:color="auto"/>
              <w:bottom w:val="single" w:sz="4" w:space="0" w:color="auto"/>
            </w:tcBorders>
          </w:tcPr>
          <w:p w:rsidR="00376768" w:rsidRDefault="00376768">
            <w:pPr>
              <w:jc w:val="center"/>
              <w:rPr>
                <w:rFonts w:ascii="Arial" w:hAnsi="Arial" w:cs="Arial"/>
                <w:sz w:val="18"/>
              </w:rPr>
            </w:pPr>
          </w:p>
        </w:tc>
        <w:tc>
          <w:tcPr>
            <w:tcW w:w="38" w:type="pct"/>
            <w:tcBorders>
              <w:top w:val="single" w:sz="4" w:space="0" w:color="auto"/>
              <w:bottom w:val="single" w:sz="4" w:space="0" w:color="auto"/>
            </w:tcBorders>
          </w:tcPr>
          <w:p w:rsidR="00376768" w:rsidRDefault="00376768">
            <w:pPr>
              <w:jc w:val="center"/>
              <w:rPr>
                <w:rFonts w:ascii="Arial" w:hAnsi="Arial" w:cs="Arial"/>
                <w:sz w:val="18"/>
              </w:rPr>
            </w:pPr>
          </w:p>
        </w:tc>
        <w:tc>
          <w:tcPr>
            <w:tcW w:w="39" w:type="pct"/>
            <w:tcBorders>
              <w:top w:val="single" w:sz="4" w:space="0" w:color="auto"/>
              <w:bottom w:val="single" w:sz="4" w:space="0" w:color="auto"/>
            </w:tcBorders>
          </w:tcPr>
          <w:p w:rsidR="00376768" w:rsidRDefault="00376768">
            <w:pPr>
              <w:jc w:val="center"/>
              <w:rPr>
                <w:rFonts w:ascii="Arial" w:hAnsi="Arial" w:cs="Arial"/>
                <w:sz w:val="18"/>
              </w:rPr>
            </w:pPr>
          </w:p>
        </w:tc>
        <w:tc>
          <w:tcPr>
            <w:tcW w:w="519" w:type="pct"/>
            <w:tcBorders>
              <w:top w:val="single" w:sz="4" w:space="0" w:color="auto"/>
              <w:bottom w:val="single" w:sz="4" w:space="0" w:color="auto"/>
            </w:tcBorders>
          </w:tcPr>
          <w:p w:rsidR="00376768" w:rsidRDefault="00376768">
            <w:pPr>
              <w:jc w:val="center"/>
              <w:rPr>
                <w:rFonts w:ascii="Arial" w:hAnsi="Arial" w:cs="Arial"/>
                <w:sz w:val="18"/>
              </w:rPr>
            </w:pPr>
          </w:p>
        </w:tc>
        <w:tc>
          <w:tcPr>
            <w:tcW w:w="31" w:type="pct"/>
            <w:tcBorders>
              <w:top w:val="single" w:sz="4" w:space="0" w:color="auto"/>
              <w:bottom w:val="single" w:sz="4" w:space="0" w:color="auto"/>
            </w:tcBorders>
          </w:tcPr>
          <w:p w:rsidR="00376768" w:rsidRDefault="00376768">
            <w:pPr>
              <w:jc w:val="center"/>
              <w:rPr>
                <w:rFonts w:ascii="Arial" w:hAnsi="Arial" w:cs="Arial"/>
                <w:sz w:val="18"/>
              </w:rPr>
            </w:pPr>
          </w:p>
        </w:tc>
        <w:tc>
          <w:tcPr>
            <w:tcW w:w="32" w:type="pct"/>
            <w:tcBorders>
              <w:top w:val="single" w:sz="4" w:space="0" w:color="auto"/>
              <w:bottom w:val="single" w:sz="4" w:space="0" w:color="auto"/>
            </w:tcBorders>
          </w:tcPr>
          <w:p w:rsidR="00376768" w:rsidRDefault="00376768">
            <w:pPr>
              <w:jc w:val="center"/>
              <w:rPr>
                <w:rFonts w:ascii="Arial" w:hAnsi="Arial" w:cs="Arial"/>
                <w:sz w:val="18"/>
              </w:rPr>
            </w:pPr>
          </w:p>
        </w:tc>
        <w:tc>
          <w:tcPr>
            <w:tcW w:w="508" w:type="pct"/>
            <w:tcBorders>
              <w:top w:val="single" w:sz="4" w:space="0" w:color="auto"/>
              <w:bottom w:val="single" w:sz="4" w:space="0" w:color="auto"/>
            </w:tcBorders>
          </w:tcPr>
          <w:p w:rsidR="00376768" w:rsidRDefault="00376768">
            <w:pPr>
              <w:jc w:val="center"/>
              <w:rPr>
                <w:rFonts w:ascii="Arial" w:hAnsi="Arial" w:cs="Arial"/>
                <w:sz w:val="18"/>
              </w:rPr>
            </w:pPr>
          </w:p>
        </w:tc>
        <w:tc>
          <w:tcPr>
            <w:tcW w:w="151" w:type="pct"/>
          </w:tcPr>
          <w:p w:rsidR="00376768" w:rsidRDefault="00376768">
            <w:pPr>
              <w:jc w:val="center"/>
              <w:rPr>
                <w:rFonts w:ascii="Arial" w:hAnsi="Arial" w:cs="Arial"/>
                <w:sz w:val="18"/>
              </w:rPr>
            </w:pPr>
          </w:p>
        </w:tc>
        <w:tc>
          <w:tcPr>
            <w:tcW w:w="590" w:type="pct"/>
            <w:tcBorders>
              <w:top w:val="single" w:sz="4" w:space="0" w:color="auto"/>
              <w:bottom w:val="single" w:sz="4" w:space="0" w:color="auto"/>
            </w:tcBorders>
          </w:tcPr>
          <w:p w:rsidR="00376768" w:rsidRDefault="00376768">
            <w:pPr>
              <w:jc w:val="center"/>
              <w:rPr>
                <w:rFonts w:ascii="Arial" w:hAnsi="Arial" w:cs="Arial"/>
                <w:sz w:val="18"/>
              </w:rPr>
            </w:pPr>
          </w:p>
        </w:tc>
        <w:tc>
          <w:tcPr>
            <w:tcW w:w="25" w:type="pct"/>
            <w:tcBorders>
              <w:top w:val="single" w:sz="4" w:space="0" w:color="auto"/>
              <w:bottom w:val="single" w:sz="4" w:space="0" w:color="auto"/>
            </w:tcBorders>
          </w:tcPr>
          <w:p w:rsidR="00376768" w:rsidRDefault="00376768">
            <w:pPr>
              <w:jc w:val="center"/>
              <w:rPr>
                <w:rFonts w:ascii="Arial" w:hAnsi="Arial" w:cs="Arial"/>
                <w:sz w:val="18"/>
              </w:rPr>
            </w:pPr>
          </w:p>
        </w:tc>
        <w:tc>
          <w:tcPr>
            <w:tcW w:w="25" w:type="pct"/>
            <w:tcBorders>
              <w:top w:val="single" w:sz="4" w:space="0" w:color="auto"/>
              <w:bottom w:val="single" w:sz="4" w:space="0" w:color="auto"/>
            </w:tcBorders>
          </w:tcPr>
          <w:p w:rsidR="00376768" w:rsidRDefault="00376768">
            <w:pPr>
              <w:jc w:val="center"/>
              <w:rPr>
                <w:rFonts w:ascii="Arial" w:hAnsi="Arial" w:cs="Arial"/>
                <w:sz w:val="18"/>
              </w:rPr>
            </w:pPr>
          </w:p>
        </w:tc>
        <w:tc>
          <w:tcPr>
            <w:tcW w:w="583" w:type="pct"/>
            <w:tcBorders>
              <w:top w:val="single" w:sz="4" w:space="0" w:color="auto"/>
              <w:bottom w:val="single" w:sz="4" w:space="0" w:color="auto"/>
            </w:tcBorders>
          </w:tcPr>
          <w:p w:rsidR="00376768" w:rsidRDefault="00376768">
            <w:pPr>
              <w:jc w:val="center"/>
              <w:rPr>
                <w:rFonts w:ascii="Arial" w:hAnsi="Arial" w:cs="Arial"/>
                <w:sz w:val="18"/>
              </w:rPr>
            </w:pPr>
          </w:p>
        </w:tc>
      </w:tr>
      <w:tr w:rsidR="00376768">
        <w:tc>
          <w:tcPr>
            <w:tcW w:w="1213" w:type="pct"/>
            <w:vAlign w:val="center"/>
          </w:tcPr>
          <w:p w:rsidR="00376768" w:rsidRDefault="00EC2B72">
            <w:pPr>
              <w:rPr>
                <w:rFonts w:ascii="Arial" w:hAnsi="Arial" w:cs="Arial"/>
                <w:sz w:val="18"/>
              </w:rPr>
            </w:pPr>
            <w:r>
              <w:rPr>
                <w:rFonts w:ascii="Arial" w:hAnsi="Arial" w:cs="Arial"/>
                <w:sz w:val="18"/>
                <w:szCs w:val="18"/>
              </w:rPr>
              <w:t>Lump Sum Severance</w:t>
            </w:r>
            <w:r>
              <w:rPr>
                <w:rFonts w:ascii="Arial" w:hAnsi="Arial" w:cs="Arial"/>
                <w:b/>
                <w:bCs/>
                <w:sz w:val="18"/>
                <w:szCs w:val="14"/>
                <w:vertAlign w:val="superscript"/>
              </w:rPr>
              <w:t>(1)(2)</w:t>
            </w:r>
          </w:p>
        </w:tc>
        <w:tc>
          <w:tcPr>
            <w:tcW w:w="107" w:type="pct"/>
            <w:tcBorders>
              <w:right w:val="single" w:sz="4" w:space="0" w:color="auto"/>
            </w:tcBorders>
          </w:tcPr>
          <w:p w:rsidR="00376768" w:rsidRDefault="00376768">
            <w:pPr>
              <w:jc w:val="center"/>
              <w:rPr>
                <w:rFonts w:ascii="Arial" w:hAnsi="Arial" w:cs="Arial"/>
                <w:sz w:val="18"/>
                <w:szCs w:val="2"/>
              </w:rPr>
            </w:pPr>
          </w:p>
        </w:tc>
        <w:tc>
          <w:tcPr>
            <w:tcW w:w="543" w:type="pct"/>
            <w:tcBorders>
              <w:top w:val="single" w:sz="4" w:space="0" w:color="auto"/>
              <w:left w:val="single" w:sz="4" w:space="0" w:color="auto"/>
              <w:bottom w:val="single" w:sz="4" w:space="0" w:color="auto"/>
            </w:tcBorders>
          </w:tcPr>
          <w:p w:rsidR="00376768" w:rsidRDefault="00376768">
            <w:pPr>
              <w:jc w:val="center"/>
              <w:rPr>
                <w:rFonts w:ascii="Arial" w:hAnsi="Arial" w:cs="Arial"/>
                <w:sz w:val="18"/>
                <w:szCs w:val="2"/>
              </w:rPr>
            </w:pPr>
          </w:p>
        </w:tc>
        <w:tc>
          <w:tcPr>
            <w:tcW w:w="36"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c>
          <w:tcPr>
            <w:tcW w:w="36"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524" w:type="pct"/>
            <w:tcBorders>
              <w:top w:val="single" w:sz="4" w:space="0" w:color="auto"/>
              <w:left w:val="nil"/>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$145,274</w:t>
            </w:r>
          </w:p>
        </w:tc>
        <w:tc>
          <w:tcPr>
            <w:tcW w:w="38"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39"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19" w:type="pct"/>
            <w:tcBorders>
              <w:top w:val="single" w:sz="4" w:space="0" w:color="auto"/>
              <w:left w:val="nil"/>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$145,274</w:t>
            </w:r>
          </w:p>
        </w:tc>
        <w:tc>
          <w:tcPr>
            <w:tcW w:w="31"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32"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08" w:type="pct"/>
            <w:tcBorders>
              <w:top w:val="single" w:sz="4" w:space="0" w:color="auto"/>
              <w:left w:val="nil"/>
              <w:bottom w:val="single" w:sz="4" w:space="0" w:color="auto"/>
              <w:right w:val="single" w:sz="4" w:space="0" w:color="auto"/>
            </w:tcBorders>
            <w:vAlign w:val="center"/>
          </w:tcPr>
          <w:p w:rsidR="00376768" w:rsidRDefault="00EC2B72">
            <w:pPr>
              <w:jc w:val="center"/>
              <w:rPr>
                <w:rFonts w:ascii="Arial" w:hAnsi="Arial" w:cs="Arial"/>
                <w:sz w:val="18"/>
              </w:rPr>
            </w:pPr>
            <w:r>
              <w:rPr>
                <w:rFonts w:ascii="Arial" w:hAnsi="Arial" w:cs="Arial"/>
                <w:sz w:val="18"/>
                <w:szCs w:val="18"/>
              </w:rPr>
              <w:t>$145,274</w:t>
            </w:r>
          </w:p>
        </w:tc>
        <w:tc>
          <w:tcPr>
            <w:tcW w:w="151" w:type="pct"/>
            <w:tcBorders>
              <w:left w:val="single" w:sz="4" w:space="0" w:color="auto"/>
              <w:right w:val="single" w:sz="4" w:space="0" w:color="auto"/>
            </w:tcBorders>
          </w:tcPr>
          <w:p w:rsidR="00376768" w:rsidRDefault="00376768">
            <w:pPr>
              <w:jc w:val="center"/>
              <w:rPr>
                <w:rFonts w:ascii="Arial" w:hAnsi="Arial" w:cs="Arial"/>
                <w:sz w:val="18"/>
                <w:szCs w:val="2"/>
              </w:rPr>
            </w:pPr>
          </w:p>
        </w:tc>
        <w:tc>
          <w:tcPr>
            <w:tcW w:w="590" w:type="pct"/>
            <w:tcBorders>
              <w:top w:val="single" w:sz="4" w:space="0" w:color="auto"/>
              <w:left w:val="single" w:sz="4" w:space="0" w:color="auto"/>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$811,600</w:t>
            </w:r>
          </w:p>
        </w:tc>
        <w:tc>
          <w:tcPr>
            <w:tcW w:w="25"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25"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83"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r>
      <w:tr w:rsidR="00376768">
        <w:tc>
          <w:tcPr>
            <w:tcW w:w="1213" w:type="pct"/>
            <w:vAlign w:val="center"/>
          </w:tcPr>
          <w:p w:rsidR="00376768" w:rsidRDefault="00EC2B72">
            <w:pPr>
              <w:rPr>
                <w:rFonts w:ascii="Arial" w:hAnsi="Arial" w:cs="Arial"/>
                <w:sz w:val="18"/>
              </w:rPr>
            </w:pPr>
            <w:r>
              <w:rPr>
                <w:rFonts w:ascii="Arial" w:hAnsi="Arial" w:cs="Arial"/>
                <w:sz w:val="18"/>
                <w:szCs w:val="18"/>
              </w:rPr>
              <w:t>Benefits Continuation</w:t>
            </w:r>
            <w:r>
              <w:rPr>
                <w:rFonts w:ascii="Arial" w:hAnsi="Arial" w:cs="Arial"/>
                <w:b/>
                <w:bCs/>
                <w:sz w:val="18"/>
                <w:szCs w:val="14"/>
                <w:vertAlign w:val="superscript"/>
              </w:rPr>
              <w:t xml:space="preserve"> (3)</w:t>
            </w:r>
          </w:p>
        </w:tc>
        <w:tc>
          <w:tcPr>
            <w:tcW w:w="107" w:type="pct"/>
            <w:tcBorders>
              <w:right w:val="single" w:sz="4" w:space="0" w:color="auto"/>
            </w:tcBorders>
          </w:tcPr>
          <w:p w:rsidR="00376768" w:rsidRDefault="00376768">
            <w:pPr>
              <w:jc w:val="center"/>
              <w:rPr>
                <w:rFonts w:ascii="Arial" w:hAnsi="Arial" w:cs="Arial"/>
                <w:sz w:val="18"/>
                <w:szCs w:val="2"/>
              </w:rPr>
            </w:pPr>
          </w:p>
        </w:tc>
        <w:tc>
          <w:tcPr>
            <w:tcW w:w="543" w:type="pct"/>
            <w:tcBorders>
              <w:top w:val="single" w:sz="4" w:space="0" w:color="auto"/>
              <w:left w:val="single" w:sz="4" w:space="0" w:color="auto"/>
              <w:bottom w:val="single" w:sz="4" w:space="0" w:color="auto"/>
            </w:tcBorders>
          </w:tcPr>
          <w:p w:rsidR="00376768" w:rsidRDefault="00376768">
            <w:pPr>
              <w:jc w:val="center"/>
              <w:rPr>
                <w:rFonts w:ascii="Arial" w:hAnsi="Arial" w:cs="Arial"/>
                <w:sz w:val="18"/>
                <w:szCs w:val="2"/>
              </w:rPr>
            </w:pPr>
          </w:p>
        </w:tc>
        <w:tc>
          <w:tcPr>
            <w:tcW w:w="36"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c>
          <w:tcPr>
            <w:tcW w:w="36"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524" w:type="pct"/>
            <w:tcBorders>
              <w:top w:val="single" w:sz="4" w:space="0" w:color="auto"/>
              <w:left w:val="nil"/>
              <w:bottom w:val="single" w:sz="4" w:space="0" w:color="auto"/>
            </w:tcBorders>
            <w:vAlign w:val="center"/>
          </w:tcPr>
          <w:p w:rsidR="00376768" w:rsidRDefault="00376768">
            <w:pPr>
              <w:jc w:val="center"/>
              <w:rPr>
                <w:rFonts w:ascii="Arial" w:hAnsi="Arial" w:cs="Arial"/>
                <w:sz w:val="18"/>
                <w:szCs w:val="2"/>
              </w:rPr>
            </w:pPr>
          </w:p>
        </w:tc>
        <w:tc>
          <w:tcPr>
            <w:tcW w:w="38"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c>
          <w:tcPr>
            <w:tcW w:w="39"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519" w:type="pct"/>
            <w:tcBorders>
              <w:top w:val="single" w:sz="4" w:space="0" w:color="auto"/>
              <w:left w:val="nil"/>
              <w:bottom w:val="single" w:sz="4" w:space="0" w:color="auto"/>
            </w:tcBorders>
            <w:vAlign w:val="center"/>
          </w:tcPr>
          <w:p w:rsidR="00376768" w:rsidRDefault="00376768">
            <w:pPr>
              <w:jc w:val="center"/>
              <w:rPr>
                <w:rFonts w:ascii="Arial" w:hAnsi="Arial" w:cs="Arial"/>
                <w:sz w:val="18"/>
                <w:szCs w:val="2"/>
              </w:rPr>
            </w:pPr>
          </w:p>
        </w:tc>
        <w:tc>
          <w:tcPr>
            <w:tcW w:w="31"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c>
          <w:tcPr>
            <w:tcW w:w="32"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508" w:type="pct"/>
            <w:tcBorders>
              <w:top w:val="single" w:sz="4" w:space="0" w:color="auto"/>
              <w:left w:val="nil"/>
              <w:bottom w:val="single" w:sz="4" w:space="0" w:color="auto"/>
              <w:right w:val="single" w:sz="4" w:space="0" w:color="auto"/>
            </w:tcBorders>
            <w:vAlign w:val="center"/>
          </w:tcPr>
          <w:p w:rsidR="00376768" w:rsidRDefault="00376768">
            <w:pPr>
              <w:jc w:val="center"/>
              <w:rPr>
                <w:rFonts w:ascii="Arial" w:hAnsi="Arial" w:cs="Arial"/>
                <w:sz w:val="18"/>
                <w:szCs w:val="2"/>
              </w:rPr>
            </w:pPr>
          </w:p>
        </w:tc>
        <w:tc>
          <w:tcPr>
            <w:tcW w:w="151" w:type="pct"/>
            <w:tcBorders>
              <w:left w:val="single" w:sz="4" w:space="0" w:color="auto"/>
              <w:right w:val="single" w:sz="4" w:space="0" w:color="auto"/>
            </w:tcBorders>
          </w:tcPr>
          <w:p w:rsidR="00376768" w:rsidRDefault="00376768">
            <w:pPr>
              <w:jc w:val="center"/>
              <w:rPr>
                <w:rFonts w:ascii="Arial" w:hAnsi="Arial" w:cs="Arial"/>
                <w:sz w:val="18"/>
                <w:szCs w:val="2"/>
              </w:rPr>
            </w:pPr>
          </w:p>
        </w:tc>
        <w:tc>
          <w:tcPr>
            <w:tcW w:w="590" w:type="pct"/>
            <w:tcBorders>
              <w:top w:val="single" w:sz="4" w:space="0" w:color="auto"/>
              <w:left w:val="single" w:sz="4" w:space="0" w:color="auto"/>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$27,743</w:t>
            </w:r>
          </w:p>
        </w:tc>
        <w:tc>
          <w:tcPr>
            <w:tcW w:w="25"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25"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83"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r>
      <w:tr w:rsidR="00376768">
        <w:tc>
          <w:tcPr>
            <w:tcW w:w="1213" w:type="pct"/>
            <w:vAlign w:val="center"/>
          </w:tcPr>
          <w:p w:rsidR="00376768" w:rsidRDefault="00EC2B72">
            <w:pPr>
              <w:rPr>
                <w:rFonts w:ascii="Arial" w:hAnsi="Arial" w:cs="Arial"/>
                <w:sz w:val="18"/>
              </w:rPr>
            </w:pPr>
            <w:r>
              <w:rPr>
                <w:rFonts w:ascii="Arial" w:hAnsi="Arial" w:cs="Arial"/>
                <w:sz w:val="18"/>
                <w:szCs w:val="18"/>
              </w:rPr>
              <w:t>Equity Awards (Unvested)</w:t>
            </w:r>
          </w:p>
        </w:tc>
        <w:tc>
          <w:tcPr>
            <w:tcW w:w="107" w:type="pct"/>
            <w:tcBorders>
              <w:right w:val="single" w:sz="4" w:space="0" w:color="auto"/>
            </w:tcBorders>
          </w:tcPr>
          <w:p w:rsidR="00376768" w:rsidRDefault="00376768">
            <w:pPr>
              <w:jc w:val="center"/>
              <w:rPr>
                <w:rFonts w:ascii="Arial" w:hAnsi="Arial" w:cs="Arial"/>
                <w:sz w:val="18"/>
                <w:szCs w:val="2"/>
              </w:rPr>
            </w:pPr>
          </w:p>
        </w:tc>
        <w:tc>
          <w:tcPr>
            <w:tcW w:w="543" w:type="pct"/>
            <w:tcBorders>
              <w:top w:val="single" w:sz="4" w:space="0" w:color="auto"/>
              <w:left w:val="single" w:sz="4" w:space="0" w:color="auto"/>
              <w:bottom w:val="single" w:sz="4" w:space="0" w:color="auto"/>
            </w:tcBorders>
          </w:tcPr>
          <w:p w:rsidR="00376768" w:rsidRDefault="00376768">
            <w:pPr>
              <w:jc w:val="center"/>
              <w:rPr>
                <w:rFonts w:ascii="Arial" w:hAnsi="Arial" w:cs="Arial"/>
                <w:sz w:val="18"/>
                <w:szCs w:val="2"/>
              </w:rPr>
            </w:pPr>
          </w:p>
        </w:tc>
        <w:tc>
          <w:tcPr>
            <w:tcW w:w="36"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c>
          <w:tcPr>
            <w:tcW w:w="36"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524" w:type="pct"/>
            <w:tcBorders>
              <w:top w:val="single" w:sz="4" w:space="0" w:color="auto"/>
              <w:left w:val="nil"/>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$174,443</w:t>
            </w:r>
            <w:r>
              <w:rPr>
                <w:rFonts w:ascii="Arial" w:hAnsi="Arial" w:cs="Arial"/>
                <w:sz w:val="18"/>
                <w:szCs w:val="14"/>
                <w:vertAlign w:val="superscript"/>
              </w:rPr>
              <w:t>(5)</w:t>
            </w:r>
          </w:p>
        </w:tc>
        <w:tc>
          <w:tcPr>
            <w:tcW w:w="38"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39"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19" w:type="pct"/>
            <w:tcBorders>
              <w:top w:val="single" w:sz="4" w:space="0" w:color="auto"/>
              <w:left w:val="nil"/>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$174,443</w:t>
            </w:r>
            <w:r>
              <w:rPr>
                <w:rFonts w:ascii="Arial" w:hAnsi="Arial" w:cs="Arial"/>
                <w:sz w:val="18"/>
                <w:szCs w:val="14"/>
                <w:vertAlign w:val="superscript"/>
              </w:rPr>
              <w:t>(5)</w:t>
            </w:r>
          </w:p>
        </w:tc>
        <w:tc>
          <w:tcPr>
            <w:tcW w:w="31"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32"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08" w:type="pct"/>
            <w:tcBorders>
              <w:top w:val="single" w:sz="4" w:space="0" w:color="auto"/>
              <w:left w:val="nil"/>
              <w:bottom w:val="single" w:sz="4" w:space="0" w:color="auto"/>
              <w:right w:val="single" w:sz="4" w:space="0" w:color="auto"/>
            </w:tcBorders>
            <w:vAlign w:val="center"/>
          </w:tcPr>
          <w:p w:rsidR="00376768" w:rsidRDefault="00EC2B72">
            <w:pPr>
              <w:jc w:val="center"/>
              <w:rPr>
                <w:rFonts w:ascii="Arial" w:hAnsi="Arial" w:cs="Arial"/>
                <w:sz w:val="18"/>
              </w:rPr>
            </w:pPr>
            <w:r>
              <w:rPr>
                <w:rFonts w:ascii="Arial" w:hAnsi="Arial" w:cs="Arial"/>
                <w:sz w:val="18"/>
                <w:szCs w:val="18"/>
              </w:rPr>
              <w:t>$174,443</w:t>
            </w:r>
            <w:r>
              <w:rPr>
                <w:rFonts w:ascii="Arial" w:hAnsi="Arial" w:cs="Arial"/>
                <w:sz w:val="18"/>
                <w:szCs w:val="14"/>
                <w:vertAlign w:val="superscript"/>
              </w:rPr>
              <w:t>(5)</w:t>
            </w:r>
          </w:p>
        </w:tc>
        <w:tc>
          <w:tcPr>
            <w:tcW w:w="151" w:type="pct"/>
            <w:tcBorders>
              <w:left w:val="single" w:sz="4" w:space="0" w:color="auto"/>
              <w:right w:val="single" w:sz="4" w:space="0" w:color="auto"/>
            </w:tcBorders>
          </w:tcPr>
          <w:p w:rsidR="00376768" w:rsidRDefault="00376768">
            <w:pPr>
              <w:jc w:val="center"/>
              <w:rPr>
                <w:rFonts w:ascii="Arial" w:hAnsi="Arial" w:cs="Arial"/>
                <w:sz w:val="18"/>
                <w:szCs w:val="2"/>
              </w:rPr>
            </w:pPr>
          </w:p>
        </w:tc>
        <w:tc>
          <w:tcPr>
            <w:tcW w:w="590" w:type="pct"/>
            <w:tcBorders>
              <w:top w:val="single" w:sz="4" w:space="0" w:color="auto"/>
              <w:left w:val="single" w:sz="4" w:space="0" w:color="auto"/>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$1,024,377</w:t>
            </w:r>
            <w:r>
              <w:rPr>
                <w:rFonts w:ascii="Arial" w:hAnsi="Arial" w:cs="Arial"/>
                <w:sz w:val="18"/>
                <w:szCs w:val="14"/>
                <w:vertAlign w:val="superscript"/>
              </w:rPr>
              <w:t>(6)</w:t>
            </w:r>
          </w:p>
        </w:tc>
        <w:tc>
          <w:tcPr>
            <w:tcW w:w="25"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25"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83" w:type="pct"/>
            <w:tcBorders>
              <w:top w:val="single" w:sz="4" w:space="0" w:color="auto"/>
              <w:left w:val="nil"/>
              <w:bottom w:val="single" w:sz="4" w:space="0" w:color="auto"/>
              <w:right w:val="single" w:sz="4" w:space="0" w:color="auto"/>
            </w:tcBorders>
          </w:tcPr>
          <w:p w:rsidR="00376768" w:rsidRDefault="00EC2B72">
            <w:pPr>
              <w:jc w:val="center"/>
              <w:rPr>
                <w:rFonts w:ascii="Arial" w:hAnsi="Arial" w:cs="Arial"/>
                <w:sz w:val="18"/>
              </w:rPr>
            </w:pPr>
            <w:r>
              <w:rPr>
                <w:rFonts w:ascii="Arial" w:hAnsi="Arial" w:cs="Arial"/>
                <w:sz w:val="18"/>
                <w:szCs w:val="18"/>
              </w:rPr>
              <w:t>$174,443</w:t>
            </w:r>
            <w:r>
              <w:rPr>
                <w:rFonts w:ascii="Arial" w:hAnsi="Arial" w:cs="Arial"/>
                <w:sz w:val="18"/>
                <w:szCs w:val="14"/>
                <w:vertAlign w:val="superscript"/>
              </w:rPr>
              <w:t>(6)</w:t>
            </w:r>
          </w:p>
        </w:tc>
      </w:tr>
      <w:tr w:rsidR="00376768">
        <w:tc>
          <w:tcPr>
            <w:tcW w:w="1213" w:type="pct"/>
            <w:vAlign w:val="center"/>
          </w:tcPr>
          <w:p w:rsidR="00376768" w:rsidRDefault="00EC2B72">
            <w:pPr>
              <w:rPr>
                <w:rFonts w:ascii="Arial" w:hAnsi="Arial" w:cs="Arial"/>
                <w:sz w:val="18"/>
              </w:rPr>
            </w:pPr>
            <w:r>
              <w:rPr>
                <w:rFonts w:ascii="Arial" w:hAnsi="Arial" w:cs="Arial"/>
                <w:sz w:val="18"/>
                <w:szCs w:val="18"/>
              </w:rPr>
              <w:t>Outplacement Services</w:t>
            </w:r>
          </w:p>
        </w:tc>
        <w:tc>
          <w:tcPr>
            <w:tcW w:w="107" w:type="pct"/>
            <w:tcBorders>
              <w:right w:val="single" w:sz="4" w:space="0" w:color="auto"/>
            </w:tcBorders>
          </w:tcPr>
          <w:p w:rsidR="00376768" w:rsidRDefault="00376768">
            <w:pPr>
              <w:jc w:val="center"/>
              <w:rPr>
                <w:rFonts w:ascii="Arial" w:hAnsi="Arial" w:cs="Arial"/>
                <w:sz w:val="18"/>
                <w:szCs w:val="2"/>
              </w:rPr>
            </w:pPr>
          </w:p>
        </w:tc>
        <w:tc>
          <w:tcPr>
            <w:tcW w:w="543" w:type="pct"/>
            <w:tcBorders>
              <w:top w:val="single" w:sz="4" w:space="0" w:color="auto"/>
              <w:left w:val="single" w:sz="4" w:space="0" w:color="auto"/>
              <w:bottom w:val="single" w:sz="4" w:space="0" w:color="auto"/>
            </w:tcBorders>
          </w:tcPr>
          <w:p w:rsidR="00376768" w:rsidRDefault="00376768">
            <w:pPr>
              <w:jc w:val="center"/>
              <w:rPr>
                <w:rFonts w:ascii="Arial" w:hAnsi="Arial" w:cs="Arial"/>
                <w:sz w:val="18"/>
                <w:szCs w:val="2"/>
              </w:rPr>
            </w:pPr>
          </w:p>
        </w:tc>
        <w:tc>
          <w:tcPr>
            <w:tcW w:w="36"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c>
          <w:tcPr>
            <w:tcW w:w="36"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524" w:type="pct"/>
            <w:tcBorders>
              <w:top w:val="single" w:sz="4" w:space="0" w:color="auto"/>
              <w:left w:val="nil"/>
              <w:bottom w:val="single" w:sz="4" w:space="0" w:color="auto"/>
            </w:tcBorders>
            <w:vAlign w:val="center"/>
          </w:tcPr>
          <w:p w:rsidR="00376768" w:rsidRDefault="00376768">
            <w:pPr>
              <w:jc w:val="center"/>
              <w:rPr>
                <w:rFonts w:ascii="Arial" w:hAnsi="Arial" w:cs="Arial"/>
                <w:sz w:val="18"/>
                <w:szCs w:val="2"/>
              </w:rPr>
            </w:pPr>
          </w:p>
        </w:tc>
        <w:tc>
          <w:tcPr>
            <w:tcW w:w="38"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c>
          <w:tcPr>
            <w:tcW w:w="39"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519" w:type="pct"/>
            <w:tcBorders>
              <w:top w:val="single" w:sz="4" w:space="0" w:color="auto"/>
              <w:left w:val="nil"/>
              <w:bottom w:val="single" w:sz="4" w:space="0" w:color="auto"/>
            </w:tcBorders>
            <w:vAlign w:val="center"/>
          </w:tcPr>
          <w:p w:rsidR="00376768" w:rsidRDefault="00376768">
            <w:pPr>
              <w:jc w:val="center"/>
              <w:rPr>
                <w:rFonts w:ascii="Arial" w:hAnsi="Arial" w:cs="Arial"/>
                <w:sz w:val="18"/>
                <w:szCs w:val="2"/>
              </w:rPr>
            </w:pPr>
          </w:p>
        </w:tc>
        <w:tc>
          <w:tcPr>
            <w:tcW w:w="31"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c>
          <w:tcPr>
            <w:tcW w:w="32"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508" w:type="pct"/>
            <w:tcBorders>
              <w:top w:val="single" w:sz="4" w:space="0" w:color="auto"/>
              <w:left w:val="nil"/>
              <w:bottom w:val="single" w:sz="4" w:space="0" w:color="auto"/>
              <w:right w:val="single" w:sz="4" w:space="0" w:color="auto"/>
            </w:tcBorders>
            <w:vAlign w:val="center"/>
          </w:tcPr>
          <w:p w:rsidR="00376768" w:rsidRDefault="00376768">
            <w:pPr>
              <w:jc w:val="center"/>
              <w:rPr>
                <w:rFonts w:ascii="Arial" w:hAnsi="Arial" w:cs="Arial"/>
                <w:sz w:val="18"/>
                <w:szCs w:val="2"/>
              </w:rPr>
            </w:pPr>
          </w:p>
        </w:tc>
        <w:tc>
          <w:tcPr>
            <w:tcW w:w="151" w:type="pct"/>
            <w:tcBorders>
              <w:left w:val="single" w:sz="4" w:space="0" w:color="auto"/>
              <w:right w:val="single" w:sz="4" w:space="0" w:color="auto"/>
            </w:tcBorders>
          </w:tcPr>
          <w:p w:rsidR="00376768" w:rsidRDefault="00376768">
            <w:pPr>
              <w:jc w:val="center"/>
              <w:rPr>
                <w:rFonts w:ascii="Arial" w:hAnsi="Arial" w:cs="Arial"/>
                <w:sz w:val="18"/>
                <w:szCs w:val="2"/>
              </w:rPr>
            </w:pPr>
          </w:p>
        </w:tc>
        <w:tc>
          <w:tcPr>
            <w:tcW w:w="590" w:type="pct"/>
            <w:tcBorders>
              <w:top w:val="single" w:sz="4" w:space="0" w:color="auto"/>
              <w:left w:val="single" w:sz="4" w:space="0" w:color="auto"/>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$15,000</w:t>
            </w:r>
          </w:p>
        </w:tc>
        <w:tc>
          <w:tcPr>
            <w:tcW w:w="25"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25"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83"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r>
      <w:tr w:rsidR="00376768">
        <w:tc>
          <w:tcPr>
            <w:tcW w:w="1213" w:type="pct"/>
            <w:vAlign w:val="center"/>
          </w:tcPr>
          <w:p w:rsidR="00376768" w:rsidRDefault="00EC2B72">
            <w:pPr>
              <w:rPr>
                <w:rFonts w:ascii="Arial" w:hAnsi="Arial" w:cs="Arial"/>
                <w:sz w:val="18"/>
              </w:rPr>
            </w:pPr>
            <w:r>
              <w:rPr>
                <w:rFonts w:ascii="Arial" w:hAnsi="Arial" w:cs="Arial"/>
                <w:sz w:val="18"/>
                <w:szCs w:val="18"/>
              </w:rPr>
              <w:t>SERP</w:t>
            </w:r>
            <w:r>
              <w:rPr>
                <w:rFonts w:ascii="Arial" w:hAnsi="Arial" w:cs="Arial"/>
                <w:b/>
                <w:bCs/>
                <w:sz w:val="18"/>
                <w:szCs w:val="14"/>
                <w:vertAlign w:val="superscript"/>
              </w:rPr>
              <w:t>(4)</w:t>
            </w:r>
          </w:p>
        </w:tc>
        <w:tc>
          <w:tcPr>
            <w:tcW w:w="107" w:type="pct"/>
            <w:tcBorders>
              <w:right w:val="single" w:sz="4" w:space="0" w:color="auto"/>
            </w:tcBorders>
          </w:tcPr>
          <w:p w:rsidR="00376768" w:rsidRDefault="00376768">
            <w:pPr>
              <w:jc w:val="center"/>
              <w:rPr>
                <w:rFonts w:ascii="Arial" w:hAnsi="Arial" w:cs="Arial"/>
                <w:sz w:val="18"/>
                <w:szCs w:val="18"/>
              </w:rPr>
            </w:pPr>
          </w:p>
        </w:tc>
        <w:tc>
          <w:tcPr>
            <w:tcW w:w="543" w:type="pct"/>
            <w:tcBorders>
              <w:top w:val="single" w:sz="4" w:space="0" w:color="auto"/>
              <w:left w:val="single" w:sz="4" w:space="0" w:color="auto"/>
              <w:bottom w:val="single" w:sz="4" w:space="0" w:color="auto"/>
            </w:tcBorders>
          </w:tcPr>
          <w:p w:rsidR="00376768" w:rsidRDefault="00EC2B72">
            <w:pPr>
              <w:jc w:val="center"/>
              <w:rPr>
                <w:rFonts w:ascii="Arial" w:hAnsi="Arial" w:cs="Arial"/>
                <w:sz w:val="18"/>
              </w:rPr>
            </w:pPr>
            <w:r>
              <w:rPr>
                <w:rFonts w:ascii="Arial" w:hAnsi="Arial" w:cs="Arial"/>
                <w:sz w:val="18"/>
                <w:szCs w:val="18"/>
              </w:rPr>
              <w:t>$92,162</w:t>
            </w:r>
          </w:p>
        </w:tc>
        <w:tc>
          <w:tcPr>
            <w:tcW w:w="36"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36"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24" w:type="pct"/>
            <w:tcBorders>
              <w:top w:val="single" w:sz="4" w:space="0" w:color="auto"/>
              <w:left w:val="nil"/>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$92,162</w:t>
            </w:r>
          </w:p>
        </w:tc>
        <w:tc>
          <w:tcPr>
            <w:tcW w:w="38"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39"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19" w:type="pct"/>
            <w:tcBorders>
              <w:top w:val="single" w:sz="4" w:space="0" w:color="auto"/>
              <w:left w:val="nil"/>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$92,162</w:t>
            </w:r>
          </w:p>
        </w:tc>
        <w:tc>
          <w:tcPr>
            <w:tcW w:w="31"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32"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08" w:type="pct"/>
            <w:tcBorders>
              <w:top w:val="single" w:sz="4" w:space="0" w:color="auto"/>
              <w:left w:val="nil"/>
              <w:bottom w:val="single" w:sz="4" w:space="0" w:color="auto"/>
              <w:right w:val="single" w:sz="4" w:space="0" w:color="auto"/>
            </w:tcBorders>
            <w:vAlign w:val="center"/>
          </w:tcPr>
          <w:p w:rsidR="00376768" w:rsidRDefault="00EC2B72">
            <w:pPr>
              <w:jc w:val="center"/>
              <w:rPr>
                <w:rFonts w:ascii="Arial" w:hAnsi="Arial" w:cs="Arial"/>
                <w:sz w:val="18"/>
              </w:rPr>
            </w:pPr>
            <w:r>
              <w:rPr>
                <w:rFonts w:ascii="Arial" w:hAnsi="Arial" w:cs="Arial"/>
                <w:sz w:val="18"/>
                <w:szCs w:val="18"/>
              </w:rPr>
              <w:t>$92,162</w:t>
            </w:r>
          </w:p>
        </w:tc>
        <w:tc>
          <w:tcPr>
            <w:tcW w:w="151" w:type="pct"/>
            <w:tcBorders>
              <w:left w:val="single" w:sz="4" w:space="0" w:color="auto"/>
              <w:right w:val="single" w:sz="4" w:space="0" w:color="auto"/>
            </w:tcBorders>
          </w:tcPr>
          <w:p w:rsidR="00376768" w:rsidRDefault="00376768">
            <w:pPr>
              <w:jc w:val="center"/>
              <w:rPr>
                <w:rFonts w:ascii="Arial" w:hAnsi="Arial" w:cs="Arial"/>
                <w:sz w:val="18"/>
                <w:szCs w:val="2"/>
              </w:rPr>
            </w:pPr>
          </w:p>
        </w:tc>
        <w:tc>
          <w:tcPr>
            <w:tcW w:w="590" w:type="pct"/>
            <w:tcBorders>
              <w:top w:val="single" w:sz="4" w:space="0" w:color="auto"/>
              <w:left w:val="single" w:sz="4" w:space="0" w:color="auto"/>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$92,162</w:t>
            </w:r>
          </w:p>
        </w:tc>
        <w:tc>
          <w:tcPr>
            <w:tcW w:w="25"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25"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83"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r>
      <w:tr w:rsidR="00376768">
        <w:tc>
          <w:tcPr>
            <w:tcW w:w="1213" w:type="pct"/>
            <w:vAlign w:val="center"/>
          </w:tcPr>
          <w:p w:rsidR="00376768" w:rsidRDefault="00376768">
            <w:pPr>
              <w:rPr>
                <w:rFonts w:ascii="Arial" w:hAnsi="Arial" w:cs="Arial"/>
                <w:sz w:val="18"/>
                <w:szCs w:val="2"/>
              </w:rPr>
            </w:pPr>
          </w:p>
        </w:tc>
        <w:tc>
          <w:tcPr>
            <w:tcW w:w="107" w:type="pct"/>
          </w:tcPr>
          <w:p w:rsidR="00376768" w:rsidRDefault="00376768">
            <w:pPr>
              <w:jc w:val="center"/>
              <w:rPr>
                <w:rFonts w:ascii="Arial" w:hAnsi="Arial" w:cs="Arial"/>
                <w:sz w:val="18"/>
              </w:rPr>
            </w:pPr>
          </w:p>
        </w:tc>
        <w:tc>
          <w:tcPr>
            <w:tcW w:w="543" w:type="pct"/>
            <w:tcBorders>
              <w:top w:val="single" w:sz="4" w:space="0" w:color="auto"/>
            </w:tcBorders>
          </w:tcPr>
          <w:p w:rsidR="00376768" w:rsidRDefault="00376768">
            <w:pPr>
              <w:jc w:val="center"/>
              <w:rPr>
                <w:rFonts w:ascii="Arial" w:hAnsi="Arial" w:cs="Arial"/>
                <w:sz w:val="18"/>
              </w:rPr>
            </w:pPr>
          </w:p>
        </w:tc>
        <w:tc>
          <w:tcPr>
            <w:tcW w:w="36" w:type="pct"/>
            <w:tcBorders>
              <w:top w:val="single" w:sz="4" w:space="0" w:color="auto"/>
            </w:tcBorders>
          </w:tcPr>
          <w:p w:rsidR="00376768" w:rsidRDefault="00376768">
            <w:pPr>
              <w:jc w:val="center"/>
              <w:rPr>
                <w:rFonts w:ascii="Arial" w:hAnsi="Arial" w:cs="Arial"/>
                <w:sz w:val="18"/>
              </w:rPr>
            </w:pPr>
          </w:p>
        </w:tc>
        <w:tc>
          <w:tcPr>
            <w:tcW w:w="36" w:type="pct"/>
            <w:tcBorders>
              <w:top w:val="single" w:sz="4" w:space="0" w:color="auto"/>
            </w:tcBorders>
          </w:tcPr>
          <w:p w:rsidR="00376768" w:rsidRDefault="00376768">
            <w:pPr>
              <w:jc w:val="center"/>
              <w:rPr>
                <w:rFonts w:ascii="Arial" w:hAnsi="Arial" w:cs="Arial"/>
                <w:sz w:val="18"/>
              </w:rPr>
            </w:pPr>
          </w:p>
        </w:tc>
        <w:tc>
          <w:tcPr>
            <w:tcW w:w="524" w:type="pct"/>
            <w:tcBorders>
              <w:top w:val="single" w:sz="4" w:space="0" w:color="auto"/>
            </w:tcBorders>
          </w:tcPr>
          <w:p w:rsidR="00376768" w:rsidRDefault="00376768">
            <w:pPr>
              <w:jc w:val="center"/>
              <w:rPr>
                <w:rFonts w:ascii="Arial" w:hAnsi="Arial" w:cs="Arial"/>
                <w:sz w:val="18"/>
              </w:rPr>
            </w:pPr>
          </w:p>
        </w:tc>
        <w:tc>
          <w:tcPr>
            <w:tcW w:w="38" w:type="pct"/>
            <w:tcBorders>
              <w:top w:val="single" w:sz="4" w:space="0" w:color="auto"/>
            </w:tcBorders>
          </w:tcPr>
          <w:p w:rsidR="00376768" w:rsidRDefault="00376768">
            <w:pPr>
              <w:jc w:val="center"/>
              <w:rPr>
                <w:rFonts w:ascii="Arial" w:hAnsi="Arial" w:cs="Arial"/>
                <w:sz w:val="18"/>
              </w:rPr>
            </w:pPr>
          </w:p>
        </w:tc>
        <w:tc>
          <w:tcPr>
            <w:tcW w:w="39" w:type="pct"/>
            <w:tcBorders>
              <w:top w:val="single" w:sz="4" w:space="0" w:color="auto"/>
            </w:tcBorders>
          </w:tcPr>
          <w:p w:rsidR="00376768" w:rsidRDefault="00376768">
            <w:pPr>
              <w:jc w:val="center"/>
              <w:rPr>
                <w:rFonts w:ascii="Arial" w:hAnsi="Arial" w:cs="Arial"/>
                <w:sz w:val="18"/>
              </w:rPr>
            </w:pPr>
          </w:p>
        </w:tc>
        <w:tc>
          <w:tcPr>
            <w:tcW w:w="519" w:type="pct"/>
            <w:tcBorders>
              <w:top w:val="single" w:sz="4" w:space="0" w:color="auto"/>
            </w:tcBorders>
          </w:tcPr>
          <w:p w:rsidR="00376768" w:rsidRDefault="00376768">
            <w:pPr>
              <w:jc w:val="center"/>
              <w:rPr>
                <w:rFonts w:ascii="Arial" w:hAnsi="Arial" w:cs="Arial"/>
                <w:sz w:val="18"/>
              </w:rPr>
            </w:pPr>
          </w:p>
        </w:tc>
        <w:tc>
          <w:tcPr>
            <w:tcW w:w="31" w:type="pct"/>
            <w:tcBorders>
              <w:top w:val="single" w:sz="4" w:space="0" w:color="auto"/>
            </w:tcBorders>
          </w:tcPr>
          <w:p w:rsidR="00376768" w:rsidRDefault="00376768">
            <w:pPr>
              <w:jc w:val="center"/>
              <w:rPr>
                <w:rFonts w:ascii="Arial" w:hAnsi="Arial" w:cs="Arial"/>
                <w:sz w:val="18"/>
              </w:rPr>
            </w:pPr>
          </w:p>
        </w:tc>
        <w:tc>
          <w:tcPr>
            <w:tcW w:w="32" w:type="pct"/>
            <w:tcBorders>
              <w:top w:val="single" w:sz="4" w:space="0" w:color="auto"/>
            </w:tcBorders>
          </w:tcPr>
          <w:p w:rsidR="00376768" w:rsidRDefault="00376768">
            <w:pPr>
              <w:jc w:val="center"/>
              <w:rPr>
                <w:rFonts w:ascii="Arial" w:hAnsi="Arial" w:cs="Arial"/>
                <w:sz w:val="18"/>
              </w:rPr>
            </w:pPr>
          </w:p>
        </w:tc>
        <w:tc>
          <w:tcPr>
            <w:tcW w:w="508" w:type="pct"/>
            <w:tcBorders>
              <w:top w:val="single" w:sz="4" w:space="0" w:color="auto"/>
            </w:tcBorders>
          </w:tcPr>
          <w:p w:rsidR="00376768" w:rsidRDefault="00376768">
            <w:pPr>
              <w:jc w:val="center"/>
              <w:rPr>
                <w:rFonts w:ascii="Arial" w:hAnsi="Arial" w:cs="Arial"/>
                <w:sz w:val="18"/>
              </w:rPr>
            </w:pPr>
          </w:p>
        </w:tc>
        <w:tc>
          <w:tcPr>
            <w:tcW w:w="151" w:type="pct"/>
          </w:tcPr>
          <w:p w:rsidR="00376768" w:rsidRDefault="00376768">
            <w:pPr>
              <w:jc w:val="center"/>
              <w:rPr>
                <w:rFonts w:ascii="Arial" w:hAnsi="Arial" w:cs="Arial"/>
                <w:sz w:val="18"/>
              </w:rPr>
            </w:pPr>
          </w:p>
        </w:tc>
        <w:tc>
          <w:tcPr>
            <w:tcW w:w="590" w:type="pct"/>
            <w:tcBorders>
              <w:top w:val="single" w:sz="4" w:space="0" w:color="auto"/>
            </w:tcBorders>
          </w:tcPr>
          <w:p w:rsidR="00376768" w:rsidRDefault="00376768">
            <w:pPr>
              <w:jc w:val="center"/>
              <w:rPr>
                <w:rFonts w:ascii="Arial" w:hAnsi="Arial" w:cs="Arial"/>
                <w:sz w:val="18"/>
              </w:rPr>
            </w:pPr>
          </w:p>
        </w:tc>
        <w:tc>
          <w:tcPr>
            <w:tcW w:w="25" w:type="pct"/>
            <w:tcBorders>
              <w:top w:val="single" w:sz="4" w:space="0" w:color="auto"/>
            </w:tcBorders>
          </w:tcPr>
          <w:p w:rsidR="00376768" w:rsidRDefault="00376768">
            <w:pPr>
              <w:jc w:val="center"/>
              <w:rPr>
                <w:rFonts w:ascii="Arial" w:hAnsi="Arial" w:cs="Arial"/>
                <w:sz w:val="18"/>
              </w:rPr>
            </w:pPr>
          </w:p>
        </w:tc>
        <w:tc>
          <w:tcPr>
            <w:tcW w:w="25" w:type="pct"/>
            <w:tcBorders>
              <w:top w:val="single" w:sz="4" w:space="0" w:color="auto"/>
            </w:tcBorders>
          </w:tcPr>
          <w:p w:rsidR="00376768" w:rsidRDefault="00376768">
            <w:pPr>
              <w:jc w:val="center"/>
              <w:rPr>
                <w:rFonts w:ascii="Arial" w:hAnsi="Arial" w:cs="Arial"/>
                <w:sz w:val="18"/>
              </w:rPr>
            </w:pPr>
          </w:p>
        </w:tc>
        <w:tc>
          <w:tcPr>
            <w:tcW w:w="583" w:type="pct"/>
            <w:tcBorders>
              <w:top w:val="single" w:sz="4" w:space="0" w:color="auto"/>
            </w:tcBorders>
          </w:tcPr>
          <w:p w:rsidR="00376768" w:rsidRDefault="00376768">
            <w:pPr>
              <w:jc w:val="center"/>
              <w:rPr>
                <w:rFonts w:ascii="Arial" w:hAnsi="Arial" w:cs="Arial"/>
                <w:sz w:val="18"/>
              </w:rPr>
            </w:pPr>
          </w:p>
        </w:tc>
      </w:tr>
      <w:tr w:rsidR="00376768">
        <w:tc>
          <w:tcPr>
            <w:tcW w:w="1213" w:type="pct"/>
            <w:vAlign w:val="center"/>
          </w:tcPr>
          <w:p w:rsidR="00376768" w:rsidRDefault="00EC2B72">
            <w:pPr>
              <w:jc w:val="center"/>
              <w:rPr>
                <w:rFonts w:ascii="Arial" w:hAnsi="Arial" w:cs="Arial"/>
                <w:sz w:val="18"/>
              </w:rPr>
            </w:pPr>
            <w:r>
              <w:rPr>
                <w:rFonts w:ascii="Arial" w:hAnsi="Arial" w:cs="Arial"/>
                <w:b/>
                <w:bCs/>
                <w:sz w:val="18"/>
                <w:szCs w:val="18"/>
              </w:rPr>
              <w:t>Totals</w:t>
            </w:r>
          </w:p>
        </w:tc>
        <w:tc>
          <w:tcPr>
            <w:tcW w:w="107" w:type="pct"/>
          </w:tcPr>
          <w:p w:rsidR="00376768" w:rsidRDefault="00376768">
            <w:pPr>
              <w:jc w:val="center"/>
              <w:rPr>
                <w:rFonts w:ascii="Arial" w:hAnsi="Arial" w:cs="Arial"/>
                <w:b/>
                <w:bCs/>
                <w:sz w:val="18"/>
                <w:szCs w:val="18"/>
              </w:rPr>
            </w:pPr>
          </w:p>
        </w:tc>
        <w:tc>
          <w:tcPr>
            <w:tcW w:w="543" w:type="pct"/>
            <w:tcBorders>
              <w:bottom w:val="double" w:sz="4" w:space="0" w:color="auto"/>
            </w:tcBorders>
          </w:tcPr>
          <w:p w:rsidR="00376768" w:rsidRDefault="00EC2B72">
            <w:pPr>
              <w:jc w:val="center"/>
              <w:rPr>
                <w:rFonts w:ascii="Arial" w:hAnsi="Arial" w:cs="Arial"/>
                <w:sz w:val="18"/>
              </w:rPr>
            </w:pPr>
            <w:r>
              <w:rPr>
                <w:rFonts w:ascii="Arial" w:hAnsi="Arial" w:cs="Arial"/>
                <w:b/>
                <w:bCs/>
                <w:sz w:val="18"/>
                <w:szCs w:val="18"/>
              </w:rPr>
              <w:t>$92,162</w:t>
            </w:r>
          </w:p>
        </w:tc>
        <w:tc>
          <w:tcPr>
            <w:tcW w:w="36" w:type="pct"/>
          </w:tcPr>
          <w:p w:rsidR="00376768" w:rsidRDefault="00376768">
            <w:pPr>
              <w:jc w:val="center"/>
              <w:rPr>
                <w:rFonts w:ascii="Arial" w:hAnsi="Arial" w:cs="Arial"/>
                <w:sz w:val="18"/>
              </w:rPr>
            </w:pPr>
          </w:p>
        </w:tc>
        <w:tc>
          <w:tcPr>
            <w:tcW w:w="36" w:type="pct"/>
          </w:tcPr>
          <w:p w:rsidR="00376768" w:rsidRDefault="00376768">
            <w:pPr>
              <w:jc w:val="center"/>
              <w:rPr>
                <w:rFonts w:ascii="Arial" w:hAnsi="Arial" w:cs="Arial"/>
                <w:sz w:val="18"/>
              </w:rPr>
            </w:pPr>
          </w:p>
        </w:tc>
        <w:tc>
          <w:tcPr>
            <w:tcW w:w="524" w:type="pct"/>
            <w:tcBorders>
              <w:bottom w:val="double" w:sz="4" w:space="0" w:color="auto"/>
            </w:tcBorders>
          </w:tcPr>
          <w:p w:rsidR="00376768" w:rsidRDefault="00EC2B72">
            <w:pPr>
              <w:jc w:val="center"/>
              <w:rPr>
                <w:rFonts w:ascii="Arial" w:hAnsi="Arial" w:cs="Arial"/>
                <w:sz w:val="18"/>
              </w:rPr>
            </w:pPr>
            <w:r>
              <w:rPr>
                <w:rFonts w:ascii="Arial" w:hAnsi="Arial" w:cs="Arial"/>
                <w:b/>
                <w:bCs/>
                <w:sz w:val="18"/>
                <w:szCs w:val="18"/>
              </w:rPr>
              <w:t>$411,879</w:t>
            </w:r>
          </w:p>
        </w:tc>
        <w:tc>
          <w:tcPr>
            <w:tcW w:w="38" w:type="pct"/>
          </w:tcPr>
          <w:p w:rsidR="00376768" w:rsidRDefault="00376768">
            <w:pPr>
              <w:jc w:val="center"/>
              <w:rPr>
                <w:rFonts w:ascii="Arial" w:hAnsi="Arial" w:cs="Arial"/>
                <w:sz w:val="18"/>
              </w:rPr>
            </w:pPr>
          </w:p>
        </w:tc>
        <w:tc>
          <w:tcPr>
            <w:tcW w:w="39" w:type="pct"/>
          </w:tcPr>
          <w:p w:rsidR="00376768" w:rsidRDefault="00376768">
            <w:pPr>
              <w:jc w:val="center"/>
              <w:rPr>
                <w:rFonts w:ascii="Arial" w:hAnsi="Arial" w:cs="Arial"/>
                <w:sz w:val="18"/>
              </w:rPr>
            </w:pPr>
          </w:p>
        </w:tc>
        <w:tc>
          <w:tcPr>
            <w:tcW w:w="519" w:type="pct"/>
            <w:tcBorders>
              <w:bottom w:val="double" w:sz="4" w:space="0" w:color="auto"/>
            </w:tcBorders>
          </w:tcPr>
          <w:p w:rsidR="00376768" w:rsidRDefault="00EC2B72">
            <w:pPr>
              <w:jc w:val="center"/>
              <w:rPr>
                <w:rFonts w:ascii="Arial" w:hAnsi="Arial" w:cs="Arial"/>
                <w:sz w:val="18"/>
              </w:rPr>
            </w:pPr>
            <w:r>
              <w:rPr>
                <w:rFonts w:ascii="Arial" w:hAnsi="Arial" w:cs="Arial"/>
                <w:b/>
                <w:bCs/>
                <w:sz w:val="18"/>
                <w:szCs w:val="18"/>
              </w:rPr>
              <w:t>$411,879</w:t>
            </w:r>
          </w:p>
        </w:tc>
        <w:tc>
          <w:tcPr>
            <w:tcW w:w="31" w:type="pct"/>
          </w:tcPr>
          <w:p w:rsidR="00376768" w:rsidRDefault="00376768">
            <w:pPr>
              <w:jc w:val="center"/>
              <w:rPr>
                <w:rFonts w:ascii="Arial" w:hAnsi="Arial" w:cs="Arial"/>
                <w:sz w:val="18"/>
              </w:rPr>
            </w:pPr>
          </w:p>
        </w:tc>
        <w:tc>
          <w:tcPr>
            <w:tcW w:w="32" w:type="pct"/>
          </w:tcPr>
          <w:p w:rsidR="00376768" w:rsidRDefault="00376768">
            <w:pPr>
              <w:jc w:val="center"/>
              <w:rPr>
                <w:rFonts w:ascii="Arial" w:hAnsi="Arial" w:cs="Arial"/>
                <w:sz w:val="18"/>
              </w:rPr>
            </w:pPr>
          </w:p>
        </w:tc>
        <w:tc>
          <w:tcPr>
            <w:tcW w:w="508" w:type="pct"/>
            <w:tcBorders>
              <w:bottom w:val="double" w:sz="4" w:space="0" w:color="auto"/>
            </w:tcBorders>
          </w:tcPr>
          <w:p w:rsidR="00376768" w:rsidRDefault="00EC2B72">
            <w:pPr>
              <w:jc w:val="center"/>
              <w:rPr>
                <w:rFonts w:ascii="Arial" w:hAnsi="Arial" w:cs="Arial"/>
                <w:sz w:val="18"/>
              </w:rPr>
            </w:pPr>
            <w:r>
              <w:rPr>
                <w:rFonts w:ascii="Arial" w:hAnsi="Arial" w:cs="Arial"/>
                <w:b/>
                <w:bCs/>
                <w:sz w:val="18"/>
                <w:szCs w:val="18"/>
              </w:rPr>
              <w:t>$411,879</w:t>
            </w:r>
          </w:p>
        </w:tc>
        <w:tc>
          <w:tcPr>
            <w:tcW w:w="151" w:type="pct"/>
          </w:tcPr>
          <w:p w:rsidR="00376768" w:rsidRDefault="00376768">
            <w:pPr>
              <w:jc w:val="center"/>
              <w:rPr>
                <w:rFonts w:ascii="Arial" w:hAnsi="Arial" w:cs="Arial"/>
                <w:sz w:val="18"/>
                <w:szCs w:val="2"/>
              </w:rPr>
            </w:pPr>
          </w:p>
        </w:tc>
        <w:tc>
          <w:tcPr>
            <w:tcW w:w="590" w:type="pct"/>
            <w:tcBorders>
              <w:bottom w:val="double" w:sz="4" w:space="0" w:color="auto"/>
            </w:tcBorders>
          </w:tcPr>
          <w:p w:rsidR="00376768" w:rsidRDefault="00EC2B72">
            <w:pPr>
              <w:jc w:val="center"/>
              <w:rPr>
                <w:rFonts w:ascii="Arial" w:hAnsi="Arial" w:cs="Arial"/>
                <w:sz w:val="18"/>
              </w:rPr>
            </w:pPr>
            <w:r>
              <w:rPr>
                <w:rFonts w:ascii="Arial" w:hAnsi="Arial" w:cs="Arial"/>
                <w:b/>
                <w:bCs/>
                <w:sz w:val="18"/>
                <w:szCs w:val="18"/>
              </w:rPr>
              <w:t>$1,970,882</w:t>
            </w:r>
          </w:p>
        </w:tc>
        <w:tc>
          <w:tcPr>
            <w:tcW w:w="25" w:type="pct"/>
          </w:tcPr>
          <w:p w:rsidR="00376768" w:rsidRDefault="00376768">
            <w:pPr>
              <w:jc w:val="center"/>
              <w:rPr>
                <w:rFonts w:ascii="Arial" w:hAnsi="Arial" w:cs="Arial"/>
                <w:sz w:val="18"/>
              </w:rPr>
            </w:pPr>
          </w:p>
        </w:tc>
        <w:tc>
          <w:tcPr>
            <w:tcW w:w="25" w:type="pct"/>
          </w:tcPr>
          <w:p w:rsidR="00376768" w:rsidRDefault="00376768">
            <w:pPr>
              <w:jc w:val="center"/>
              <w:rPr>
                <w:rFonts w:ascii="Arial" w:hAnsi="Arial" w:cs="Arial"/>
                <w:sz w:val="18"/>
              </w:rPr>
            </w:pPr>
          </w:p>
        </w:tc>
        <w:tc>
          <w:tcPr>
            <w:tcW w:w="583" w:type="pct"/>
            <w:tcBorders>
              <w:bottom w:val="double" w:sz="4" w:space="0" w:color="auto"/>
            </w:tcBorders>
          </w:tcPr>
          <w:p w:rsidR="00376768" w:rsidRDefault="00EC2B72">
            <w:pPr>
              <w:jc w:val="center"/>
              <w:rPr>
                <w:rFonts w:ascii="Arial" w:hAnsi="Arial" w:cs="Arial"/>
                <w:sz w:val="18"/>
              </w:rPr>
            </w:pPr>
            <w:r>
              <w:rPr>
                <w:rFonts w:ascii="Arial" w:hAnsi="Arial" w:cs="Arial"/>
                <w:b/>
                <w:bCs/>
                <w:sz w:val="18"/>
                <w:szCs w:val="18"/>
              </w:rPr>
              <w:t>$174,443</w:t>
            </w:r>
          </w:p>
        </w:tc>
      </w:tr>
    </w:tbl>
    <w:p w:rsidR="00376768" w:rsidRDefault="00376768">
      <w:pPr>
        <w:rPr>
          <w:rFonts w:ascii="Arial" w:hAnsi="Arial" w:cs="Arial"/>
          <w:sz w:val="2"/>
        </w:rPr>
      </w:pPr>
    </w:p>
    <w:tbl>
      <w:tblPr>
        <w:tblW w:w="5000" w:type="pct"/>
        <w:tblLayout w:type="fixed"/>
        <w:tblCellMar>
          <w:left w:w="0" w:type="dxa"/>
          <w:right w:w="0" w:type="dxa"/>
        </w:tblCellMar>
        <w:tblLook w:val="0000" w:firstRow="0" w:lastRow="0" w:firstColumn="0" w:lastColumn="0" w:noHBand="0" w:noVBand="0"/>
      </w:tblPr>
      <w:tblGrid>
        <w:gridCol w:w="2621"/>
        <w:gridCol w:w="231"/>
        <w:gridCol w:w="1173"/>
        <w:gridCol w:w="78"/>
        <w:gridCol w:w="78"/>
        <w:gridCol w:w="1132"/>
        <w:gridCol w:w="82"/>
        <w:gridCol w:w="84"/>
        <w:gridCol w:w="1121"/>
        <w:gridCol w:w="67"/>
        <w:gridCol w:w="69"/>
        <w:gridCol w:w="1097"/>
        <w:gridCol w:w="326"/>
        <w:gridCol w:w="1274"/>
        <w:gridCol w:w="54"/>
        <w:gridCol w:w="54"/>
        <w:gridCol w:w="1259"/>
      </w:tblGrid>
      <w:tr w:rsidR="00376768">
        <w:tc>
          <w:tcPr>
            <w:tcW w:w="1213" w:type="pct"/>
          </w:tcPr>
          <w:p w:rsidR="00376768" w:rsidRDefault="00376768">
            <w:pPr>
              <w:rPr>
                <w:rFonts w:ascii="Arial" w:hAnsi="Arial" w:cs="Arial"/>
                <w:sz w:val="18"/>
                <w:szCs w:val="16"/>
              </w:rPr>
            </w:pPr>
          </w:p>
        </w:tc>
        <w:tc>
          <w:tcPr>
            <w:tcW w:w="107" w:type="pct"/>
          </w:tcPr>
          <w:p w:rsidR="00376768" w:rsidRDefault="00376768">
            <w:pPr>
              <w:jc w:val="center"/>
              <w:rPr>
                <w:rFonts w:ascii="Arial" w:hAnsi="Arial" w:cs="Arial"/>
                <w:sz w:val="18"/>
                <w:szCs w:val="16"/>
              </w:rPr>
            </w:pPr>
          </w:p>
        </w:tc>
        <w:tc>
          <w:tcPr>
            <w:tcW w:w="543" w:type="pct"/>
          </w:tcPr>
          <w:p w:rsidR="00376768" w:rsidRDefault="00376768">
            <w:pPr>
              <w:jc w:val="center"/>
              <w:rPr>
                <w:rFonts w:ascii="Arial" w:hAnsi="Arial" w:cs="Arial"/>
                <w:sz w:val="18"/>
                <w:szCs w:val="16"/>
              </w:rPr>
            </w:pPr>
          </w:p>
        </w:tc>
        <w:tc>
          <w:tcPr>
            <w:tcW w:w="36" w:type="pct"/>
          </w:tcPr>
          <w:p w:rsidR="00376768" w:rsidRDefault="00376768">
            <w:pPr>
              <w:jc w:val="center"/>
              <w:rPr>
                <w:rFonts w:ascii="Arial" w:hAnsi="Arial" w:cs="Arial"/>
                <w:sz w:val="18"/>
                <w:szCs w:val="16"/>
              </w:rPr>
            </w:pPr>
          </w:p>
        </w:tc>
        <w:tc>
          <w:tcPr>
            <w:tcW w:w="36" w:type="pct"/>
          </w:tcPr>
          <w:p w:rsidR="00376768" w:rsidRDefault="00376768">
            <w:pPr>
              <w:jc w:val="center"/>
              <w:rPr>
                <w:rFonts w:ascii="Arial" w:hAnsi="Arial" w:cs="Arial"/>
                <w:sz w:val="18"/>
                <w:szCs w:val="16"/>
              </w:rPr>
            </w:pPr>
          </w:p>
        </w:tc>
        <w:tc>
          <w:tcPr>
            <w:tcW w:w="524" w:type="pct"/>
          </w:tcPr>
          <w:p w:rsidR="00376768" w:rsidRDefault="00376768">
            <w:pPr>
              <w:jc w:val="center"/>
              <w:rPr>
                <w:rFonts w:ascii="Arial" w:hAnsi="Arial" w:cs="Arial"/>
                <w:sz w:val="18"/>
                <w:szCs w:val="16"/>
              </w:rPr>
            </w:pPr>
          </w:p>
        </w:tc>
        <w:tc>
          <w:tcPr>
            <w:tcW w:w="77" w:type="pct"/>
            <w:gridSpan w:val="2"/>
          </w:tcPr>
          <w:p w:rsidR="00376768" w:rsidRDefault="00376768">
            <w:pPr>
              <w:jc w:val="center"/>
              <w:rPr>
                <w:rFonts w:ascii="Arial" w:hAnsi="Arial" w:cs="Arial"/>
                <w:sz w:val="18"/>
                <w:szCs w:val="16"/>
              </w:rPr>
            </w:pPr>
          </w:p>
        </w:tc>
        <w:tc>
          <w:tcPr>
            <w:tcW w:w="519" w:type="pct"/>
          </w:tcPr>
          <w:p w:rsidR="00376768" w:rsidRDefault="00376768">
            <w:pPr>
              <w:jc w:val="center"/>
              <w:rPr>
                <w:rFonts w:ascii="Arial" w:hAnsi="Arial" w:cs="Arial"/>
                <w:sz w:val="18"/>
                <w:szCs w:val="16"/>
              </w:rPr>
            </w:pPr>
          </w:p>
        </w:tc>
        <w:tc>
          <w:tcPr>
            <w:tcW w:w="63" w:type="pct"/>
            <w:gridSpan w:val="2"/>
          </w:tcPr>
          <w:p w:rsidR="00376768" w:rsidRDefault="00376768">
            <w:pPr>
              <w:jc w:val="center"/>
              <w:rPr>
                <w:rFonts w:ascii="Arial" w:hAnsi="Arial" w:cs="Arial"/>
                <w:sz w:val="18"/>
                <w:szCs w:val="16"/>
              </w:rPr>
            </w:pPr>
          </w:p>
        </w:tc>
        <w:tc>
          <w:tcPr>
            <w:tcW w:w="508" w:type="pct"/>
          </w:tcPr>
          <w:p w:rsidR="00376768" w:rsidRDefault="00376768">
            <w:pPr>
              <w:jc w:val="center"/>
              <w:rPr>
                <w:rFonts w:ascii="Arial" w:hAnsi="Arial" w:cs="Arial"/>
                <w:sz w:val="18"/>
                <w:szCs w:val="16"/>
              </w:rPr>
            </w:pPr>
          </w:p>
        </w:tc>
        <w:tc>
          <w:tcPr>
            <w:tcW w:w="151" w:type="pct"/>
          </w:tcPr>
          <w:p w:rsidR="00376768" w:rsidRDefault="00376768">
            <w:pPr>
              <w:jc w:val="center"/>
              <w:rPr>
                <w:rFonts w:ascii="Arial" w:hAnsi="Arial" w:cs="Arial"/>
                <w:sz w:val="18"/>
                <w:szCs w:val="16"/>
              </w:rPr>
            </w:pPr>
          </w:p>
        </w:tc>
        <w:tc>
          <w:tcPr>
            <w:tcW w:w="590" w:type="pct"/>
          </w:tcPr>
          <w:p w:rsidR="00376768" w:rsidRDefault="00376768">
            <w:pPr>
              <w:jc w:val="center"/>
              <w:rPr>
                <w:rFonts w:ascii="Arial" w:hAnsi="Arial" w:cs="Arial"/>
                <w:sz w:val="18"/>
                <w:szCs w:val="16"/>
              </w:rPr>
            </w:pPr>
          </w:p>
        </w:tc>
        <w:tc>
          <w:tcPr>
            <w:tcW w:w="50" w:type="pct"/>
            <w:gridSpan w:val="2"/>
          </w:tcPr>
          <w:p w:rsidR="00376768" w:rsidRDefault="00376768">
            <w:pPr>
              <w:jc w:val="center"/>
              <w:rPr>
                <w:rFonts w:ascii="Arial" w:hAnsi="Arial" w:cs="Arial"/>
                <w:sz w:val="18"/>
                <w:szCs w:val="16"/>
              </w:rPr>
            </w:pPr>
          </w:p>
        </w:tc>
        <w:tc>
          <w:tcPr>
            <w:tcW w:w="583" w:type="pct"/>
          </w:tcPr>
          <w:p w:rsidR="00376768" w:rsidRDefault="00376768">
            <w:pPr>
              <w:jc w:val="center"/>
              <w:rPr>
                <w:rFonts w:ascii="Arial" w:hAnsi="Arial" w:cs="Arial"/>
                <w:sz w:val="18"/>
                <w:szCs w:val="16"/>
              </w:rPr>
            </w:pPr>
          </w:p>
        </w:tc>
      </w:tr>
      <w:tr w:rsidR="00376768">
        <w:tc>
          <w:tcPr>
            <w:tcW w:w="1213" w:type="pct"/>
            <w:tcBorders>
              <w:bottom w:val="single" w:sz="4" w:space="0" w:color="auto"/>
            </w:tcBorders>
          </w:tcPr>
          <w:p w:rsidR="00376768" w:rsidRDefault="00EC2B72">
            <w:pPr>
              <w:rPr>
                <w:rFonts w:ascii="Arial" w:hAnsi="Arial" w:cs="Arial"/>
                <w:sz w:val="18"/>
                <w:szCs w:val="16"/>
              </w:rPr>
            </w:pPr>
            <w:r>
              <w:rPr>
                <w:rFonts w:ascii="Arial" w:hAnsi="Arial" w:cs="Arial"/>
                <w:b/>
                <w:bCs/>
                <w:sz w:val="18"/>
                <w:szCs w:val="18"/>
              </w:rPr>
              <w:t xml:space="preserve">Patrick J. </w:t>
            </w:r>
            <w:proofErr w:type="spellStart"/>
            <w:r>
              <w:rPr>
                <w:rFonts w:ascii="Arial" w:hAnsi="Arial" w:cs="Arial"/>
                <w:b/>
                <w:bCs/>
                <w:sz w:val="18"/>
                <w:szCs w:val="18"/>
              </w:rPr>
              <w:t>Guinee</w:t>
            </w:r>
            <w:proofErr w:type="spellEnd"/>
          </w:p>
        </w:tc>
        <w:tc>
          <w:tcPr>
            <w:tcW w:w="107" w:type="pct"/>
          </w:tcPr>
          <w:p w:rsidR="00376768" w:rsidRDefault="00376768">
            <w:pPr>
              <w:jc w:val="center"/>
              <w:rPr>
                <w:rFonts w:ascii="Arial" w:hAnsi="Arial" w:cs="Arial"/>
                <w:sz w:val="18"/>
                <w:szCs w:val="16"/>
              </w:rPr>
            </w:pPr>
          </w:p>
        </w:tc>
        <w:tc>
          <w:tcPr>
            <w:tcW w:w="2306" w:type="pct"/>
            <w:gridSpan w:val="10"/>
            <w:tcBorders>
              <w:bottom w:val="single" w:sz="4" w:space="0" w:color="auto"/>
            </w:tcBorders>
          </w:tcPr>
          <w:p w:rsidR="00376768" w:rsidRDefault="00EC2B72">
            <w:pPr>
              <w:jc w:val="center"/>
              <w:rPr>
                <w:rFonts w:ascii="Arial" w:hAnsi="Arial" w:cs="Arial"/>
                <w:sz w:val="18"/>
                <w:szCs w:val="16"/>
              </w:rPr>
            </w:pPr>
            <w:r>
              <w:rPr>
                <w:rFonts w:ascii="Arial" w:hAnsi="Arial" w:cs="Arial"/>
                <w:sz w:val="18"/>
                <w:szCs w:val="18"/>
              </w:rPr>
              <w:t>Non-Change-in-Control</w:t>
            </w:r>
          </w:p>
        </w:tc>
        <w:tc>
          <w:tcPr>
            <w:tcW w:w="151" w:type="pct"/>
          </w:tcPr>
          <w:p w:rsidR="00376768" w:rsidRDefault="00376768">
            <w:pPr>
              <w:jc w:val="center"/>
              <w:rPr>
                <w:rFonts w:ascii="Arial" w:hAnsi="Arial" w:cs="Arial"/>
                <w:sz w:val="18"/>
                <w:szCs w:val="16"/>
              </w:rPr>
            </w:pPr>
          </w:p>
        </w:tc>
        <w:tc>
          <w:tcPr>
            <w:tcW w:w="1223" w:type="pct"/>
            <w:gridSpan w:val="4"/>
            <w:tcBorders>
              <w:bottom w:val="single" w:sz="4" w:space="0" w:color="auto"/>
            </w:tcBorders>
          </w:tcPr>
          <w:p w:rsidR="00376768" w:rsidRDefault="00EC2B72">
            <w:pPr>
              <w:jc w:val="center"/>
              <w:rPr>
                <w:rFonts w:ascii="Arial" w:hAnsi="Arial" w:cs="Arial"/>
                <w:sz w:val="18"/>
                <w:szCs w:val="16"/>
              </w:rPr>
            </w:pPr>
            <w:r>
              <w:rPr>
                <w:rFonts w:ascii="Arial" w:hAnsi="Arial" w:cs="Arial"/>
                <w:sz w:val="18"/>
                <w:szCs w:val="18"/>
              </w:rPr>
              <w:t>Change-in-Control</w:t>
            </w:r>
          </w:p>
        </w:tc>
      </w:tr>
      <w:tr w:rsidR="00376768">
        <w:tc>
          <w:tcPr>
            <w:tcW w:w="1213" w:type="pct"/>
            <w:tcBorders>
              <w:top w:val="single" w:sz="4" w:space="0" w:color="auto"/>
            </w:tcBorders>
            <w:vAlign w:val="center"/>
          </w:tcPr>
          <w:p w:rsidR="00376768" w:rsidRDefault="00EC2B72">
            <w:pPr>
              <w:rPr>
                <w:rFonts w:ascii="Arial" w:hAnsi="Arial" w:cs="Arial"/>
                <w:sz w:val="18"/>
                <w:szCs w:val="16"/>
              </w:rPr>
            </w:pPr>
            <w:r>
              <w:rPr>
                <w:rFonts w:ascii="Arial" w:hAnsi="Arial" w:cs="Arial"/>
                <w:sz w:val="18"/>
                <w:szCs w:val="18"/>
                <w:u w:val="single"/>
              </w:rPr>
              <w:t>NEO - Payments and Benefits</w:t>
            </w:r>
          </w:p>
        </w:tc>
        <w:tc>
          <w:tcPr>
            <w:tcW w:w="107" w:type="pct"/>
            <w:tcBorders>
              <w:right w:val="single" w:sz="4" w:space="0" w:color="auto"/>
            </w:tcBorders>
          </w:tcPr>
          <w:p w:rsidR="00376768" w:rsidRDefault="00376768">
            <w:pPr>
              <w:jc w:val="center"/>
              <w:rPr>
                <w:rFonts w:ascii="Arial" w:hAnsi="Arial" w:cs="Arial"/>
                <w:sz w:val="18"/>
                <w:szCs w:val="16"/>
              </w:rPr>
            </w:pPr>
          </w:p>
        </w:tc>
        <w:tc>
          <w:tcPr>
            <w:tcW w:w="543" w:type="pct"/>
            <w:tcBorders>
              <w:top w:val="single" w:sz="4" w:space="0" w:color="auto"/>
              <w:left w:val="single" w:sz="4" w:space="0" w:color="auto"/>
              <w:bottom w:val="single" w:sz="4" w:space="0" w:color="auto"/>
            </w:tcBorders>
            <w:vAlign w:val="center"/>
          </w:tcPr>
          <w:p w:rsidR="00376768" w:rsidRDefault="00EC2B72">
            <w:pPr>
              <w:jc w:val="center"/>
              <w:rPr>
                <w:rFonts w:ascii="Arial" w:hAnsi="Arial" w:cs="Arial"/>
                <w:sz w:val="18"/>
                <w:szCs w:val="16"/>
              </w:rPr>
            </w:pPr>
            <w:r>
              <w:rPr>
                <w:rFonts w:ascii="Arial" w:hAnsi="Arial" w:cs="Arial"/>
                <w:sz w:val="18"/>
                <w:szCs w:val="18"/>
              </w:rPr>
              <w:t xml:space="preserve">By Company </w:t>
            </w:r>
            <w:r>
              <w:rPr>
                <w:rFonts w:ascii="Arial" w:hAnsi="Arial" w:cs="Arial"/>
                <w:sz w:val="18"/>
                <w:szCs w:val="18"/>
              </w:rPr>
              <w:br/>
              <w:t xml:space="preserve">without </w:t>
            </w:r>
            <w:r>
              <w:rPr>
                <w:rFonts w:ascii="Arial" w:hAnsi="Arial" w:cs="Arial"/>
                <w:sz w:val="18"/>
                <w:szCs w:val="18"/>
              </w:rPr>
              <w:br/>
              <w:t xml:space="preserve">Cause or by </w:t>
            </w:r>
            <w:r>
              <w:rPr>
                <w:rFonts w:ascii="Arial" w:hAnsi="Arial" w:cs="Arial"/>
                <w:sz w:val="18"/>
                <w:szCs w:val="18"/>
              </w:rPr>
              <w:br/>
              <w:t xml:space="preserve">Executive for </w:t>
            </w:r>
            <w:r>
              <w:rPr>
                <w:rFonts w:ascii="Arial" w:hAnsi="Arial" w:cs="Arial"/>
                <w:sz w:val="18"/>
                <w:szCs w:val="18"/>
              </w:rPr>
              <w:br/>
              <w:t>Good Reason</w:t>
            </w:r>
          </w:p>
        </w:tc>
        <w:tc>
          <w:tcPr>
            <w:tcW w:w="36" w:type="pct"/>
            <w:tcBorders>
              <w:top w:val="single" w:sz="4" w:space="0" w:color="auto"/>
              <w:left w:val="nil"/>
              <w:bottom w:val="single" w:sz="4" w:space="0" w:color="auto"/>
              <w:right w:val="single" w:sz="4" w:space="0" w:color="auto"/>
            </w:tcBorders>
            <w:vAlign w:val="center"/>
          </w:tcPr>
          <w:p w:rsidR="00376768" w:rsidRDefault="00376768">
            <w:pPr>
              <w:jc w:val="center"/>
              <w:rPr>
                <w:rFonts w:ascii="Arial" w:hAnsi="Arial" w:cs="Arial"/>
                <w:sz w:val="18"/>
                <w:szCs w:val="16"/>
              </w:rPr>
            </w:pPr>
          </w:p>
        </w:tc>
        <w:tc>
          <w:tcPr>
            <w:tcW w:w="36" w:type="pct"/>
            <w:tcBorders>
              <w:top w:val="single" w:sz="4" w:space="0" w:color="auto"/>
              <w:left w:val="nil"/>
              <w:bottom w:val="single" w:sz="4" w:space="0" w:color="auto"/>
            </w:tcBorders>
            <w:vAlign w:val="center"/>
          </w:tcPr>
          <w:p w:rsidR="00376768" w:rsidRDefault="00376768">
            <w:pPr>
              <w:jc w:val="center"/>
              <w:rPr>
                <w:rFonts w:ascii="Arial" w:hAnsi="Arial" w:cs="Arial"/>
                <w:sz w:val="18"/>
                <w:szCs w:val="16"/>
              </w:rPr>
            </w:pPr>
          </w:p>
        </w:tc>
        <w:tc>
          <w:tcPr>
            <w:tcW w:w="524" w:type="pct"/>
            <w:tcBorders>
              <w:top w:val="single" w:sz="4" w:space="0" w:color="auto"/>
              <w:left w:val="nil"/>
              <w:bottom w:val="single" w:sz="4" w:space="0" w:color="auto"/>
            </w:tcBorders>
            <w:vAlign w:val="center"/>
          </w:tcPr>
          <w:p w:rsidR="00376768" w:rsidRDefault="00EC2B72">
            <w:pPr>
              <w:jc w:val="center"/>
              <w:rPr>
                <w:rFonts w:ascii="Arial" w:hAnsi="Arial" w:cs="Arial"/>
                <w:sz w:val="18"/>
                <w:szCs w:val="16"/>
              </w:rPr>
            </w:pPr>
            <w:r>
              <w:rPr>
                <w:rFonts w:ascii="Arial" w:hAnsi="Arial" w:cs="Arial"/>
                <w:sz w:val="18"/>
                <w:szCs w:val="18"/>
              </w:rPr>
              <w:t>Death</w:t>
            </w:r>
          </w:p>
        </w:tc>
        <w:tc>
          <w:tcPr>
            <w:tcW w:w="38" w:type="pct"/>
            <w:tcBorders>
              <w:top w:val="single" w:sz="4" w:space="0" w:color="auto"/>
              <w:left w:val="nil"/>
              <w:bottom w:val="single" w:sz="4" w:space="0" w:color="auto"/>
              <w:right w:val="single" w:sz="4" w:space="0" w:color="auto"/>
            </w:tcBorders>
            <w:vAlign w:val="center"/>
          </w:tcPr>
          <w:p w:rsidR="00376768" w:rsidRDefault="00376768">
            <w:pPr>
              <w:jc w:val="center"/>
              <w:rPr>
                <w:rFonts w:ascii="Arial" w:hAnsi="Arial" w:cs="Arial"/>
                <w:sz w:val="18"/>
                <w:szCs w:val="16"/>
              </w:rPr>
            </w:pPr>
          </w:p>
        </w:tc>
        <w:tc>
          <w:tcPr>
            <w:tcW w:w="39" w:type="pct"/>
            <w:tcBorders>
              <w:top w:val="single" w:sz="4" w:space="0" w:color="auto"/>
              <w:left w:val="nil"/>
              <w:bottom w:val="single" w:sz="4" w:space="0" w:color="auto"/>
            </w:tcBorders>
            <w:vAlign w:val="center"/>
          </w:tcPr>
          <w:p w:rsidR="00376768" w:rsidRDefault="00376768">
            <w:pPr>
              <w:jc w:val="center"/>
              <w:rPr>
                <w:rFonts w:ascii="Arial" w:hAnsi="Arial" w:cs="Arial"/>
                <w:sz w:val="18"/>
                <w:szCs w:val="16"/>
              </w:rPr>
            </w:pPr>
          </w:p>
        </w:tc>
        <w:tc>
          <w:tcPr>
            <w:tcW w:w="519" w:type="pct"/>
            <w:tcBorders>
              <w:top w:val="single" w:sz="4" w:space="0" w:color="auto"/>
              <w:left w:val="nil"/>
              <w:bottom w:val="single" w:sz="4" w:space="0" w:color="auto"/>
            </w:tcBorders>
            <w:vAlign w:val="center"/>
          </w:tcPr>
          <w:p w:rsidR="00376768" w:rsidRDefault="00EC2B72">
            <w:pPr>
              <w:jc w:val="center"/>
              <w:rPr>
                <w:rFonts w:ascii="Arial" w:hAnsi="Arial" w:cs="Arial"/>
                <w:sz w:val="18"/>
                <w:szCs w:val="16"/>
              </w:rPr>
            </w:pPr>
            <w:r>
              <w:rPr>
                <w:rFonts w:ascii="Arial" w:hAnsi="Arial" w:cs="Arial"/>
                <w:sz w:val="18"/>
                <w:szCs w:val="16"/>
              </w:rPr>
              <w:t>Disability</w:t>
            </w:r>
          </w:p>
        </w:tc>
        <w:tc>
          <w:tcPr>
            <w:tcW w:w="31" w:type="pct"/>
            <w:tcBorders>
              <w:top w:val="single" w:sz="4" w:space="0" w:color="auto"/>
              <w:left w:val="nil"/>
              <w:bottom w:val="single" w:sz="4" w:space="0" w:color="auto"/>
              <w:right w:val="single" w:sz="4" w:space="0" w:color="auto"/>
            </w:tcBorders>
            <w:vAlign w:val="center"/>
          </w:tcPr>
          <w:p w:rsidR="00376768" w:rsidRDefault="00376768">
            <w:pPr>
              <w:jc w:val="center"/>
              <w:rPr>
                <w:rFonts w:ascii="Arial" w:hAnsi="Arial" w:cs="Arial"/>
                <w:sz w:val="18"/>
                <w:szCs w:val="16"/>
              </w:rPr>
            </w:pPr>
          </w:p>
        </w:tc>
        <w:tc>
          <w:tcPr>
            <w:tcW w:w="32" w:type="pct"/>
            <w:tcBorders>
              <w:top w:val="single" w:sz="4" w:space="0" w:color="auto"/>
              <w:left w:val="nil"/>
              <w:bottom w:val="single" w:sz="4" w:space="0" w:color="auto"/>
            </w:tcBorders>
            <w:vAlign w:val="center"/>
          </w:tcPr>
          <w:p w:rsidR="00376768" w:rsidRDefault="00376768">
            <w:pPr>
              <w:jc w:val="center"/>
              <w:rPr>
                <w:rFonts w:ascii="Arial" w:hAnsi="Arial" w:cs="Arial"/>
                <w:sz w:val="18"/>
                <w:szCs w:val="16"/>
              </w:rPr>
            </w:pPr>
          </w:p>
        </w:tc>
        <w:tc>
          <w:tcPr>
            <w:tcW w:w="508" w:type="pct"/>
            <w:tcBorders>
              <w:top w:val="single" w:sz="4" w:space="0" w:color="auto"/>
              <w:left w:val="nil"/>
              <w:bottom w:val="single" w:sz="4" w:space="0" w:color="auto"/>
              <w:right w:val="single" w:sz="4" w:space="0" w:color="auto"/>
            </w:tcBorders>
            <w:vAlign w:val="center"/>
          </w:tcPr>
          <w:p w:rsidR="00376768" w:rsidRDefault="00EC2B72">
            <w:pPr>
              <w:jc w:val="center"/>
              <w:rPr>
                <w:rFonts w:ascii="Arial" w:hAnsi="Arial" w:cs="Arial"/>
                <w:sz w:val="18"/>
                <w:szCs w:val="16"/>
              </w:rPr>
            </w:pPr>
            <w:r>
              <w:rPr>
                <w:rFonts w:ascii="Arial" w:hAnsi="Arial" w:cs="Arial"/>
                <w:sz w:val="18"/>
                <w:szCs w:val="16"/>
              </w:rPr>
              <w:t>Retirement</w:t>
            </w:r>
          </w:p>
        </w:tc>
        <w:tc>
          <w:tcPr>
            <w:tcW w:w="151" w:type="pct"/>
            <w:tcBorders>
              <w:left w:val="single" w:sz="4" w:space="0" w:color="auto"/>
              <w:right w:val="single" w:sz="4" w:space="0" w:color="auto"/>
            </w:tcBorders>
            <w:vAlign w:val="center"/>
          </w:tcPr>
          <w:p w:rsidR="00376768" w:rsidRDefault="00376768">
            <w:pPr>
              <w:jc w:val="center"/>
              <w:rPr>
                <w:rFonts w:ascii="Arial" w:hAnsi="Arial" w:cs="Arial"/>
                <w:sz w:val="18"/>
                <w:szCs w:val="16"/>
              </w:rPr>
            </w:pPr>
          </w:p>
        </w:tc>
        <w:tc>
          <w:tcPr>
            <w:tcW w:w="590" w:type="pct"/>
            <w:tcBorders>
              <w:top w:val="single" w:sz="4" w:space="0" w:color="auto"/>
              <w:left w:val="single" w:sz="4" w:space="0" w:color="auto"/>
              <w:bottom w:val="single" w:sz="4" w:space="0" w:color="auto"/>
            </w:tcBorders>
            <w:vAlign w:val="center"/>
          </w:tcPr>
          <w:p w:rsidR="00376768" w:rsidRDefault="00EC2B72">
            <w:pPr>
              <w:jc w:val="center"/>
              <w:rPr>
                <w:rFonts w:ascii="Arial" w:hAnsi="Arial" w:cs="Arial"/>
                <w:sz w:val="18"/>
                <w:szCs w:val="16"/>
              </w:rPr>
            </w:pPr>
            <w:r>
              <w:rPr>
                <w:rFonts w:ascii="Arial" w:hAnsi="Arial" w:cs="Arial"/>
                <w:sz w:val="18"/>
                <w:szCs w:val="18"/>
              </w:rPr>
              <w:t xml:space="preserve">By Company </w:t>
            </w:r>
            <w:r>
              <w:rPr>
                <w:rFonts w:ascii="Arial" w:hAnsi="Arial" w:cs="Arial"/>
                <w:sz w:val="18"/>
                <w:szCs w:val="18"/>
              </w:rPr>
              <w:br/>
              <w:t xml:space="preserve">without </w:t>
            </w:r>
            <w:r>
              <w:rPr>
                <w:rFonts w:ascii="Arial" w:hAnsi="Arial" w:cs="Arial"/>
                <w:sz w:val="18"/>
                <w:szCs w:val="18"/>
              </w:rPr>
              <w:br/>
              <w:t xml:space="preserve">Cause or by </w:t>
            </w:r>
            <w:r>
              <w:rPr>
                <w:rFonts w:ascii="Arial" w:hAnsi="Arial" w:cs="Arial"/>
                <w:sz w:val="18"/>
                <w:szCs w:val="18"/>
              </w:rPr>
              <w:br/>
              <w:t xml:space="preserve">Executive for </w:t>
            </w:r>
            <w:r>
              <w:rPr>
                <w:rFonts w:ascii="Arial" w:hAnsi="Arial" w:cs="Arial"/>
                <w:sz w:val="18"/>
                <w:szCs w:val="18"/>
              </w:rPr>
              <w:br/>
              <w:t>Good Reason</w:t>
            </w:r>
          </w:p>
        </w:tc>
        <w:tc>
          <w:tcPr>
            <w:tcW w:w="25" w:type="pct"/>
            <w:tcBorders>
              <w:top w:val="single" w:sz="4" w:space="0" w:color="auto"/>
              <w:left w:val="nil"/>
              <w:bottom w:val="single" w:sz="4" w:space="0" w:color="auto"/>
              <w:right w:val="single" w:sz="4" w:space="0" w:color="auto"/>
            </w:tcBorders>
            <w:vAlign w:val="center"/>
          </w:tcPr>
          <w:p w:rsidR="00376768" w:rsidRDefault="00376768">
            <w:pPr>
              <w:jc w:val="center"/>
              <w:rPr>
                <w:rFonts w:ascii="Arial" w:hAnsi="Arial" w:cs="Arial"/>
                <w:sz w:val="18"/>
                <w:szCs w:val="16"/>
              </w:rPr>
            </w:pPr>
          </w:p>
        </w:tc>
        <w:tc>
          <w:tcPr>
            <w:tcW w:w="25" w:type="pct"/>
            <w:tcBorders>
              <w:top w:val="single" w:sz="4" w:space="0" w:color="auto"/>
              <w:left w:val="nil"/>
              <w:bottom w:val="single" w:sz="4" w:space="0" w:color="auto"/>
            </w:tcBorders>
            <w:vAlign w:val="center"/>
          </w:tcPr>
          <w:p w:rsidR="00376768" w:rsidRDefault="00376768">
            <w:pPr>
              <w:jc w:val="center"/>
              <w:rPr>
                <w:rFonts w:ascii="Arial" w:hAnsi="Arial" w:cs="Arial"/>
                <w:sz w:val="18"/>
                <w:szCs w:val="16"/>
              </w:rPr>
            </w:pPr>
          </w:p>
        </w:tc>
        <w:tc>
          <w:tcPr>
            <w:tcW w:w="583" w:type="pct"/>
            <w:tcBorders>
              <w:top w:val="single" w:sz="4" w:space="0" w:color="auto"/>
              <w:left w:val="nil"/>
              <w:bottom w:val="single" w:sz="4" w:space="0" w:color="auto"/>
              <w:right w:val="single" w:sz="4" w:space="0" w:color="auto"/>
            </w:tcBorders>
            <w:vAlign w:val="center"/>
          </w:tcPr>
          <w:p w:rsidR="00376768" w:rsidRDefault="00EC2B72">
            <w:pPr>
              <w:jc w:val="center"/>
              <w:rPr>
                <w:rFonts w:ascii="Arial" w:hAnsi="Arial" w:cs="Arial"/>
                <w:sz w:val="18"/>
                <w:szCs w:val="16"/>
              </w:rPr>
            </w:pPr>
            <w:r>
              <w:rPr>
                <w:rFonts w:ascii="Arial" w:hAnsi="Arial" w:cs="Arial"/>
                <w:sz w:val="18"/>
                <w:szCs w:val="18"/>
              </w:rPr>
              <w:t xml:space="preserve">Without </w:t>
            </w:r>
            <w:r>
              <w:rPr>
                <w:rFonts w:ascii="Arial" w:hAnsi="Arial" w:cs="Arial"/>
                <w:sz w:val="18"/>
                <w:szCs w:val="18"/>
              </w:rPr>
              <w:br/>
              <w:t xml:space="preserve">Termination of </w:t>
            </w:r>
            <w:r>
              <w:rPr>
                <w:rFonts w:ascii="Arial" w:hAnsi="Arial" w:cs="Arial"/>
                <w:sz w:val="18"/>
                <w:szCs w:val="18"/>
              </w:rPr>
              <w:br/>
              <w:t xml:space="preserve">Employment </w:t>
            </w:r>
            <w:r>
              <w:rPr>
                <w:rFonts w:ascii="Arial" w:hAnsi="Arial" w:cs="Arial"/>
                <w:sz w:val="18"/>
                <w:szCs w:val="18"/>
              </w:rPr>
              <w:br/>
              <w:t xml:space="preserve">or Termination </w:t>
            </w:r>
            <w:r>
              <w:rPr>
                <w:rFonts w:ascii="Arial" w:hAnsi="Arial" w:cs="Arial"/>
                <w:sz w:val="18"/>
                <w:szCs w:val="18"/>
              </w:rPr>
              <w:br/>
              <w:t xml:space="preserve">for any other </w:t>
            </w:r>
            <w:r>
              <w:rPr>
                <w:rFonts w:ascii="Arial" w:hAnsi="Arial" w:cs="Arial"/>
                <w:sz w:val="18"/>
                <w:szCs w:val="18"/>
              </w:rPr>
              <w:br/>
              <w:t>Reason</w:t>
            </w:r>
          </w:p>
        </w:tc>
      </w:tr>
      <w:tr w:rsidR="00376768">
        <w:tc>
          <w:tcPr>
            <w:tcW w:w="1213" w:type="pct"/>
          </w:tcPr>
          <w:p w:rsidR="00376768" w:rsidRDefault="00376768">
            <w:pPr>
              <w:rPr>
                <w:rFonts w:ascii="Arial" w:hAnsi="Arial" w:cs="Arial"/>
                <w:sz w:val="18"/>
              </w:rPr>
            </w:pPr>
          </w:p>
        </w:tc>
        <w:tc>
          <w:tcPr>
            <w:tcW w:w="107" w:type="pct"/>
          </w:tcPr>
          <w:p w:rsidR="00376768" w:rsidRDefault="00376768">
            <w:pPr>
              <w:jc w:val="center"/>
              <w:rPr>
                <w:rFonts w:ascii="Arial" w:hAnsi="Arial" w:cs="Arial"/>
                <w:sz w:val="18"/>
              </w:rPr>
            </w:pPr>
          </w:p>
        </w:tc>
        <w:tc>
          <w:tcPr>
            <w:tcW w:w="543" w:type="pct"/>
            <w:tcBorders>
              <w:top w:val="single" w:sz="4" w:space="0" w:color="auto"/>
              <w:bottom w:val="single" w:sz="4" w:space="0" w:color="auto"/>
            </w:tcBorders>
          </w:tcPr>
          <w:p w:rsidR="00376768" w:rsidRDefault="00376768">
            <w:pPr>
              <w:jc w:val="center"/>
              <w:rPr>
                <w:rFonts w:ascii="Arial" w:hAnsi="Arial" w:cs="Arial"/>
                <w:sz w:val="18"/>
              </w:rPr>
            </w:pPr>
          </w:p>
        </w:tc>
        <w:tc>
          <w:tcPr>
            <w:tcW w:w="36" w:type="pct"/>
            <w:tcBorders>
              <w:top w:val="single" w:sz="4" w:space="0" w:color="auto"/>
              <w:bottom w:val="single" w:sz="4" w:space="0" w:color="auto"/>
            </w:tcBorders>
          </w:tcPr>
          <w:p w:rsidR="00376768" w:rsidRDefault="00376768">
            <w:pPr>
              <w:jc w:val="center"/>
              <w:rPr>
                <w:rFonts w:ascii="Arial" w:hAnsi="Arial" w:cs="Arial"/>
                <w:sz w:val="18"/>
              </w:rPr>
            </w:pPr>
          </w:p>
        </w:tc>
        <w:tc>
          <w:tcPr>
            <w:tcW w:w="36" w:type="pct"/>
            <w:tcBorders>
              <w:top w:val="single" w:sz="4" w:space="0" w:color="auto"/>
              <w:bottom w:val="single" w:sz="4" w:space="0" w:color="auto"/>
            </w:tcBorders>
          </w:tcPr>
          <w:p w:rsidR="00376768" w:rsidRDefault="00376768">
            <w:pPr>
              <w:jc w:val="center"/>
              <w:rPr>
                <w:rFonts w:ascii="Arial" w:hAnsi="Arial" w:cs="Arial"/>
                <w:sz w:val="18"/>
              </w:rPr>
            </w:pPr>
          </w:p>
        </w:tc>
        <w:tc>
          <w:tcPr>
            <w:tcW w:w="524" w:type="pct"/>
            <w:tcBorders>
              <w:top w:val="single" w:sz="4" w:space="0" w:color="auto"/>
              <w:bottom w:val="single" w:sz="4" w:space="0" w:color="auto"/>
            </w:tcBorders>
          </w:tcPr>
          <w:p w:rsidR="00376768" w:rsidRDefault="00376768">
            <w:pPr>
              <w:jc w:val="center"/>
              <w:rPr>
                <w:rFonts w:ascii="Arial" w:hAnsi="Arial" w:cs="Arial"/>
                <w:sz w:val="18"/>
              </w:rPr>
            </w:pPr>
          </w:p>
        </w:tc>
        <w:tc>
          <w:tcPr>
            <w:tcW w:w="38" w:type="pct"/>
            <w:tcBorders>
              <w:top w:val="single" w:sz="4" w:space="0" w:color="auto"/>
              <w:bottom w:val="single" w:sz="4" w:space="0" w:color="auto"/>
            </w:tcBorders>
          </w:tcPr>
          <w:p w:rsidR="00376768" w:rsidRDefault="00376768">
            <w:pPr>
              <w:jc w:val="center"/>
              <w:rPr>
                <w:rFonts w:ascii="Arial" w:hAnsi="Arial" w:cs="Arial"/>
                <w:sz w:val="18"/>
              </w:rPr>
            </w:pPr>
          </w:p>
        </w:tc>
        <w:tc>
          <w:tcPr>
            <w:tcW w:w="39" w:type="pct"/>
            <w:tcBorders>
              <w:top w:val="single" w:sz="4" w:space="0" w:color="auto"/>
              <w:bottom w:val="single" w:sz="4" w:space="0" w:color="auto"/>
            </w:tcBorders>
          </w:tcPr>
          <w:p w:rsidR="00376768" w:rsidRDefault="00376768">
            <w:pPr>
              <w:jc w:val="center"/>
              <w:rPr>
                <w:rFonts w:ascii="Arial" w:hAnsi="Arial" w:cs="Arial"/>
                <w:sz w:val="18"/>
              </w:rPr>
            </w:pPr>
          </w:p>
        </w:tc>
        <w:tc>
          <w:tcPr>
            <w:tcW w:w="519" w:type="pct"/>
            <w:tcBorders>
              <w:top w:val="single" w:sz="4" w:space="0" w:color="auto"/>
              <w:bottom w:val="single" w:sz="4" w:space="0" w:color="auto"/>
            </w:tcBorders>
          </w:tcPr>
          <w:p w:rsidR="00376768" w:rsidRDefault="00376768">
            <w:pPr>
              <w:jc w:val="center"/>
              <w:rPr>
                <w:rFonts w:ascii="Arial" w:hAnsi="Arial" w:cs="Arial"/>
                <w:sz w:val="18"/>
              </w:rPr>
            </w:pPr>
          </w:p>
        </w:tc>
        <w:tc>
          <w:tcPr>
            <w:tcW w:w="31" w:type="pct"/>
            <w:tcBorders>
              <w:top w:val="single" w:sz="4" w:space="0" w:color="auto"/>
              <w:bottom w:val="single" w:sz="4" w:space="0" w:color="auto"/>
            </w:tcBorders>
          </w:tcPr>
          <w:p w:rsidR="00376768" w:rsidRDefault="00376768">
            <w:pPr>
              <w:jc w:val="center"/>
              <w:rPr>
                <w:rFonts w:ascii="Arial" w:hAnsi="Arial" w:cs="Arial"/>
                <w:sz w:val="18"/>
              </w:rPr>
            </w:pPr>
          </w:p>
        </w:tc>
        <w:tc>
          <w:tcPr>
            <w:tcW w:w="32" w:type="pct"/>
            <w:tcBorders>
              <w:top w:val="single" w:sz="4" w:space="0" w:color="auto"/>
              <w:bottom w:val="single" w:sz="4" w:space="0" w:color="auto"/>
            </w:tcBorders>
          </w:tcPr>
          <w:p w:rsidR="00376768" w:rsidRDefault="00376768">
            <w:pPr>
              <w:jc w:val="center"/>
              <w:rPr>
                <w:rFonts w:ascii="Arial" w:hAnsi="Arial" w:cs="Arial"/>
                <w:sz w:val="18"/>
              </w:rPr>
            </w:pPr>
          </w:p>
        </w:tc>
        <w:tc>
          <w:tcPr>
            <w:tcW w:w="508" w:type="pct"/>
            <w:tcBorders>
              <w:top w:val="single" w:sz="4" w:space="0" w:color="auto"/>
              <w:bottom w:val="single" w:sz="4" w:space="0" w:color="auto"/>
            </w:tcBorders>
          </w:tcPr>
          <w:p w:rsidR="00376768" w:rsidRDefault="00376768">
            <w:pPr>
              <w:jc w:val="center"/>
              <w:rPr>
                <w:rFonts w:ascii="Arial" w:hAnsi="Arial" w:cs="Arial"/>
                <w:sz w:val="18"/>
              </w:rPr>
            </w:pPr>
          </w:p>
        </w:tc>
        <w:tc>
          <w:tcPr>
            <w:tcW w:w="151" w:type="pct"/>
          </w:tcPr>
          <w:p w:rsidR="00376768" w:rsidRDefault="00376768">
            <w:pPr>
              <w:jc w:val="center"/>
              <w:rPr>
                <w:rFonts w:ascii="Arial" w:hAnsi="Arial" w:cs="Arial"/>
                <w:sz w:val="18"/>
              </w:rPr>
            </w:pPr>
          </w:p>
        </w:tc>
        <w:tc>
          <w:tcPr>
            <w:tcW w:w="590" w:type="pct"/>
            <w:tcBorders>
              <w:top w:val="single" w:sz="4" w:space="0" w:color="auto"/>
              <w:bottom w:val="single" w:sz="4" w:space="0" w:color="auto"/>
            </w:tcBorders>
          </w:tcPr>
          <w:p w:rsidR="00376768" w:rsidRDefault="00376768">
            <w:pPr>
              <w:jc w:val="center"/>
              <w:rPr>
                <w:rFonts w:ascii="Arial" w:hAnsi="Arial" w:cs="Arial"/>
                <w:sz w:val="18"/>
              </w:rPr>
            </w:pPr>
          </w:p>
        </w:tc>
        <w:tc>
          <w:tcPr>
            <w:tcW w:w="25" w:type="pct"/>
            <w:tcBorders>
              <w:top w:val="single" w:sz="4" w:space="0" w:color="auto"/>
              <w:bottom w:val="single" w:sz="4" w:space="0" w:color="auto"/>
            </w:tcBorders>
          </w:tcPr>
          <w:p w:rsidR="00376768" w:rsidRDefault="00376768">
            <w:pPr>
              <w:jc w:val="center"/>
              <w:rPr>
                <w:rFonts w:ascii="Arial" w:hAnsi="Arial" w:cs="Arial"/>
                <w:sz w:val="18"/>
              </w:rPr>
            </w:pPr>
          </w:p>
        </w:tc>
        <w:tc>
          <w:tcPr>
            <w:tcW w:w="25" w:type="pct"/>
            <w:tcBorders>
              <w:top w:val="single" w:sz="4" w:space="0" w:color="auto"/>
              <w:bottom w:val="single" w:sz="4" w:space="0" w:color="auto"/>
            </w:tcBorders>
          </w:tcPr>
          <w:p w:rsidR="00376768" w:rsidRDefault="00376768">
            <w:pPr>
              <w:jc w:val="center"/>
              <w:rPr>
                <w:rFonts w:ascii="Arial" w:hAnsi="Arial" w:cs="Arial"/>
                <w:sz w:val="18"/>
              </w:rPr>
            </w:pPr>
          </w:p>
        </w:tc>
        <w:tc>
          <w:tcPr>
            <w:tcW w:w="583" w:type="pct"/>
            <w:tcBorders>
              <w:top w:val="single" w:sz="4" w:space="0" w:color="auto"/>
              <w:bottom w:val="single" w:sz="4" w:space="0" w:color="auto"/>
            </w:tcBorders>
          </w:tcPr>
          <w:p w:rsidR="00376768" w:rsidRDefault="00376768">
            <w:pPr>
              <w:jc w:val="center"/>
              <w:rPr>
                <w:rFonts w:ascii="Arial" w:hAnsi="Arial" w:cs="Arial"/>
                <w:sz w:val="18"/>
              </w:rPr>
            </w:pPr>
          </w:p>
        </w:tc>
      </w:tr>
      <w:tr w:rsidR="00376768">
        <w:tc>
          <w:tcPr>
            <w:tcW w:w="1213" w:type="pct"/>
            <w:vAlign w:val="center"/>
          </w:tcPr>
          <w:p w:rsidR="00376768" w:rsidRDefault="00EC2B72">
            <w:pPr>
              <w:rPr>
                <w:rFonts w:ascii="Arial" w:hAnsi="Arial" w:cs="Arial"/>
                <w:sz w:val="18"/>
              </w:rPr>
            </w:pPr>
            <w:r>
              <w:rPr>
                <w:rFonts w:ascii="Arial" w:hAnsi="Arial" w:cs="Arial"/>
                <w:sz w:val="18"/>
                <w:szCs w:val="18"/>
              </w:rPr>
              <w:t>Lump Sum Severance</w:t>
            </w:r>
            <w:r>
              <w:rPr>
                <w:rFonts w:ascii="Arial" w:hAnsi="Arial" w:cs="Arial"/>
                <w:b/>
                <w:bCs/>
                <w:sz w:val="18"/>
                <w:szCs w:val="14"/>
                <w:vertAlign w:val="superscript"/>
              </w:rPr>
              <w:t>(1)(2)</w:t>
            </w:r>
          </w:p>
        </w:tc>
        <w:tc>
          <w:tcPr>
            <w:tcW w:w="107" w:type="pct"/>
            <w:tcBorders>
              <w:right w:val="single" w:sz="4" w:space="0" w:color="auto"/>
            </w:tcBorders>
          </w:tcPr>
          <w:p w:rsidR="00376768" w:rsidRDefault="00376768">
            <w:pPr>
              <w:jc w:val="center"/>
              <w:rPr>
                <w:rFonts w:ascii="Arial" w:hAnsi="Arial" w:cs="Arial"/>
                <w:sz w:val="18"/>
                <w:szCs w:val="2"/>
              </w:rPr>
            </w:pPr>
          </w:p>
        </w:tc>
        <w:tc>
          <w:tcPr>
            <w:tcW w:w="543" w:type="pct"/>
            <w:tcBorders>
              <w:top w:val="single" w:sz="4" w:space="0" w:color="auto"/>
              <w:left w:val="single" w:sz="4" w:space="0" w:color="auto"/>
              <w:bottom w:val="single" w:sz="4" w:space="0" w:color="auto"/>
            </w:tcBorders>
          </w:tcPr>
          <w:p w:rsidR="00376768" w:rsidRDefault="00376768">
            <w:pPr>
              <w:jc w:val="center"/>
              <w:rPr>
                <w:rFonts w:ascii="Arial" w:hAnsi="Arial" w:cs="Arial"/>
                <w:sz w:val="18"/>
                <w:szCs w:val="2"/>
              </w:rPr>
            </w:pPr>
          </w:p>
        </w:tc>
        <w:tc>
          <w:tcPr>
            <w:tcW w:w="36"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c>
          <w:tcPr>
            <w:tcW w:w="36"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524" w:type="pct"/>
            <w:tcBorders>
              <w:top w:val="single" w:sz="4" w:space="0" w:color="auto"/>
              <w:left w:val="nil"/>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$136,606</w:t>
            </w:r>
          </w:p>
        </w:tc>
        <w:tc>
          <w:tcPr>
            <w:tcW w:w="38"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39"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19" w:type="pct"/>
            <w:tcBorders>
              <w:top w:val="single" w:sz="4" w:space="0" w:color="auto"/>
              <w:left w:val="nil"/>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$136,606</w:t>
            </w:r>
          </w:p>
        </w:tc>
        <w:tc>
          <w:tcPr>
            <w:tcW w:w="31"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32"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08" w:type="pct"/>
            <w:tcBorders>
              <w:top w:val="single" w:sz="4" w:space="0" w:color="auto"/>
              <w:left w:val="nil"/>
              <w:bottom w:val="single" w:sz="4" w:space="0" w:color="auto"/>
              <w:right w:val="single" w:sz="4" w:space="0" w:color="auto"/>
            </w:tcBorders>
            <w:vAlign w:val="center"/>
          </w:tcPr>
          <w:p w:rsidR="00376768" w:rsidRDefault="00EC2B72">
            <w:pPr>
              <w:jc w:val="center"/>
              <w:rPr>
                <w:rFonts w:ascii="Arial" w:hAnsi="Arial" w:cs="Arial"/>
                <w:sz w:val="18"/>
              </w:rPr>
            </w:pPr>
            <w:r>
              <w:rPr>
                <w:rFonts w:ascii="Arial" w:hAnsi="Arial" w:cs="Arial"/>
                <w:sz w:val="18"/>
                <w:szCs w:val="18"/>
              </w:rPr>
              <w:t>$136,606</w:t>
            </w:r>
          </w:p>
        </w:tc>
        <w:tc>
          <w:tcPr>
            <w:tcW w:w="151" w:type="pct"/>
            <w:tcBorders>
              <w:left w:val="single" w:sz="4" w:space="0" w:color="auto"/>
              <w:right w:val="single" w:sz="4" w:space="0" w:color="auto"/>
            </w:tcBorders>
          </w:tcPr>
          <w:p w:rsidR="00376768" w:rsidRDefault="00376768">
            <w:pPr>
              <w:jc w:val="center"/>
              <w:rPr>
                <w:rFonts w:ascii="Arial" w:hAnsi="Arial" w:cs="Arial"/>
                <w:sz w:val="18"/>
                <w:szCs w:val="2"/>
              </w:rPr>
            </w:pPr>
          </w:p>
        </w:tc>
        <w:tc>
          <w:tcPr>
            <w:tcW w:w="590" w:type="pct"/>
            <w:tcBorders>
              <w:top w:val="single" w:sz="4" w:space="0" w:color="auto"/>
              <w:left w:val="single" w:sz="4" w:space="0" w:color="auto"/>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$366,115</w:t>
            </w:r>
          </w:p>
        </w:tc>
        <w:tc>
          <w:tcPr>
            <w:tcW w:w="25"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25"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83"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r>
      <w:tr w:rsidR="00376768">
        <w:tc>
          <w:tcPr>
            <w:tcW w:w="1213" w:type="pct"/>
            <w:vAlign w:val="center"/>
          </w:tcPr>
          <w:p w:rsidR="00376768" w:rsidRDefault="00EC2B72">
            <w:pPr>
              <w:rPr>
                <w:rFonts w:ascii="Arial" w:hAnsi="Arial" w:cs="Arial"/>
                <w:sz w:val="18"/>
              </w:rPr>
            </w:pPr>
            <w:r>
              <w:rPr>
                <w:rFonts w:ascii="Arial" w:hAnsi="Arial" w:cs="Arial"/>
                <w:sz w:val="18"/>
                <w:szCs w:val="18"/>
              </w:rPr>
              <w:t>Benefits Continuation</w:t>
            </w:r>
            <w:r>
              <w:rPr>
                <w:rFonts w:ascii="Arial" w:hAnsi="Arial" w:cs="Arial"/>
                <w:b/>
                <w:bCs/>
                <w:sz w:val="18"/>
                <w:szCs w:val="14"/>
                <w:vertAlign w:val="superscript"/>
              </w:rPr>
              <w:t xml:space="preserve"> (3)</w:t>
            </w:r>
          </w:p>
        </w:tc>
        <w:tc>
          <w:tcPr>
            <w:tcW w:w="107" w:type="pct"/>
            <w:tcBorders>
              <w:right w:val="single" w:sz="4" w:space="0" w:color="auto"/>
            </w:tcBorders>
          </w:tcPr>
          <w:p w:rsidR="00376768" w:rsidRDefault="00376768">
            <w:pPr>
              <w:jc w:val="center"/>
              <w:rPr>
                <w:rFonts w:ascii="Arial" w:hAnsi="Arial" w:cs="Arial"/>
                <w:sz w:val="18"/>
                <w:szCs w:val="2"/>
              </w:rPr>
            </w:pPr>
          </w:p>
        </w:tc>
        <w:tc>
          <w:tcPr>
            <w:tcW w:w="543" w:type="pct"/>
            <w:tcBorders>
              <w:top w:val="single" w:sz="4" w:space="0" w:color="auto"/>
              <w:left w:val="single" w:sz="4" w:space="0" w:color="auto"/>
              <w:bottom w:val="single" w:sz="4" w:space="0" w:color="auto"/>
            </w:tcBorders>
          </w:tcPr>
          <w:p w:rsidR="00376768" w:rsidRDefault="00376768">
            <w:pPr>
              <w:jc w:val="center"/>
              <w:rPr>
                <w:rFonts w:ascii="Arial" w:hAnsi="Arial" w:cs="Arial"/>
                <w:sz w:val="18"/>
                <w:szCs w:val="2"/>
              </w:rPr>
            </w:pPr>
          </w:p>
        </w:tc>
        <w:tc>
          <w:tcPr>
            <w:tcW w:w="36"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c>
          <w:tcPr>
            <w:tcW w:w="36"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524" w:type="pct"/>
            <w:tcBorders>
              <w:top w:val="single" w:sz="4" w:space="0" w:color="auto"/>
              <w:left w:val="nil"/>
              <w:bottom w:val="single" w:sz="4" w:space="0" w:color="auto"/>
            </w:tcBorders>
            <w:vAlign w:val="center"/>
          </w:tcPr>
          <w:p w:rsidR="00376768" w:rsidRDefault="00376768">
            <w:pPr>
              <w:jc w:val="center"/>
              <w:rPr>
                <w:rFonts w:ascii="Arial" w:hAnsi="Arial" w:cs="Arial"/>
                <w:sz w:val="18"/>
                <w:szCs w:val="2"/>
              </w:rPr>
            </w:pPr>
          </w:p>
        </w:tc>
        <w:tc>
          <w:tcPr>
            <w:tcW w:w="38"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c>
          <w:tcPr>
            <w:tcW w:w="39"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519" w:type="pct"/>
            <w:tcBorders>
              <w:top w:val="single" w:sz="4" w:space="0" w:color="auto"/>
              <w:left w:val="nil"/>
              <w:bottom w:val="single" w:sz="4" w:space="0" w:color="auto"/>
            </w:tcBorders>
            <w:vAlign w:val="center"/>
          </w:tcPr>
          <w:p w:rsidR="00376768" w:rsidRDefault="00376768">
            <w:pPr>
              <w:jc w:val="center"/>
              <w:rPr>
                <w:rFonts w:ascii="Arial" w:hAnsi="Arial" w:cs="Arial"/>
                <w:sz w:val="18"/>
                <w:szCs w:val="2"/>
              </w:rPr>
            </w:pPr>
          </w:p>
        </w:tc>
        <w:tc>
          <w:tcPr>
            <w:tcW w:w="31"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c>
          <w:tcPr>
            <w:tcW w:w="32"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508" w:type="pct"/>
            <w:tcBorders>
              <w:top w:val="single" w:sz="4" w:space="0" w:color="auto"/>
              <w:left w:val="nil"/>
              <w:bottom w:val="single" w:sz="4" w:space="0" w:color="auto"/>
              <w:right w:val="single" w:sz="4" w:space="0" w:color="auto"/>
            </w:tcBorders>
            <w:vAlign w:val="center"/>
          </w:tcPr>
          <w:p w:rsidR="00376768" w:rsidRDefault="00376768">
            <w:pPr>
              <w:jc w:val="center"/>
              <w:rPr>
                <w:rFonts w:ascii="Arial" w:hAnsi="Arial" w:cs="Arial"/>
                <w:sz w:val="18"/>
                <w:szCs w:val="2"/>
              </w:rPr>
            </w:pPr>
          </w:p>
        </w:tc>
        <w:tc>
          <w:tcPr>
            <w:tcW w:w="151" w:type="pct"/>
            <w:tcBorders>
              <w:left w:val="single" w:sz="4" w:space="0" w:color="auto"/>
              <w:right w:val="single" w:sz="4" w:space="0" w:color="auto"/>
            </w:tcBorders>
          </w:tcPr>
          <w:p w:rsidR="00376768" w:rsidRDefault="00376768">
            <w:pPr>
              <w:jc w:val="center"/>
              <w:rPr>
                <w:rFonts w:ascii="Arial" w:hAnsi="Arial" w:cs="Arial"/>
                <w:sz w:val="18"/>
                <w:szCs w:val="2"/>
              </w:rPr>
            </w:pPr>
          </w:p>
        </w:tc>
        <w:tc>
          <w:tcPr>
            <w:tcW w:w="590" w:type="pct"/>
            <w:tcBorders>
              <w:top w:val="single" w:sz="4" w:space="0" w:color="auto"/>
              <w:left w:val="single" w:sz="4" w:space="0" w:color="auto"/>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$28,727</w:t>
            </w:r>
          </w:p>
        </w:tc>
        <w:tc>
          <w:tcPr>
            <w:tcW w:w="25"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25"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83"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r>
      <w:tr w:rsidR="00376768">
        <w:tc>
          <w:tcPr>
            <w:tcW w:w="1213" w:type="pct"/>
            <w:vAlign w:val="center"/>
          </w:tcPr>
          <w:p w:rsidR="00376768" w:rsidRDefault="00EC2B72">
            <w:pPr>
              <w:rPr>
                <w:rFonts w:ascii="Arial" w:hAnsi="Arial" w:cs="Arial"/>
                <w:sz w:val="18"/>
              </w:rPr>
            </w:pPr>
            <w:r>
              <w:rPr>
                <w:rFonts w:ascii="Arial" w:hAnsi="Arial" w:cs="Arial"/>
                <w:sz w:val="18"/>
                <w:szCs w:val="18"/>
              </w:rPr>
              <w:t>Equity Awards (Unvested)</w:t>
            </w:r>
          </w:p>
        </w:tc>
        <w:tc>
          <w:tcPr>
            <w:tcW w:w="107" w:type="pct"/>
            <w:tcBorders>
              <w:right w:val="single" w:sz="4" w:space="0" w:color="auto"/>
            </w:tcBorders>
          </w:tcPr>
          <w:p w:rsidR="00376768" w:rsidRDefault="00376768">
            <w:pPr>
              <w:jc w:val="center"/>
              <w:rPr>
                <w:rFonts w:ascii="Arial" w:hAnsi="Arial" w:cs="Arial"/>
                <w:sz w:val="18"/>
                <w:szCs w:val="2"/>
              </w:rPr>
            </w:pPr>
          </w:p>
        </w:tc>
        <w:tc>
          <w:tcPr>
            <w:tcW w:w="543" w:type="pct"/>
            <w:tcBorders>
              <w:top w:val="single" w:sz="4" w:space="0" w:color="auto"/>
              <w:left w:val="single" w:sz="4" w:space="0" w:color="auto"/>
              <w:bottom w:val="single" w:sz="4" w:space="0" w:color="auto"/>
            </w:tcBorders>
          </w:tcPr>
          <w:p w:rsidR="00376768" w:rsidRDefault="00376768">
            <w:pPr>
              <w:jc w:val="center"/>
              <w:rPr>
                <w:rFonts w:ascii="Arial" w:hAnsi="Arial" w:cs="Arial"/>
                <w:sz w:val="18"/>
                <w:szCs w:val="2"/>
              </w:rPr>
            </w:pPr>
          </w:p>
        </w:tc>
        <w:tc>
          <w:tcPr>
            <w:tcW w:w="36"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c>
          <w:tcPr>
            <w:tcW w:w="36"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524" w:type="pct"/>
            <w:tcBorders>
              <w:top w:val="single" w:sz="4" w:space="0" w:color="auto"/>
              <w:left w:val="nil"/>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$121,399</w:t>
            </w:r>
            <w:r>
              <w:rPr>
                <w:rFonts w:ascii="Arial" w:hAnsi="Arial" w:cs="Arial"/>
                <w:sz w:val="18"/>
                <w:szCs w:val="14"/>
                <w:vertAlign w:val="superscript"/>
              </w:rPr>
              <w:t>(5)</w:t>
            </w:r>
          </w:p>
        </w:tc>
        <w:tc>
          <w:tcPr>
            <w:tcW w:w="38"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39"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19" w:type="pct"/>
            <w:tcBorders>
              <w:top w:val="single" w:sz="4" w:space="0" w:color="auto"/>
              <w:left w:val="nil"/>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$121,399</w:t>
            </w:r>
            <w:r>
              <w:rPr>
                <w:rFonts w:ascii="Arial" w:hAnsi="Arial" w:cs="Arial"/>
                <w:sz w:val="18"/>
                <w:szCs w:val="14"/>
                <w:vertAlign w:val="superscript"/>
              </w:rPr>
              <w:t>(5)</w:t>
            </w:r>
          </w:p>
        </w:tc>
        <w:tc>
          <w:tcPr>
            <w:tcW w:w="31"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32"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08" w:type="pct"/>
            <w:tcBorders>
              <w:top w:val="single" w:sz="4" w:space="0" w:color="auto"/>
              <w:left w:val="nil"/>
              <w:bottom w:val="single" w:sz="4" w:space="0" w:color="auto"/>
              <w:right w:val="single" w:sz="4" w:space="0" w:color="auto"/>
            </w:tcBorders>
            <w:vAlign w:val="center"/>
          </w:tcPr>
          <w:p w:rsidR="00376768" w:rsidRDefault="00EC2B72">
            <w:pPr>
              <w:jc w:val="center"/>
              <w:rPr>
                <w:rFonts w:ascii="Arial" w:hAnsi="Arial" w:cs="Arial"/>
                <w:sz w:val="18"/>
              </w:rPr>
            </w:pPr>
            <w:r>
              <w:rPr>
                <w:rFonts w:ascii="Arial" w:hAnsi="Arial" w:cs="Arial"/>
                <w:sz w:val="18"/>
                <w:szCs w:val="18"/>
              </w:rPr>
              <w:t>$121,399</w:t>
            </w:r>
            <w:r>
              <w:rPr>
                <w:rFonts w:ascii="Arial" w:hAnsi="Arial" w:cs="Arial"/>
                <w:sz w:val="18"/>
                <w:szCs w:val="14"/>
                <w:vertAlign w:val="superscript"/>
              </w:rPr>
              <w:t>(5)</w:t>
            </w:r>
          </w:p>
        </w:tc>
        <w:tc>
          <w:tcPr>
            <w:tcW w:w="151" w:type="pct"/>
            <w:tcBorders>
              <w:left w:val="single" w:sz="4" w:space="0" w:color="auto"/>
              <w:right w:val="single" w:sz="4" w:space="0" w:color="auto"/>
            </w:tcBorders>
          </w:tcPr>
          <w:p w:rsidR="00376768" w:rsidRDefault="00376768">
            <w:pPr>
              <w:jc w:val="center"/>
              <w:rPr>
                <w:rFonts w:ascii="Arial" w:hAnsi="Arial" w:cs="Arial"/>
                <w:sz w:val="18"/>
                <w:szCs w:val="2"/>
              </w:rPr>
            </w:pPr>
          </w:p>
        </w:tc>
        <w:tc>
          <w:tcPr>
            <w:tcW w:w="590" w:type="pct"/>
            <w:tcBorders>
              <w:top w:val="single" w:sz="4" w:space="0" w:color="auto"/>
              <w:left w:val="single" w:sz="4" w:space="0" w:color="auto"/>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$969,055</w:t>
            </w:r>
            <w:r>
              <w:rPr>
                <w:rFonts w:ascii="Arial" w:hAnsi="Arial" w:cs="Arial"/>
                <w:sz w:val="18"/>
                <w:szCs w:val="14"/>
                <w:vertAlign w:val="superscript"/>
              </w:rPr>
              <w:t>(6)</w:t>
            </w:r>
          </w:p>
        </w:tc>
        <w:tc>
          <w:tcPr>
            <w:tcW w:w="25"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25"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83" w:type="pct"/>
            <w:tcBorders>
              <w:top w:val="single" w:sz="4" w:space="0" w:color="auto"/>
              <w:left w:val="nil"/>
              <w:bottom w:val="single" w:sz="4" w:space="0" w:color="auto"/>
              <w:right w:val="single" w:sz="4" w:space="0" w:color="auto"/>
            </w:tcBorders>
          </w:tcPr>
          <w:p w:rsidR="00376768" w:rsidRDefault="00EC2B72">
            <w:pPr>
              <w:jc w:val="center"/>
              <w:rPr>
                <w:rFonts w:ascii="Arial" w:hAnsi="Arial" w:cs="Arial"/>
                <w:sz w:val="18"/>
              </w:rPr>
            </w:pPr>
            <w:r>
              <w:rPr>
                <w:rFonts w:ascii="Arial" w:hAnsi="Arial" w:cs="Arial"/>
                <w:sz w:val="18"/>
                <w:szCs w:val="18"/>
              </w:rPr>
              <w:t>$121,399</w:t>
            </w:r>
            <w:r>
              <w:rPr>
                <w:rFonts w:ascii="Arial" w:hAnsi="Arial" w:cs="Arial"/>
                <w:sz w:val="18"/>
                <w:szCs w:val="14"/>
                <w:vertAlign w:val="superscript"/>
              </w:rPr>
              <w:t>(6)</w:t>
            </w:r>
          </w:p>
        </w:tc>
      </w:tr>
      <w:tr w:rsidR="00376768">
        <w:tc>
          <w:tcPr>
            <w:tcW w:w="1213" w:type="pct"/>
            <w:vAlign w:val="center"/>
          </w:tcPr>
          <w:p w:rsidR="00376768" w:rsidRDefault="00EC2B72">
            <w:pPr>
              <w:rPr>
                <w:rFonts w:ascii="Arial" w:hAnsi="Arial" w:cs="Arial"/>
                <w:sz w:val="18"/>
              </w:rPr>
            </w:pPr>
            <w:r>
              <w:rPr>
                <w:rFonts w:ascii="Arial" w:hAnsi="Arial" w:cs="Arial"/>
                <w:sz w:val="18"/>
                <w:szCs w:val="18"/>
              </w:rPr>
              <w:t>Outplacement Services</w:t>
            </w:r>
          </w:p>
        </w:tc>
        <w:tc>
          <w:tcPr>
            <w:tcW w:w="107" w:type="pct"/>
            <w:tcBorders>
              <w:right w:val="single" w:sz="4" w:space="0" w:color="auto"/>
            </w:tcBorders>
          </w:tcPr>
          <w:p w:rsidR="00376768" w:rsidRDefault="00376768">
            <w:pPr>
              <w:jc w:val="center"/>
              <w:rPr>
                <w:rFonts w:ascii="Arial" w:hAnsi="Arial" w:cs="Arial"/>
                <w:sz w:val="18"/>
                <w:szCs w:val="2"/>
              </w:rPr>
            </w:pPr>
          </w:p>
        </w:tc>
        <w:tc>
          <w:tcPr>
            <w:tcW w:w="543" w:type="pct"/>
            <w:tcBorders>
              <w:top w:val="single" w:sz="4" w:space="0" w:color="auto"/>
              <w:left w:val="single" w:sz="4" w:space="0" w:color="auto"/>
              <w:bottom w:val="single" w:sz="4" w:space="0" w:color="auto"/>
            </w:tcBorders>
          </w:tcPr>
          <w:p w:rsidR="00376768" w:rsidRDefault="00376768">
            <w:pPr>
              <w:jc w:val="center"/>
              <w:rPr>
                <w:rFonts w:ascii="Arial" w:hAnsi="Arial" w:cs="Arial"/>
                <w:sz w:val="18"/>
                <w:szCs w:val="2"/>
              </w:rPr>
            </w:pPr>
          </w:p>
        </w:tc>
        <w:tc>
          <w:tcPr>
            <w:tcW w:w="36"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c>
          <w:tcPr>
            <w:tcW w:w="36"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524" w:type="pct"/>
            <w:tcBorders>
              <w:top w:val="single" w:sz="4" w:space="0" w:color="auto"/>
              <w:left w:val="nil"/>
              <w:bottom w:val="single" w:sz="4" w:space="0" w:color="auto"/>
            </w:tcBorders>
            <w:vAlign w:val="center"/>
          </w:tcPr>
          <w:p w:rsidR="00376768" w:rsidRDefault="00376768">
            <w:pPr>
              <w:jc w:val="center"/>
              <w:rPr>
                <w:rFonts w:ascii="Arial" w:hAnsi="Arial" w:cs="Arial"/>
                <w:sz w:val="18"/>
                <w:szCs w:val="2"/>
              </w:rPr>
            </w:pPr>
          </w:p>
        </w:tc>
        <w:tc>
          <w:tcPr>
            <w:tcW w:w="38"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c>
          <w:tcPr>
            <w:tcW w:w="39"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519" w:type="pct"/>
            <w:tcBorders>
              <w:top w:val="single" w:sz="4" w:space="0" w:color="auto"/>
              <w:left w:val="nil"/>
              <w:bottom w:val="single" w:sz="4" w:space="0" w:color="auto"/>
            </w:tcBorders>
            <w:vAlign w:val="center"/>
          </w:tcPr>
          <w:p w:rsidR="00376768" w:rsidRDefault="00376768">
            <w:pPr>
              <w:jc w:val="center"/>
              <w:rPr>
                <w:rFonts w:ascii="Arial" w:hAnsi="Arial" w:cs="Arial"/>
                <w:sz w:val="18"/>
                <w:szCs w:val="2"/>
              </w:rPr>
            </w:pPr>
          </w:p>
        </w:tc>
        <w:tc>
          <w:tcPr>
            <w:tcW w:w="31"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c>
          <w:tcPr>
            <w:tcW w:w="32"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508" w:type="pct"/>
            <w:tcBorders>
              <w:top w:val="single" w:sz="4" w:space="0" w:color="auto"/>
              <w:left w:val="nil"/>
              <w:bottom w:val="single" w:sz="4" w:space="0" w:color="auto"/>
              <w:right w:val="single" w:sz="4" w:space="0" w:color="auto"/>
            </w:tcBorders>
            <w:vAlign w:val="center"/>
          </w:tcPr>
          <w:p w:rsidR="00376768" w:rsidRDefault="00376768">
            <w:pPr>
              <w:jc w:val="center"/>
              <w:rPr>
                <w:rFonts w:ascii="Arial" w:hAnsi="Arial" w:cs="Arial"/>
                <w:sz w:val="18"/>
                <w:szCs w:val="2"/>
              </w:rPr>
            </w:pPr>
          </w:p>
        </w:tc>
        <w:tc>
          <w:tcPr>
            <w:tcW w:w="151" w:type="pct"/>
            <w:tcBorders>
              <w:left w:val="single" w:sz="4" w:space="0" w:color="auto"/>
              <w:right w:val="single" w:sz="4" w:space="0" w:color="auto"/>
            </w:tcBorders>
          </w:tcPr>
          <w:p w:rsidR="00376768" w:rsidRDefault="00376768">
            <w:pPr>
              <w:jc w:val="center"/>
              <w:rPr>
                <w:rFonts w:ascii="Arial" w:hAnsi="Arial" w:cs="Arial"/>
                <w:sz w:val="18"/>
                <w:szCs w:val="2"/>
              </w:rPr>
            </w:pPr>
          </w:p>
        </w:tc>
        <w:tc>
          <w:tcPr>
            <w:tcW w:w="590" w:type="pct"/>
            <w:tcBorders>
              <w:top w:val="single" w:sz="4" w:space="0" w:color="auto"/>
              <w:left w:val="single" w:sz="4" w:space="0" w:color="auto"/>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$15,000</w:t>
            </w:r>
          </w:p>
        </w:tc>
        <w:tc>
          <w:tcPr>
            <w:tcW w:w="25"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25"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83"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r>
      <w:tr w:rsidR="00376768">
        <w:tc>
          <w:tcPr>
            <w:tcW w:w="1213" w:type="pct"/>
            <w:vAlign w:val="center"/>
          </w:tcPr>
          <w:p w:rsidR="00376768" w:rsidRDefault="00EC2B72">
            <w:pPr>
              <w:rPr>
                <w:rFonts w:ascii="Arial" w:hAnsi="Arial" w:cs="Arial"/>
                <w:sz w:val="18"/>
              </w:rPr>
            </w:pPr>
            <w:r>
              <w:rPr>
                <w:rFonts w:ascii="Arial" w:hAnsi="Arial" w:cs="Arial"/>
                <w:sz w:val="18"/>
                <w:szCs w:val="18"/>
              </w:rPr>
              <w:t>SERP</w:t>
            </w:r>
            <w:r>
              <w:rPr>
                <w:rFonts w:ascii="Arial" w:hAnsi="Arial" w:cs="Arial"/>
                <w:b/>
                <w:bCs/>
                <w:sz w:val="18"/>
                <w:szCs w:val="14"/>
                <w:vertAlign w:val="superscript"/>
              </w:rPr>
              <w:t>(4)</w:t>
            </w:r>
          </w:p>
        </w:tc>
        <w:tc>
          <w:tcPr>
            <w:tcW w:w="107" w:type="pct"/>
            <w:tcBorders>
              <w:right w:val="single" w:sz="4" w:space="0" w:color="auto"/>
            </w:tcBorders>
          </w:tcPr>
          <w:p w:rsidR="00376768" w:rsidRDefault="00376768">
            <w:pPr>
              <w:jc w:val="center"/>
              <w:rPr>
                <w:rFonts w:ascii="Arial" w:hAnsi="Arial" w:cs="Arial"/>
                <w:sz w:val="18"/>
                <w:szCs w:val="18"/>
              </w:rPr>
            </w:pPr>
          </w:p>
        </w:tc>
        <w:tc>
          <w:tcPr>
            <w:tcW w:w="543" w:type="pct"/>
            <w:tcBorders>
              <w:top w:val="single" w:sz="4" w:space="0" w:color="auto"/>
              <w:left w:val="single" w:sz="4" w:space="0" w:color="auto"/>
              <w:bottom w:val="single" w:sz="4" w:space="0" w:color="auto"/>
            </w:tcBorders>
          </w:tcPr>
          <w:p w:rsidR="00376768" w:rsidRDefault="00EC2B72">
            <w:pPr>
              <w:jc w:val="center"/>
              <w:rPr>
                <w:rFonts w:ascii="Arial" w:hAnsi="Arial" w:cs="Arial"/>
                <w:sz w:val="18"/>
              </w:rPr>
            </w:pPr>
            <w:r>
              <w:rPr>
                <w:rFonts w:ascii="Arial" w:hAnsi="Arial" w:cs="Arial"/>
                <w:sz w:val="18"/>
                <w:szCs w:val="18"/>
              </w:rPr>
              <w:t>$8,938</w:t>
            </w:r>
          </w:p>
        </w:tc>
        <w:tc>
          <w:tcPr>
            <w:tcW w:w="36"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36"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24" w:type="pct"/>
            <w:tcBorders>
              <w:top w:val="single" w:sz="4" w:space="0" w:color="auto"/>
              <w:left w:val="nil"/>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$8,938</w:t>
            </w:r>
          </w:p>
        </w:tc>
        <w:tc>
          <w:tcPr>
            <w:tcW w:w="38"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39"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19" w:type="pct"/>
            <w:tcBorders>
              <w:top w:val="single" w:sz="4" w:space="0" w:color="auto"/>
              <w:left w:val="nil"/>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$8,938</w:t>
            </w:r>
          </w:p>
        </w:tc>
        <w:tc>
          <w:tcPr>
            <w:tcW w:w="31"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32"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08" w:type="pct"/>
            <w:tcBorders>
              <w:top w:val="single" w:sz="4" w:space="0" w:color="auto"/>
              <w:left w:val="nil"/>
              <w:bottom w:val="single" w:sz="4" w:space="0" w:color="auto"/>
              <w:right w:val="single" w:sz="4" w:space="0" w:color="auto"/>
            </w:tcBorders>
            <w:vAlign w:val="center"/>
          </w:tcPr>
          <w:p w:rsidR="00376768" w:rsidRDefault="00EC2B72">
            <w:pPr>
              <w:jc w:val="center"/>
              <w:rPr>
                <w:rFonts w:ascii="Arial" w:hAnsi="Arial" w:cs="Arial"/>
                <w:sz w:val="18"/>
              </w:rPr>
            </w:pPr>
            <w:r>
              <w:rPr>
                <w:rFonts w:ascii="Arial" w:hAnsi="Arial" w:cs="Arial"/>
                <w:sz w:val="18"/>
                <w:szCs w:val="18"/>
              </w:rPr>
              <w:t>$8,938</w:t>
            </w:r>
          </w:p>
        </w:tc>
        <w:tc>
          <w:tcPr>
            <w:tcW w:w="151" w:type="pct"/>
            <w:tcBorders>
              <w:left w:val="single" w:sz="4" w:space="0" w:color="auto"/>
              <w:right w:val="single" w:sz="4" w:space="0" w:color="auto"/>
            </w:tcBorders>
          </w:tcPr>
          <w:p w:rsidR="00376768" w:rsidRDefault="00376768">
            <w:pPr>
              <w:jc w:val="center"/>
              <w:rPr>
                <w:rFonts w:ascii="Arial" w:hAnsi="Arial" w:cs="Arial"/>
                <w:sz w:val="18"/>
                <w:szCs w:val="2"/>
              </w:rPr>
            </w:pPr>
          </w:p>
        </w:tc>
        <w:tc>
          <w:tcPr>
            <w:tcW w:w="590" w:type="pct"/>
            <w:tcBorders>
              <w:top w:val="single" w:sz="4" w:space="0" w:color="auto"/>
              <w:left w:val="single" w:sz="4" w:space="0" w:color="auto"/>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$8,938</w:t>
            </w:r>
          </w:p>
        </w:tc>
        <w:tc>
          <w:tcPr>
            <w:tcW w:w="25"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25"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83"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r>
      <w:tr w:rsidR="00376768">
        <w:tc>
          <w:tcPr>
            <w:tcW w:w="1213" w:type="pct"/>
            <w:vAlign w:val="center"/>
          </w:tcPr>
          <w:p w:rsidR="00376768" w:rsidRDefault="00376768">
            <w:pPr>
              <w:rPr>
                <w:rFonts w:ascii="Arial" w:hAnsi="Arial" w:cs="Arial"/>
                <w:sz w:val="18"/>
                <w:szCs w:val="2"/>
              </w:rPr>
            </w:pPr>
          </w:p>
        </w:tc>
        <w:tc>
          <w:tcPr>
            <w:tcW w:w="107" w:type="pct"/>
          </w:tcPr>
          <w:p w:rsidR="00376768" w:rsidRDefault="00376768">
            <w:pPr>
              <w:jc w:val="center"/>
              <w:rPr>
                <w:rFonts w:ascii="Arial" w:hAnsi="Arial" w:cs="Arial"/>
                <w:sz w:val="18"/>
              </w:rPr>
            </w:pPr>
          </w:p>
        </w:tc>
        <w:tc>
          <w:tcPr>
            <w:tcW w:w="543" w:type="pct"/>
            <w:tcBorders>
              <w:top w:val="single" w:sz="4" w:space="0" w:color="auto"/>
            </w:tcBorders>
          </w:tcPr>
          <w:p w:rsidR="00376768" w:rsidRDefault="00376768">
            <w:pPr>
              <w:jc w:val="center"/>
              <w:rPr>
                <w:rFonts w:ascii="Arial" w:hAnsi="Arial" w:cs="Arial"/>
                <w:sz w:val="18"/>
              </w:rPr>
            </w:pPr>
          </w:p>
        </w:tc>
        <w:tc>
          <w:tcPr>
            <w:tcW w:w="36" w:type="pct"/>
            <w:tcBorders>
              <w:top w:val="single" w:sz="4" w:space="0" w:color="auto"/>
            </w:tcBorders>
          </w:tcPr>
          <w:p w:rsidR="00376768" w:rsidRDefault="00376768">
            <w:pPr>
              <w:jc w:val="center"/>
              <w:rPr>
                <w:rFonts w:ascii="Arial" w:hAnsi="Arial" w:cs="Arial"/>
                <w:sz w:val="18"/>
              </w:rPr>
            </w:pPr>
          </w:p>
        </w:tc>
        <w:tc>
          <w:tcPr>
            <w:tcW w:w="36" w:type="pct"/>
            <w:tcBorders>
              <w:top w:val="single" w:sz="4" w:space="0" w:color="auto"/>
            </w:tcBorders>
          </w:tcPr>
          <w:p w:rsidR="00376768" w:rsidRDefault="00376768">
            <w:pPr>
              <w:jc w:val="center"/>
              <w:rPr>
                <w:rFonts w:ascii="Arial" w:hAnsi="Arial" w:cs="Arial"/>
                <w:sz w:val="18"/>
              </w:rPr>
            </w:pPr>
          </w:p>
        </w:tc>
        <w:tc>
          <w:tcPr>
            <w:tcW w:w="524" w:type="pct"/>
            <w:tcBorders>
              <w:top w:val="single" w:sz="4" w:space="0" w:color="auto"/>
            </w:tcBorders>
          </w:tcPr>
          <w:p w:rsidR="00376768" w:rsidRDefault="00376768">
            <w:pPr>
              <w:jc w:val="center"/>
              <w:rPr>
                <w:rFonts w:ascii="Arial" w:hAnsi="Arial" w:cs="Arial"/>
                <w:sz w:val="18"/>
              </w:rPr>
            </w:pPr>
          </w:p>
        </w:tc>
        <w:tc>
          <w:tcPr>
            <w:tcW w:w="38" w:type="pct"/>
            <w:tcBorders>
              <w:top w:val="single" w:sz="4" w:space="0" w:color="auto"/>
            </w:tcBorders>
          </w:tcPr>
          <w:p w:rsidR="00376768" w:rsidRDefault="00376768">
            <w:pPr>
              <w:jc w:val="center"/>
              <w:rPr>
                <w:rFonts w:ascii="Arial" w:hAnsi="Arial" w:cs="Arial"/>
                <w:sz w:val="18"/>
              </w:rPr>
            </w:pPr>
          </w:p>
        </w:tc>
        <w:tc>
          <w:tcPr>
            <w:tcW w:w="39" w:type="pct"/>
            <w:tcBorders>
              <w:top w:val="single" w:sz="4" w:space="0" w:color="auto"/>
            </w:tcBorders>
          </w:tcPr>
          <w:p w:rsidR="00376768" w:rsidRDefault="00376768">
            <w:pPr>
              <w:jc w:val="center"/>
              <w:rPr>
                <w:rFonts w:ascii="Arial" w:hAnsi="Arial" w:cs="Arial"/>
                <w:sz w:val="18"/>
              </w:rPr>
            </w:pPr>
          </w:p>
        </w:tc>
        <w:tc>
          <w:tcPr>
            <w:tcW w:w="519" w:type="pct"/>
            <w:tcBorders>
              <w:top w:val="single" w:sz="4" w:space="0" w:color="auto"/>
            </w:tcBorders>
          </w:tcPr>
          <w:p w:rsidR="00376768" w:rsidRDefault="00376768">
            <w:pPr>
              <w:jc w:val="center"/>
              <w:rPr>
                <w:rFonts w:ascii="Arial" w:hAnsi="Arial" w:cs="Arial"/>
                <w:sz w:val="18"/>
              </w:rPr>
            </w:pPr>
          </w:p>
        </w:tc>
        <w:tc>
          <w:tcPr>
            <w:tcW w:w="31" w:type="pct"/>
            <w:tcBorders>
              <w:top w:val="single" w:sz="4" w:space="0" w:color="auto"/>
            </w:tcBorders>
          </w:tcPr>
          <w:p w:rsidR="00376768" w:rsidRDefault="00376768">
            <w:pPr>
              <w:jc w:val="center"/>
              <w:rPr>
                <w:rFonts w:ascii="Arial" w:hAnsi="Arial" w:cs="Arial"/>
                <w:sz w:val="18"/>
              </w:rPr>
            </w:pPr>
          </w:p>
        </w:tc>
        <w:tc>
          <w:tcPr>
            <w:tcW w:w="32" w:type="pct"/>
            <w:tcBorders>
              <w:top w:val="single" w:sz="4" w:space="0" w:color="auto"/>
            </w:tcBorders>
          </w:tcPr>
          <w:p w:rsidR="00376768" w:rsidRDefault="00376768">
            <w:pPr>
              <w:jc w:val="center"/>
              <w:rPr>
                <w:rFonts w:ascii="Arial" w:hAnsi="Arial" w:cs="Arial"/>
                <w:sz w:val="18"/>
              </w:rPr>
            </w:pPr>
          </w:p>
        </w:tc>
        <w:tc>
          <w:tcPr>
            <w:tcW w:w="508" w:type="pct"/>
            <w:tcBorders>
              <w:top w:val="single" w:sz="4" w:space="0" w:color="auto"/>
            </w:tcBorders>
          </w:tcPr>
          <w:p w:rsidR="00376768" w:rsidRDefault="00376768">
            <w:pPr>
              <w:jc w:val="center"/>
              <w:rPr>
                <w:rFonts w:ascii="Arial" w:hAnsi="Arial" w:cs="Arial"/>
                <w:sz w:val="18"/>
              </w:rPr>
            </w:pPr>
          </w:p>
        </w:tc>
        <w:tc>
          <w:tcPr>
            <w:tcW w:w="151" w:type="pct"/>
          </w:tcPr>
          <w:p w:rsidR="00376768" w:rsidRDefault="00376768">
            <w:pPr>
              <w:jc w:val="center"/>
              <w:rPr>
                <w:rFonts w:ascii="Arial" w:hAnsi="Arial" w:cs="Arial"/>
                <w:sz w:val="18"/>
              </w:rPr>
            </w:pPr>
          </w:p>
        </w:tc>
        <w:tc>
          <w:tcPr>
            <w:tcW w:w="590" w:type="pct"/>
            <w:tcBorders>
              <w:top w:val="single" w:sz="4" w:space="0" w:color="auto"/>
            </w:tcBorders>
          </w:tcPr>
          <w:p w:rsidR="00376768" w:rsidRDefault="00376768">
            <w:pPr>
              <w:jc w:val="center"/>
              <w:rPr>
                <w:rFonts w:ascii="Arial" w:hAnsi="Arial" w:cs="Arial"/>
                <w:sz w:val="18"/>
              </w:rPr>
            </w:pPr>
          </w:p>
        </w:tc>
        <w:tc>
          <w:tcPr>
            <w:tcW w:w="25" w:type="pct"/>
            <w:tcBorders>
              <w:top w:val="single" w:sz="4" w:space="0" w:color="auto"/>
            </w:tcBorders>
          </w:tcPr>
          <w:p w:rsidR="00376768" w:rsidRDefault="00376768">
            <w:pPr>
              <w:jc w:val="center"/>
              <w:rPr>
                <w:rFonts w:ascii="Arial" w:hAnsi="Arial" w:cs="Arial"/>
                <w:sz w:val="18"/>
              </w:rPr>
            </w:pPr>
          </w:p>
        </w:tc>
        <w:tc>
          <w:tcPr>
            <w:tcW w:w="25" w:type="pct"/>
            <w:tcBorders>
              <w:top w:val="single" w:sz="4" w:space="0" w:color="auto"/>
            </w:tcBorders>
          </w:tcPr>
          <w:p w:rsidR="00376768" w:rsidRDefault="00376768">
            <w:pPr>
              <w:jc w:val="center"/>
              <w:rPr>
                <w:rFonts w:ascii="Arial" w:hAnsi="Arial" w:cs="Arial"/>
                <w:sz w:val="18"/>
              </w:rPr>
            </w:pPr>
          </w:p>
        </w:tc>
        <w:tc>
          <w:tcPr>
            <w:tcW w:w="583" w:type="pct"/>
            <w:tcBorders>
              <w:top w:val="single" w:sz="4" w:space="0" w:color="auto"/>
            </w:tcBorders>
          </w:tcPr>
          <w:p w:rsidR="00376768" w:rsidRDefault="00376768">
            <w:pPr>
              <w:jc w:val="center"/>
              <w:rPr>
                <w:rFonts w:ascii="Arial" w:hAnsi="Arial" w:cs="Arial"/>
                <w:sz w:val="18"/>
              </w:rPr>
            </w:pPr>
          </w:p>
        </w:tc>
      </w:tr>
      <w:tr w:rsidR="00376768">
        <w:tc>
          <w:tcPr>
            <w:tcW w:w="1213" w:type="pct"/>
            <w:vAlign w:val="center"/>
          </w:tcPr>
          <w:p w:rsidR="00376768" w:rsidRDefault="00EC2B72">
            <w:pPr>
              <w:jc w:val="center"/>
              <w:rPr>
                <w:rFonts w:ascii="Arial" w:hAnsi="Arial" w:cs="Arial"/>
                <w:sz w:val="18"/>
              </w:rPr>
            </w:pPr>
            <w:r>
              <w:rPr>
                <w:rFonts w:ascii="Arial" w:hAnsi="Arial" w:cs="Arial"/>
                <w:b/>
                <w:bCs/>
                <w:sz w:val="18"/>
                <w:szCs w:val="18"/>
              </w:rPr>
              <w:t>Totals</w:t>
            </w:r>
          </w:p>
        </w:tc>
        <w:tc>
          <w:tcPr>
            <w:tcW w:w="107" w:type="pct"/>
          </w:tcPr>
          <w:p w:rsidR="00376768" w:rsidRDefault="00376768">
            <w:pPr>
              <w:jc w:val="center"/>
              <w:rPr>
                <w:rFonts w:ascii="Arial" w:hAnsi="Arial" w:cs="Arial"/>
                <w:b/>
                <w:bCs/>
                <w:sz w:val="18"/>
                <w:szCs w:val="18"/>
              </w:rPr>
            </w:pPr>
          </w:p>
        </w:tc>
        <w:tc>
          <w:tcPr>
            <w:tcW w:w="543" w:type="pct"/>
            <w:tcBorders>
              <w:bottom w:val="double" w:sz="4" w:space="0" w:color="auto"/>
            </w:tcBorders>
          </w:tcPr>
          <w:p w:rsidR="00376768" w:rsidRDefault="00EC2B72">
            <w:pPr>
              <w:jc w:val="center"/>
              <w:rPr>
                <w:rFonts w:ascii="Arial" w:hAnsi="Arial" w:cs="Arial"/>
                <w:sz w:val="18"/>
              </w:rPr>
            </w:pPr>
            <w:r>
              <w:rPr>
                <w:rFonts w:ascii="Arial" w:hAnsi="Arial" w:cs="Arial"/>
                <w:b/>
                <w:bCs/>
                <w:sz w:val="18"/>
                <w:szCs w:val="18"/>
              </w:rPr>
              <w:t>$8,938</w:t>
            </w:r>
          </w:p>
        </w:tc>
        <w:tc>
          <w:tcPr>
            <w:tcW w:w="36" w:type="pct"/>
          </w:tcPr>
          <w:p w:rsidR="00376768" w:rsidRDefault="00376768">
            <w:pPr>
              <w:jc w:val="center"/>
              <w:rPr>
                <w:rFonts w:ascii="Arial" w:hAnsi="Arial" w:cs="Arial"/>
                <w:sz w:val="18"/>
              </w:rPr>
            </w:pPr>
          </w:p>
        </w:tc>
        <w:tc>
          <w:tcPr>
            <w:tcW w:w="36" w:type="pct"/>
          </w:tcPr>
          <w:p w:rsidR="00376768" w:rsidRDefault="00376768">
            <w:pPr>
              <w:jc w:val="center"/>
              <w:rPr>
                <w:rFonts w:ascii="Arial" w:hAnsi="Arial" w:cs="Arial"/>
                <w:sz w:val="18"/>
              </w:rPr>
            </w:pPr>
          </w:p>
        </w:tc>
        <w:tc>
          <w:tcPr>
            <w:tcW w:w="524" w:type="pct"/>
            <w:tcBorders>
              <w:bottom w:val="double" w:sz="4" w:space="0" w:color="auto"/>
            </w:tcBorders>
          </w:tcPr>
          <w:p w:rsidR="00376768" w:rsidRDefault="00EC2B72">
            <w:pPr>
              <w:jc w:val="center"/>
              <w:rPr>
                <w:rFonts w:ascii="Arial" w:hAnsi="Arial" w:cs="Arial"/>
                <w:sz w:val="18"/>
              </w:rPr>
            </w:pPr>
            <w:r>
              <w:rPr>
                <w:rFonts w:ascii="Arial" w:hAnsi="Arial" w:cs="Arial"/>
                <w:b/>
                <w:bCs/>
                <w:sz w:val="18"/>
                <w:szCs w:val="18"/>
              </w:rPr>
              <w:t>$266,943</w:t>
            </w:r>
          </w:p>
        </w:tc>
        <w:tc>
          <w:tcPr>
            <w:tcW w:w="38" w:type="pct"/>
          </w:tcPr>
          <w:p w:rsidR="00376768" w:rsidRDefault="00376768">
            <w:pPr>
              <w:jc w:val="center"/>
              <w:rPr>
                <w:rFonts w:ascii="Arial" w:hAnsi="Arial" w:cs="Arial"/>
                <w:sz w:val="18"/>
              </w:rPr>
            </w:pPr>
          </w:p>
        </w:tc>
        <w:tc>
          <w:tcPr>
            <w:tcW w:w="39" w:type="pct"/>
          </w:tcPr>
          <w:p w:rsidR="00376768" w:rsidRDefault="00376768">
            <w:pPr>
              <w:jc w:val="center"/>
              <w:rPr>
                <w:rFonts w:ascii="Arial" w:hAnsi="Arial" w:cs="Arial"/>
                <w:sz w:val="18"/>
              </w:rPr>
            </w:pPr>
          </w:p>
        </w:tc>
        <w:tc>
          <w:tcPr>
            <w:tcW w:w="519" w:type="pct"/>
            <w:tcBorders>
              <w:bottom w:val="double" w:sz="4" w:space="0" w:color="auto"/>
            </w:tcBorders>
          </w:tcPr>
          <w:p w:rsidR="00376768" w:rsidRDefault="00EC2B72">
            <w:pPr>
              <w:jc w:val="center"/>
              <w:rPr>
                <w:rFonts w:ascii="Arial" w:hAnsi="Arial" w:cs="Arial"/>
                <w:sz w:val="18"/>
              </w:rPr>
            </w:pPr>
            <w:r>
              <w:rPr>
                <w:rFonts w:ascii="Arial" w:hAnsi="Arial" w:cs="Arial"/>
                <w:b/>
                <w:bCs/>
                <w:sz w:val="18"/>
                <w:szCs w:val="18"/>
              </w:rPr>
              <w:t>$266,943</w:t>
            </w:r>
          </w:p>
        </w:tc>
        <w:tc>
          <w:tcPr>
            <w:tcW w:w="31" w:type="pct"/>
          </w:tcPr>
          <w:p w:rsidR="00376768" w:rsidRDefault="00376768">
            <w:pPr>
              <w:jc w:val="center"/>
              <w:rPr>
                <w:rFonts w:ascii="Arial" w:hAnsi="Arial" w:cs="Arial"/>
                <w:sz w:val="18"/>
              </w:rPr>
            </w:pPr>
          </w:p>
        </w:tc>
        <w:tc>
          <w:tcPr>
            <w:tcW w:w="32" w:type="pct"/>
          </w:tcPr>
          <w:p w:rsidR="00376768" w:rsidRDefault="00376768">
            <w:pPr>
              <w:jc w:val="center"/>
              <w:rPr>
                <w:rFonts w:ascii="Arial" w:hAnsi="Arial" w:cs="Arial"/>
                <w:sz w:val="18"/>
              </w:rPr>
            </w:pPr>
          </w:p>
        </w:tc>
        <w:tc>
          <w:tcPr>
            <w:tcW w:w="508" w:type="pct"/>
            <w:tcBorders>
              <w:bottom w:val="double" w:sz="4" w:space="0" w:color="auto"/>
            </w:tcBorders>
          </w:tcPr>
          <w:p w:rsidR="00376768" w:rsidRDefault="00EC2B72">
            <w:pPr>
              <w:jc w:val="center"/>
              <w:rPr>
                <w:rFonts w:ascii="Arial" w:hAnsi="Arial" w:cs="Arial"/>
                <w:sz w:val="18"/>
              </w:rPr>
            </w:pPr>
            <w:r>
              <w:rPr>
                <w:rFonts w:ascii="Arial" w:hAnsi="Arial" w:cs="Arial"/>
                <w:b/>
                <w:bCs/>
                <w:sz w:val="18"/>
                <w:szCs w:val="18"/>
              </w:rPr>
              <w:t>$266,943</w:t>
            </w:r>
          </w:p>
        </w:tc>
        <w:tc>
          <w:tcPr>
            <w:tcW w:w="151" w:type="pct"/>
          </w:tcPr>
          <w:p w:rsidR="00376768" w:rsidRDefault="00376768">
            <w:pPr>
              <w:jc w:val="center"/>
              <w:rPr>
                <w:rFonts w:ascii="Arial" w:hAnsi="Arial" w:cs="Arial"/>
                <w:sz w:val="18"/>
                <w:szCs w:val="2"/>
              </w:rPr>
            </w:pPr>
          </w:p>
        </w:tc>
        <w:tc>
          <w:tcPr>
            <w:tcW w:w="590" w:type="pct"/>
            <w:tcBorders>
              <w:bottom w:val="double" w:sz="4" w:space="0" w:color="auto"/>
            </w:tcBorders>
          </w:tcPr>
          <w:p w:rsidR="00376768" w:rsidRDefault="00EC2B72">
            <w:pPr>
              <w:jc w:val="center"/>
              <w:rPr>
                <w:rFonts w:ascii="Arial" w:hAnsi="Arial" w:cs="Arial"/>
                <w:sz w:val="18"/>
              </w:rPr>
            </w:pPr>
            <w:r>
              <w:rPr>
                <w:rFonts w:ascii="Arial" w:hAnsi="Arial" w:cs="Arial"/>
                <w:b/>
                <w:bCs/>
                <w:sz w:val="18"/>
                <w:szCs w:val="18"/>
              </w:rPr>
              <w:t>$1,387,835</w:t>
            </w:r>
          </w:p>
        </w:tc>
        <w:tc>
          <w:tcPr>
            <w:tcW w:w="25" w:type="pct"/>
          </w:tcPr>
          <w:p w:rsidR="00376768" w:rsidRDefault="00376768">
            <w:pPr>
              <w:jc w:val="center"/>
              <w:rPr>
                <w:rFonts w:ascii="Arial" w:hAnsi="Arial" w:cs="Arial"/>
                <w:sz w:val="18"/>
              </w:rPr>
            </w:pPr>
          </w:p>
        </w:tc>
        <w:tc>
          <w:tcPr>
            <w:tcW w:w="25" w:type="pct"/>
          </w:tcPr>
          <w:p w:rsidR="00376768" w:rsidRDefault="00376768">
            <w:pPr>
              <w:jc w:val="center"/>
              <w:rPr>
                <w:rFonts w:ascii="Arial" w:hAnsi="Arial" w:cs="Arial"/>
                <w:sz w:val="18"/>
              </w:rPr>
            </w:pPr>
          </w:p>
        </w:tc>
        <w:tc>
          <w:tcPr>
            <w:tcW w:w="583" w:type="pct"/>
            <w:tcBorders>
              <w:bottom w:val="double" w:sz="4" w:space="0" w:color="auto"/>
            </w:tcBorders>
          </w:tcPr>
          <w:p w:rsidR="00376768" w:rsidRDefault="00EC2B72">
            <w:pPr>
              <w:jc w:val="center"/>
              <w:rPr>
                <w:rFonts w:ascii="Arial" w:hAnsi="Arial" w:cs="Arial"/>
                <w:sz w:val="18"/>
              </w:rPr>
            </w:pPr>
            <w:r>
              <w:rPr>
                <w:rFonts w:ascii="Arial" w:hAnsi="Arial" w:cs="Arial"/>
                <w:b/>
                <w:bCs/>
                <w:sz w:val="18"/>
                <w:szCs w:val="18"/>
              </w:rPr>
              <w:t>$121,399</w:t>
            </w:r>
          </w:p>
        </w:tc>
      </w:tr>
      <w:tr w:rsidR="00376768">
        <w:tc>
          <w:tcPr>
            <w:tcW w:w="1213" w:type="pct"/>
          </w:tcPr>
          <w:p w:rsidR="00376768" w:rsidRDefault="00376768">
            <w:pPr>
              <w:rPr>
                <w:rFonts w:ascii="Arial" w:hAnsi="Arial" w:cs="Arial"/>
                <w:sz w:val="2"/>
                <w:szCs w:val="16"/>
              </w:rPr>
            </w:pPr>
          </w:p>
        </w:tc>
        <w:tc>
          <w:tcPr>
            <w:tcW w:w="107" w:type="pct"/>
          </w:tcPr>
          <w:p w:rsidR="00376768" w:rsidRDefault="00376768">
            <w:pPr>
              <w:jc w:val="center"/>
              <w:rPr>
                <w:rFonts w:ascii="Arial" w:hAnsi="Arial" w:cs="Arial"/>
                <w:sz w:val="2"/>
                <w:szCs w:val="16"/>
              </w:rPr>
            </w:pPr>
          </w:p>
        </w:tc>
        <w:tc>
          <w:tcPr>
            <w:tcW w:w="543" w:type="pct"/>
          </w:tcPr>
          <w:p w:rsidR="00376768" w:rsidRDefault="00376768">
            <w:pPr>
              <w:jc w:val="center"/>
              <w:rPr>
                <w:rFonts w:ascii="Arial" w:hAnsi="Arial" w:cs="Arial"/>
                <w:sz w:val="2"/>
                <w:szCs w:val="16"/>
              </w:rPr>
            </w:pPr>
          </w:p>
        </w:tc>
        <w:tc>
          <w:tcPr>
            <w:tcW w:w="36" w:type="pct"/>
          </w:tcPr>
          <w:p w:rsidR="00376768" w:rsidRDefault="00376768">
            <w:pPr>
              <w:jc w:val="center"/>
              <w:rPr>
                <w:rFonts w:ascii="Arial" w:hAnsi="Arial" w:cs="Arial"/>
                <w:sz w:val="2"/>
                <w:szCs w:val="16"/>
              </w:rPr>
            </w:pPr>
          </w:p>
        </w:tc>
        <w:tc>
          <w:tcPr>
            <w:tcW w:w="36" w:type="pct"/>
          </w:tcPr>
          <w:p w:rsidR="00376768" w:rsidRDefault="00376768">
            <w:pPr>
              <w:jc w:val="center"/>
              <w:rPr>
                <w:rFonts w:ascii="Arial" w:hAnsi="Arial" w:cs="Arial"/>
                <w:sz w:val="2"/>
                <w:szCs w:val="16"/>
              </w:rPr>
            </w:pPr>
          </w:p>
        </w:tc>
        <w:tc>
          <w:tcPr>
            <w:tcW w:w="524" w:type="pct"/>
          </w:tcPr>
          <w:p w:rsidR="00376768" w:rsidRDefault="00376768">
            <w:pPr>
              <w:jc w:val="center"/>
              <w:rPr>
                <w:rFonts w:ascii="Arial" w:hAnsi="Arial" w:cs="Arial"/>
                <w:sz w:val="2"/>
                <w:szCs w:val="16"/>
              </w:rPr>
            </w:pPr>
          </w:p>
        </w:tc>
        <w:tc>
          <w:tcPr>
            <w:tcW w:w="77" w:type="pct"/>
            <w:gridSpan w:val="2"/>
          </w:tcPr>
          <w:p w:rsidR="00376768" w:rsidRDefault="00376768">
            <w:pPr>
              <w:jc w:val="center"/>
              <w:rPr>
                <w:rFonts w:ascii="Arial" w:hAnsi="Arial" w:cs="Arial"/>
                <w:sz w:val="2"/>
                <w:szCs w:val="16"/>
              </w:rPr>
            </w:pPr>
          </w:p>
        </w:tc>
        <w:tc>
          <w:tcPr>
            <w:tcW w:w="519" w:type="pct"/>
          </w:tcPr>
          <w:p w:rsidR="00376768" w:rsidRDefault="00376768">
            <w:pPr>
              <w:jc w:val="center"/>
              <w:rPr>
                <w:rFonts w:ascii="Arial" w:hAnsi="Arial" w:cs="Arial"/>
                <w:sz w:val="2"/>
                <w:szCs w:val="16"/>
              </w:rPr>
            </w:pPr>
          </w:p>
        </w:tc>
        <w:tc>
          <w:tcPr>
            <w:tcW w:w="63" w:type="pct"/>
            <w:gridSpan w:val="2"/>
          </w:tcPr>
          <w:p w:rsidR="00376768" w:rsidRDefault="00376768">
            <w:pPr>
              <w:jc w:val="center"/>
              <w:rPr>
                <w:rFonts w:ascii="Arial" w:hAnsi="Arial" w:cs="Arial"/>
                <w:sz w:val="2"/>
                <w:szCs w:val="16"/>
              </w:rPr>
            </w:pPr>
          </w:p>
        </w:tc>
        <w:tc>
          <w:tcPr>
            <w:tcW w:w="508" w:type="pct"/>
          </w:tcPr>
          <w:p w:rsidR="00376768" w:rsidRDefault="00376768">
            <w:pPr>
              <w:jc w:val="center"/>
              <w:rPr>
                <w:rFonts w:ascii="Arial" w:hAnsi="Arial" w:cs="Arial"/>
                <w:sz w:val="2"/>
                <w:szCs w:val="16"/>
              </w:rPr>
            </w:pPr>
          </w:p>
        </w:tc>
        <w:tc>
          <w:tcPr>
            <w:tcW w:w="151" w:type="pct"/>
          </w:tcPr>
          <w:p w:rsidR="00376768" w:rsidRDefault="00376768">
            <w:pPr>
              <w:jc w:val="center"/>
              <w:rPr>
                <w:rFonts w:ascii="Arial" w:hAnsi="Arial" w:cs="Arial"/>
                <w:sz w:val="2"/>
                <w:szCs w:val="16"/>
              </w:rPr>
            </w:pPr>
          </w:p>
        </w:tc>
        <w:tc>
          <w:tcPr>
            <w:tcW w:w="590" w:type="pct"/>
          </w:tcPr>
          <w:p w:rsidR="00376768" w:rsidRDefault="00376768">
            <w:pPr>
              <w:jc w:val="center"/>
              <w:rPr>
                <w:rFonts w:ascii="Arial" w:hAnsi="Arial" w:cs="Arial"/>
                <w:sz w:val="2"/>
                <w:szCs w:val="16"/>
              </w:rPr>
            </w:pPr>
          </w:p>
        </w:tc>
        <w:tc>
          <w:tcPr>
            <w:tcW w:w="50" w:type="pct"/>
            <w:gridSpan w:val="2"/>
          </w:tcPr>
          <w:p w:rsidR="00376768" w:rsidRDefault="00376768">
            <w:pPr>
              <w:jc w:val="center"/>
              <w:rPr>
                <w:rFonts w:ascii="Arial" w:hAnsi="Arial" w:cs="Arial"/>
                <w:sz w:val="2"/>
                <w:szCs w:val="16"/>
              </w:rPr>
            </w:pPr>
          </w:p>
        </w:tc>
        <w:tc>
          <w:tcPr>
            <w:tcW w:w="583" w:type="pct"/>
          </w:tcPr>
          <w:p w:rsidR="00376768" w:rsidRDefault="00376768">
            <w:pPr>
              <w:jc w:val="center"/>
              <w:rPr>
                <w:rFonts w:ascii="Arial" w:hAnsi="Arial" w:cs="Arial"/>
                <w:sz w:val="2"/>
                <w:szCs w:val="16"/>
              </w:rPr>
            </w:pPr>
          </w:p>
        </w:tc>
      </w:tr>
      <w:tr w:rsidR="00376768">
        <w:tc>
          <w:tcPr>
            <w:tcW w:w="1213" w:type="pct"/>
            <w:tcBorders>
              <w:bottom w:val="single" w:sz="4" w:space="0" w:color="auto"/>
            </w:tcBorders>
          </w:tcPr>
          <w:p w:rsidR="00376768" w:rsidRDefault="00EC2B72">
            <w:pPr>
              <w:rPr>
                <w:rFonts w:ascii="Arial" w:hAnsi="Arial" w:cs="Arial"/>
                <w:sz w:val="18"/>
                <w:szCs w:val="16"/>
              </w:rPr>
            </w:pPr>
            <w:r>
              <w:rPr>
                <w:rFonts w:ascii="Arial" w:hAnsi="Arial" w:cs="Arial"/>
                <w:b/>
                <w:bCs/>
                <w:sz w:val="18"/>
                <w:szCs w:val="18"/>
              </w:rPr>
              <w:lastRenderedPageBreak/>
              <w:t>Brian H. Kelly</w:t>
            </w:r>
          </w:p>
        </w:tc>
        <w:tc>
          <w:tcPr>
            <w:tcW w:w="107" w:type="pct"/>
          </w:tcPr>
          <w:p w:rsidR="00376768" w:rsidRDefault="00376768">
            <w:pPr>
              <w:jc w:val="center"/>
              <w:rPr>
                <w:rFonts w:ascii="Arial" w:hAnsi="Arial" w:cs="Arial"/>
                <w:sz w:val="18"/>
                <w:szCs w:val="16"/>
              </w:rPr>
            </w:pPr>
          </w:p>
        </w:tc>
        <w:tc>
          <w:tcPr>
            <w:tcW w:w="2306" w:type="pct"/>
            <w:gridSpan w:val="10"/>
            <w:tcBorders>
              <w:bottom w:val="single" w:sz="4" w:space="0" w:color="auto"/>
            </w:tcBorders>
          </w:tcPr>
          <w:p w:rsidR="00376768" w:rsidRDefault="00EC2B72">
            <w:pPr>
              <w:jc w:val="center"/>
              <w:rPr>
                <w:rFonts w:ascii="Arial" w:hAnsi="Arial" w:cs="Arial"/>
                <w:sz w:val="18"/>
                <w:szCs w:val="16"/>
              </w:rPr>
            </w:pPr>
            <w:r>
              <w:rPr>
                <w:rFonts w:ascii="Arial" w:hAnsi="Arial" w:cs="Arial"/>
                <w:sz w:val="18"/>
                <w:szCs w:val="18"/>
              </w:rPr>
              <w:t>Non-Change-in-Control</w:t>
            </w:r>
          </w:p>
        </w:tc>
        <w:tc>
          <w:tcPr>
            <w:tcW w:w="151" w:type="pct"/>
          </w:tcPr>
          <w:p w:rsidR="00376768" w:rsidRDefault="00376768">
            <w:pPr>
              <w:jc w:val="center"/>
              <w:rPr>
                <w:rFonts w:ascii="Arial" w:hAnsi="Arial" w:cs="Arial"/>
                <w:sz w:val="18"/>
                <w:szCs w:val="16"/>
              </w:rPr>
            </w:pPr>
          </w:p>
        </w:tc>
        <w:tc>
          <w:tcPr>
            <w:tcW w:w="1223" w:type="pct"/>
            <w:gridSpan w:val="4"/>
            <w:tcBorders>
              <w:bottom w:val="single" w:sz="4" w:space="0" w:color="auto"/>
            </w:tcBorders>
          </w:tcPr>
          <w:p w:rsidR="00376768" w:rsidRDefault="00EC2B72">
            <w:pPr>
              <w:jc w:val="center"/>
              <w:rPr>
                <w:rFonts w:ascii="Arial" w:hAnsi="Arial" w:cs="Arial"/>
                <w:sz w:val="18"/>
                <w:szCs w:val="16"/>
              </w:rPr>
            </w:pPr>
            <w:r>
              <w:rPr>
                <w:rFonts w:ascii="Arial" w:hAnsi="Arial" w:cs="Arial"/>
                <w:sz w:val="18"/>
                <w:szCs w:val="18"/>
              </w:rPr>
              <w:t>Change-in-Control</w:t>
            </w:r>
          </w:p>
        </w:tc>
      </w:tr>
      <w:tr w:rsidR="00376768">
        <w:tc>
          <w:tcPr>
            <w:tcW w:w="1213" w:type="pct"/>
            <w:tcBorders>
              <w:top w:val="single" w:sz="4" w:space="0" w:color="auto"/>
            </w:tcBorders>
            <w:vAlign w:val="center"/>
          </w:tcPr>
          <w:p w:rsidR="00376768" w:rsidRDefault="00EC2B72">
            <w:pPr>
              <w:rPr>
                <w:rFonts w:ascii="Arial" w:hAnsi="Arial" w:cs="Arial"/>
                <w:sz w:val="18"/>
                <w:szCs w:val="16"/>
              </w:rPr>
            </w:pPr>
            <w:r>
              <w:rPr>
                <w:rFonts w:ascii="Arial" w:hAnsi="Arial" w:cs="Arial"/>
                <w:sz w:val="18"/>
                <w:szCs w:val="18"/>
                <w:u w:val="single"/>
              </w:rPr>
              <w:t>NEO - Payments and Benefits</w:t>
            </w:r>
          </w:p>
        </w:tc>
        <w:tc>
          <w:tcPr>
            <w:tcW w:w="107" w:type="pct"/>
            <w:tcBorders>
              <w:right w:val="single" w:sz="4" w:space="0" w:color="auto"/>
            </w:tcBorders>
          </w:tcPr>
          <w:p w:rsidR="00376768" w:rsidRDefault="00376768">
            <w:pPr>
              <w:jc w:val="center"/>
              <w:rPr>
                <w:rFonts w:ascii="Arial" w:hAnsi="Arial" w:cs="Arial"/>
                <w:sz w:val="18"/>
                <w:szCs w:val="16"/>
              </w:rPr>
            </w:pPr>
          </w:p>
        </w:tc>
        <w:tc>
          <w:tcPr>
            <w:tcW w:w="543" w:type="pct"/>
            <w:tcBorders>
              <w:top w:val="single" w:sz="4" w:space="0" w:color="auto"/>
              <w:left w:val="single" w:sz="4" w:space="0" w:color="auto"/>
              <w:bottom w:val="single" w:sz="4" w:space="0" w:color="auto"/>
            </w:tcBorders>
            <w:vAlign w:val="center"/>
          </w:tcPr>
          <w:p w:rsidR="00376768" w:rsidRDefault="00EC2B72">
            <w:pPr>
              <w:jc w:val="center"/>
              <w:rPr>
                <w:rFonts w:ascii="Arial" w:hAnsi="Arial" w:cs="Arial"/>
                <w:sz w:val="18"/>
                <w:szCs w:val="16"/>
              </w:rPr>
            </w:pPr>
            <w:r>
              <w:rPr>
                <w:rFonts w:ascii="Arial" w:hAnsi="Arial" w:cs="Arial"/>
                <w:sz w:val="18"/>
                <w:szCs w:val="18"/>
              </w:rPr>
              <w:t xml:space="preserve">By Company </w:t>
            </w:r>
            <w:r>
              <w:rPr>
                <w:rFonts w:ascii="Arial" w:hAnsi="Arial" w:cs="Arial"/>
                <w:sz w:val="18"/>
                <w:szCs w:val="18"/>
              </w:rPr>
              <w:br/>
              <w:t xml:space="preserve">without </w:t>
            </w:r>
            <w:r>
              <w:rPr>
                <w:rFonts w:ascii="Arial" w:hAnsi="Arial" w:cs="Arial"/>
                <w:sz w:val="18"/>
                <w:szCs w:val="18"/>
              </w:rPr>
              <w:br/>
              <w:t xml:space="preserve">Cause or by </w:t>
            </w:r>
            <w:r>
              <w:rPr>
                <w:rFonts w:ascii="Arial" w:hAnsi="Arial" w:cs="Arial"/>
                <w:sz w:val="18"/>
                <w:szCs w:val="18"/>
              </w:rPr>
              <w:br/>
              <w:t xml:space="preserve">Executive for </w:t>
            </w:r>
            <w:r>
              <w:rPr>
                <w:rFonts w:ascii="Arial" w:hAnsi="Arial" w:cs="Arial"/>
                <w:sz w:val="18"/>
                <w:szCs w:val="18"/>
              </w:rPr>
              <w:br/>
              <w:t>Good Reason</w:t>
            </w:r>
          </w:p>
        </w:tc>
        <w:tc>
          <w:tcPr>
            <w:tcW w:w="36" w:type="pct"/>
            <w:tcBorders>
              <w:top w:val="single" w:sz="4" w:space="0" w:color="auto"/>
              <w:left w:val="nil"/>
              <w:bottom w:val="single" w:sz="4" w:space="0" w:color="auto"/>
              <w:right w:val="single" w:sz="4" w:space="0" w:color="auto"/>
            </w:tcBorders>
            <w:vAlign w:val="center"/>
          </w:tcPr>
          <w:p w:rsidR="00376768" w:rsidRDefault="00376768">
            <w:pPr>
              <w:jc w:val="center"/>
              <w:rPr>
                <w:rFonts w:ascii="Arial" w:hAnsi="Arial" w:cs="Arial"/>
                <w:sz w:val="18"/>
                <w:szCs w:val="16"/>
              </w:rPr>
            </w:pPr>
          </w:p>
        </w:tc>
        <w:tc>
          <w:tcPr>
            <w:tcW w:w="36" w:type="pct"/>
            <w:tcBorders>
              <w:top w:val="single" w:sz="4" w:space="0" w:color="auto"/>
              <w:left w:val="nil"/>
              <w:bottom w:val="single" w:sz="4" w:space="0" w:color="auto"/>
            </w:tcBorders>
            <w:vAlign w:val="center"/>
          </w:tcPr>
          <w:p w:rsidR="00376768" w:rsidRDefault="00376768">
            <w:pPr>
              <w:jc w:val="center"/>
              <w:rPr>
                <w:rFonts w:ascii="Arial" w:hAnsi="Arial" w:cs="Arial"/>
                <w:sz w:val="18"/>
                <w:szCs w:val="16"/>
              </w:rPr>
            </w:pPr>
          </w:p>
        </w:tc>
        <w:tc>
          <w:tcPr>
            <w:tcW w:w="524" w:type="pct"/>
            <w:tcBorders>
              <w:top w:val="single" w:sz="4" w:space="0" w:color="auto"/>
              <w:left w:val="nil"/>
              <w:bottom w:val="single" w:sz="4" w:space="0" w:color="auto"/>
            </w:tcBorders>
            <w:vAlign w:val="center"/>
          </w:tcPr>
          <w:p w:rsidR="00376768" w:rsidRDefault="00EC2B72">
            <w:pPr>
              <w:jc w:val="center"/>
              <w:rPr>
                <w:rFonts w:ascii="Arial" w:hAnsi="Arial" w:cs="Arial"/>
                <w:sz w:val="18"/>
                <w:szCs w:val="16"/>
              </w:rPr>
            </w:pPr>
            <w:r>
              <w:rPr>
                <w:rFonts w:ascii="Arial" w:hAnsi="Arial" w:cs="Arial"/>
                <w:sz w:val="18"/>
                <w:szCs w:val="18"/>
              </w:rPr>
              <w:t>Death</w:t>
            </w:r>
          </w:p>
        </w:tc>
        <w:tc>
          <w:tcPr>
            <w:tcW w:w="38" w:type="pct"/>
            <w:tcBorders>
              <w:top w:val="single" w:sz="4" w:space="0" w:color="auto"/>
              <w:left w:val="nil"/>
              <w:bottom w:val="single" w:sz="4" w:space="0" w:color="auto"/>
              <w:right w:val="single" w:sz="4" w:space="0" w:color="auto"/>
            </w:tcBorders>
            <w:vAlign w:val="center"/>
          </w:tcPr>
          <w:p w:rsidR="00376768" w:rsidRDefault="00376768">
            <w:pPr>
              <w:jc w:val="center"/>
              <w:rPr>
                <w:rFonts w:ascii="Arial" w:hAnsi="Arial" w:cs="Arial"/>
                <w:sz w:val="18"/>
                <w:szCs w:val="16"/>
              </w:rPr>
            </w:pPr>
          </w:p>
        </w:tc>
        <w:tc>
          <w:tcPr>
            <w:tcW w:w="39" w:type="pct"/>
            <w:tcBorders>
              <w:top w:val="single" w:sz="4" w:space="0" w:color="auto"/>
              <w:left w:val="nil"/>
              <w:bottom w:val="single" w:sz="4" w:space="0" w:color="auto"/>
            </w:tcBorders>
            <w:vAlign w:val="center"/>
          </w:tcPr>
          <w:p w:rsidR="00376768" w:rsidRDefault="00376768">
            <w:pPr>
              <w:jc w:val="center"/>
              <w:rPr>
                <w:rFonts w:ascii="Arial" w:hAnsi="Arial" w:cs="Arial"/>
                <w:sz w:val="18"/>
                <w:szCs w:val="16"/>
              </w:rPr>
            </w:pPr>
          </w:p>
        </w:tc>
        <w:tc>
          <w:tcPr>
            <w:tcW w:w="519" w:type="pct"/>
            <w:tcBorders>
              <w:top w:val="single" w:sz="4" w:space="0" w:color="auto"/>
              <w:left w:val="nil"/>
              <w:bottom w:val="single" w:sz="4" w:space="0" w:color="auto"/>
            </w:tcBorders>
            <w:vAlign w:val="center"/>
          </w:tcPr>
          <w:p w:rsidR="00376768" w:rsidRDefault="00EC2B72">
            <w:pPr>
              <w:jc w:val="center"/>
              <w:rPr>
                <w:rFonts w:ascii="Arial" w:hAnsi="Arial" w:cs="Arial"/>
                <w:sz w:val="18"/>
                <w:szCs w:val="16"/>
              </w:rPr>
            </w:pPr>
            <w:r>
              <w:rPr>
                <w:rFonts w:ascii="Arial" w:hAnsi="Arial" w:cs="Arial"/>
                <w:sz w:val="18"/>
                <w:szCs w:val="16"/>
              </w:rPr>
              <w:t>Disability</w:t>
            </w:r>
          </w:p>
        </w:tc>
        <w:tc>
          <w:tcPr>
            <w:tcW w:w="31" w:type="pct"/>
            <w:tcBorders>
              <w:top w:val="single" w:sz="4" w:space="0" w:color="auto"/>
              <w:left w:val="nil"/>
              <w:bottom w:val="single" w:sz="4" w:space="0" w:color="auto"/>
              <w:right w:val="single" w:sz="4" w:space="0" w:color="auto"/>
            </w:tcBorders>
            <w:vAlign w:val="center"/>
          </w:tcPr>
          <w:p w:rsidR="00376768" w:rsidRDefault="00376768">
            <w:pPr>
              <w:jc w:val="center"/>
              <w:rPr>
                <w:rFonts w:ascii="Arial" w:hAnsi="Arial" w:cs="Arial"/>
                <w:sz w:val="18"/>
                <w:szCs w:val="16"/>
              </w:rPr>
            </w:pPr>
          </w:p>
        </w:tc>
        <w:tc>
          <w:tcPr>
            <w:tcW w:w="32" w:type="pct"/>
            <w:tcBorders>
              <w:top w:val="single" w:sz="4" w:space="0" w:color="auto"/>
              <w:left w:val="nil"/>
              <w:bottom w:val="single" w:sz="4" w:space="0" w:color="auto"/>
            </w:tcBorders>
            <w:vAlign w:val="center"/>
          </w:tcPr>
          <w:p w:rsidR="00376768" w:rsidRDefault="00376768">
            <w:pPr>
              <w:jc w:val="center"/>
              <w:rPr>
                <w:rFonts w:ascii="Arial" w:hAnsi="Arial" w:cs="Arial"/>
                <w:sz w:val="18"/>
                <w:szCs w:val="16"/>
              </w:rPr>
            </w:pPr>
          </w:p>
        </w:tc>
        <w:tc>
          <w:tcPr>
            <w:tcW w:w="508" w:type="pct"/>
            <w:tcBorders>
              <w:top w:val="single" w:sz="4" w:space="0" w:color="auto"/>
              <w:left w:val="nil"/>
              <w:bottom w:val="single" w:sz="4" w:space="0" w:color="auto"/>
              <w:right w:val="single" w:sz="4" w:space="0" w:color="auto"/>
            </w:tcBorders>
            <w:vAlign w:val="center"/>
          </w:tcPr>
          <w:p w:rsidR="00376768" w:rsidRDefault="00EC2B72">
            <w:pPr>
              <w:jc w:val="center"/>
              <w:rPr>
                <w:rFonts w:ascii="Arial" w:hAnsi="Arial" w:cs="Arial"/>
                <w:sz w:val="18"/>
                <w:szCs w:val="16"/>
              </w:rPr>
            </w:pPr>
            <w:r>
              <w:rPr>
                <w:rFonts w:ascii="Arial" w:hAnsi="Arial" w:cs="Arial"/>
                <w:sz w:val="18"/>
                <w:szCs w:val="16"/>
              </w:rPr>
              <w:t>Retirement</w:t>
            </w:r>
          </w:p>
        </w:tc>
        <w:tc>
          <w:tcPr>
            <w:tcW w:w="151" w:type="pct"/>
            <w:tcBorders>
              <w:left w:val="single" w:sz="4" w:space="0" w:color="auto"/>
              <w:right w:val="single" w:sz="4" w:space="0" w:color="auto"/>
            </w:tcBorders>
            <w:vAlign w:val="center"/>
          </w:tcPr>
          <w:p w:rsidR="00376768" w:rsidRDefault="00376768">
            <w:pPr>
              <w:jc w:val="center"/>
              <w:rPr>
                <w:rFonts w:ascii="Arial" w:hAnsi="Arial" w:cs="Arial"/>
                <w:sz w:val="18"/>
                <w:szCs w:val="16"/>
              </w:rPr>
            </w:pPr>
          </w:p>
        </w:tc>
        <w:tc>
          <w:tcPr>
            <w:tcW w:w="590" w:type="pct"/>
            <w:tcBorders>
              <w:top w:val="single" w:sz="4" w:space="0" w:color="auto"/>
              <w:left w:val="single" w:sz="4" w:space="0" w:color="auto"/>
              <w:bottom w:val="single" w:sz="4" w:space="0" w:color="auto"/>
            </w:tcBorders>
            <w:vAlign w:val="center"/>
          </w:tcPr>
          <w:p w:rsidR="00376768" w:rsidRDefault="00EC2B72">
            <w:pPr>
              <w:jc w:val="center"/>
              <w:rPr>
                <w:rFonts w:ascii="Arial" w:hAnsi="Arial" w:cs="Arial"/>
                <w:sz w:val="18"/>
                <w:szCs w:val="16"/>
              </w:rPr>
            </w:pPr>
            <w:r>
              <w:rPr>
                <w:rFonts w:ascii="Arial" w:hAnsi="Arial" w:cs="Arial"/>
                <w:sz w:val="18"/>
                <w:szCs w:val="18"/>
              </w:rPr>
              <w:t xml:space="preserve">By Company </w:t>
            </w:r>
            <w:r>
              <w:rPr>
                <w:rFonts w:ascii="Arial" w:hAnsi="Arial" w:cs="Arial"/>
                <w:sz w:val="18"/>
                <w:szCs w:val="18"/>
              </w:rPr>
              <w:br/>
              <w:t xml:space="preserve">without </w:t>
            </w:r>
            <w:r>
              <w:rPr>
                <w:rFonts w:ascii="Arial" w:hAnsi="Arial" w:cs="Arial"/>
                <w:sz w:val="18"/>
                <w:szCs w:val="18"/>
              </w:rPr>
              <w:br/>
              <w:t xml:space="preserve">Cause or by </w:t>
            </w:r>
            <w:r>
              <w:rPr>
                <w:rFonts w:ascii="Arial" w:hAnsi="Arial" w:cs="Arial"/>
                <w:sz w:val="18"/>
                <w:szCs w:val="18"/>
              </w:rPr>
              <w:br/>
              <w:t xml:space="preserve">Executive for </w:t>
            </w:r>
            <w:r>
              <w:rPr>
                <w:rFonts w:ascii="Arial" w:hAnsi="Arial" w:cs="Arial"/>
                <w:sz w:val="18"/>
                <w:szCs w:val="18"/>
              </w:rPr>
              <w:br/>
              <w:t>Good Reason</w:t>
            </w:r>
          </w:p>
        </w:tc>
        <w:tc>
          <w:tcPr>
            <w:tcW w:w="25" w:type="pct"/>
            <w:tcBorders>
              <w:top w:val="single" w:sz="4" w:space="0" w:color="auto"/>
              <w:left w:val="nil"/>
              <w:bottom w:val="single" w:sz="4" w:space="0" w:color="auto"/>
              <w:right w:val="single" w:sz="4" w:space="0" w:color="auto"/>
            </w:tcBorders>
            <w:vAlign w:val="center"/>
          </w:tcPr>
          <w:p w:rsidR="00376768" w:rsidRDefault="00376768">
            <w:pPr>
              <w:jc w:val="center"/>
              <w:rPr>
                <w:rFonts w:ascii="Arial" w:hAnsi="Arial" w:cs="Arial"/>
                <w:sz w:val="18"/>
                <w:szCs w:val="16"/>
              </w:rPr>
            </w:pPr>
          </w:p>
        </w:tc>
        <w:tc>
          <w:tcPr>
            <w:tcW w:w="25" w:type="pct"/>
            <w:tcBorders>
              <w:top w:val="single" w:sz="4" w:space="0" w:color="auto"/>
              <w:left w:val="nil"/>
              <w:bottom w:val="single" w:sz="4" w:space="0" w:color="auto"/>
            </w:tcBorders>
            <w:vAlign w:val="center"/>
          </w:tcPr>
          <w:p w:rsidR="00376768" w:rsidRDefault="00376768">
            <w:pPr>
              <w:jc w:val="center"/>
              <w:rPr>
                <w:rFonts w:ascii="Arial" w:hAnsi="Arial" w:cs="Arial"/>
                <w:sz w:val="18"/>
                <w:szCs w:val="16"/>
              </w:rPr>
            </w:pPr>
          </w:p>
        </w:tc>
        <w:tc>
          <w:tcPr>
            <w:tcW w:w="583" w:type="pct"/>
            <w:tcBorders>
              <w:top w:val="single" w:sz="4" w:space="0" w:color="auto"/>
              <w:left w:val="nil"/>
              <w:bottom w:val="single" w:sz="4" w:space="0" w:color="auto"/>
              <w:right w:val="single" w:sz="4" w:space="0" w:color="auto"/>
            </w:tcBorders>
            <w:vAlign w:val="center"/>
          </w:tcPr>
          <w:p w:rsidR="00376768" w:rsidRDefault="00EC2B72">
            <w:pPr>
              <w:jc w:val="center"/>
              <w:rPr>
                <w:rFonts w:ascii="Arial" w:hAnsi="Arial" w:cs="Arial"/>
                <w:sz w:val="18"/>
                <w:szCs w:val="16"/>
              </w:rPr>
            </w:pPr>
            <w:r>
              <w:rPr>
                <w:rFonts w:ascii="Arial" w:hAnsi="Arial" w:cs="Arial"/>
                <w:sz w:val="18"/>
                <w:szCs w:val="18"/>
              </w:rPr>
              <w:t xml:space="preserve">Without </w:t>
            </w:r>
            <w:r>
              <w:rPr>
                <w:rFonts w:ascii="Arial" w:hAnsi="Arial" w:cs="Arial"/>
                <w:sz w:val="18"/>
                <w:szCs w:val="18"/>
              </w:rPr>
              <w:br/>
              <w:t xml:space="preserve">Termination of </w:t>
            </w:r>
            <w:r>
              <w:rPr>
                <w:rFonts w:ascii="Arial" w:hAnsi="Arial" w:cs="Arial"/>
                <w:sz w:val="18"/>
                <w:szCs w:val="18"/>
              </w:rPr>
              <w:br/>
              <w:t xml:space="preserve">Employment </w:t>
            </w:r>
            <w:r>
              <w:rPr>
                <w:rFonts w:ascii="Arial" w:hAnsi="Arial" w:cs="Arial"/>
                <w:sz w:val="18"/>
                <w:szCs w:val="18"/>
              </w:rPr>
              <w:br/>
              <w:t xml:space="preserve">or Termination </w:t>
            </w:r>
            <w:r>
              <w:rPr>
                <w:rFonts w:ascii="Arial" w:hAnsi="Arial" w:cs="Arial"/>
                <w:sz w:val="18"/>
                <w:szCs w:val="18"/>
              </w:rPr>
              <w:br/>
              <w:t xml:space="preserve">for any other </w:t>
            </w:r>
            <w:r>
              <w:rPr>
                <w:rFonts w:ascii="Arial" w:hAnsi="Arial" w:cs="Arial"/>
                <w:sz w:val="18"/>
                <w:szCs w:val="18"/>
              </w:rPr>
              <w:br/>
              <w:t>Reason</w:t>
            </w:r>
          </w:p>
        </w:tc>
      </w:tr>
      <w:tr w:rsidR="00376768">
        <w:tc>
          <w:tcPr>
            <w:tcW w:w="1213" w:type="pct"/>
          </w:tcPr>
          <w:p w:rsidR="00376768" w:rsidRDefault="00376768">
            <w:pPr>
              <w:rPr>
                <w:rFonts w:ascii="Arial" w:hAnsi="Arial" w:cs="Arial"/>
                <w:sz w:val="18"/>
              </w:rPr>
            </w:pPr>
          </w:p>
        </w:tc>
        <w:tc>
          <w:tcPr>
            <w:tcW w:w="107" w:type="pct"/>
          </w:tcPr>
          <w:p w:rsidR="00376768" w:rsidRDefault="00376768">
            <w:pPr>
              <w:jc w:val="center"/>
              <w:rPr>
                <w:rFonts w:ascii="Arial" w:hAnsi="Arial" w:cs="Arial"/>
                <w:sz w:val="18"/>
              </w:rPr>
            </w:pPr>
          </w:p>
        </w:tc>
        <w:tc>
          <w:tcPr>
            <w:tcW w:w="543" w:type="pct"/>
            <w:tcBorders>
              <w:top w:val="single" w:sz="4" w:space="0" w:color="auto"/>
              <w:bottom w:val="single" w:sz="4" w:space="0" w:color="auto"/>
            </w:tcBorders>
          </w:tcPr>
          <w:p w:rsidR="00376768" w:rsidRDefault="00376768">
            <w:pPr>
              <w:jc w:val="center"/>
              <w:rPr>
                <w:rFonts w:ascii="Arial" w:hAnsi="Arial" w:cs="Arial"/>
                <w:sz w:val="18"/>
              </w:rPr>
            </w:pPr>
          </w:p>
        </w:tc>
        <w:tc>
          <w:tcPr>
            <w:tcW w:w="36" w:type="pct"/>
            <w:tcBorders>
              <w:top w:val="single" w:sz="4" w:space="0" w:color="auto"/>
              <w:bottom w:val="single" w:sz="4" w:space="0" w:color="auto"/>
            </w:tcBorders>
          </w:tcPr>
          <w:p w:rsidR="00376768" w:rsidRDefault="00376768">
            <w:pPr>
              <w:jc w:val="center"/>
              <w:rPr>
                <w:rFonts w:ascii="Arial" w:hAnsi="Arial" w:cs="Arial"/>
                <w:sz w:val="18"/>
              </w:rPr>
            </w:pPr>
          </w:p>
        </w:tc>
        <w:tc>
          <w:tcPr>
            <w:tcW w:w="36" w:type="pct"/>
            <w:tcBorders>
              <w:top w:val="single" w:sz="4" w:space="0" w:color="auto"/>
              <w:bottom w:val="single" w:sz="4" w:space="0" w:color="auto"/>
            </w:tcBorders>
          </w:tcPr>
          <w:p w:rsidR="00376768" w:rsidRDefault="00376768">
            <w:pPr>
              <w:jc w:val="center"/>
              <w:rPr>
                <w:rFonts w:ascii="Arial" w:hAnsi="Arial" w:cs="Arial"/>
                <w:sz w:val="18"/>
              </w:rPr>
            </w:pPr>
          </w:p>
        </w:tc>
        <w:tc>
          <w:tcPr>
            <w:tcW w:w="524" w:type="pct"/>
            <w:tcBorders>
              <w:top w:val="single" w:sz="4" w:space="0" w:color="auto"/>
              <w:bottom w:val="single" w:sz="4" w:space="0" w:color="auto"/>
            </w:tcBorders>
          </w:tcPr>
          <w:p w:rsidR="00376768" w:rsidRDefault="00376768">
            <w:pPr>
              <w:jc w:val="center"/>
              <w:rPr>
                <w:rFonts w:ascii="Arial" w:hAnsi="Arial" w:cs="Arial"/>
                <w:sz w:val="18"/>
              </w:rPr>
            </w:pPr>
          </w:p>
        </w:tc>
        <w:tc>
          <w:tcPr>
            <w:tcW w:w="38" w:type="pct"/>
            <w:tcBorders>
              <w:top w:val="single" w:sz="4" w:space="0" w:color="auto"/>
              <w:bottom w:val="single" w:sz="4" w:space="0" w:color="auto"/>
            </w:tcBorders>
          </w:tcPr>
          <w:p w:rsidR="00376768" w:rsidRDefault="00376768">
            <w:pPr>
              <w:jc w:val="center"/>
              <w:rPr>
                <w:rFonts w:ascii="Arial" w:hAnsi="Arial" w:cs="Arial"/>
                <w:sz w:val="18"/>
              </w:rPr>
            </w:pPr>
          </w:p>
        </w:tc>
        <w:tc>
          <w:tcPr>
            <w:tcW w:w="39" w:type="pct"/>
            <w:tcBorders>
              <w:top w:val="single" w:sz="4" w:space="0" w:color="auto"/>
              <w:bottom w:val="single" w:sz="4" w:space="0" w:color="auto"/>
            </w:tcBorders>
          </w:tcPr>
          <w:p w:rsidR="00376768" w:rsidRDefault="00376768">
            <w:pPr>
              <w:jc w:val="center"/>
              <w:rPr>
                <w:rFonts w:ascii="Arial" w:hAnsi="Arial" w:cs="Arial"/>
                <w:sz w:val="18"/>
              </w:rPr>
            </w:pPr>
          </w:p>
        </w:tc>
        <w:tc>
          <w:tcPr>
            <w:tcW w:w="519" w:type="pct"/>
            <w:tcBorders>
              <w:top w:val="single" w:sz="4" w:space="0" w:color="auto"/>
              <w:bottom w:val="single" w:sz="4" w:space="0" w:color="auto"/>
            </w:tcBorders>
          </w:tcPr>
          <w:p w:rsidR="00376768" w:rsidRDefault="00376768">
            <w:pPr>
              <w:jc w:val="center"/>
              <w:rPr>
                <w:rFonts w:ascii="Arial" w:hAnsi="Arial" w:cs="Arial"/>
                <w:sz w:val="18"/>
              </w:rPr>
            </w:pPr>
          </w:p>
        </w:tc>
        <w:tc>
          <w:tcPr>
            <w:tcW w:w="31" w:type="pct"/>
            <w:tcBorders>
              <w:top w:val="single" w:sz="4" w:space="0" w:color="auto"/>
              <w:bottom w:val="single" w:sz="4" w:space="0" w:color="auto"/>
            </w:tcBorders>
          </w:tcPr>
          <w:p w:rsidR="00376768" w:rsidRDefault="00376768">
            <w:pPr>
              <w:jc w:val="center"/>
              <w:rPr>
                <w:rFonts w:ascii="Arial" w:hAnsi="Arial" w:cs="Arial"/>
                <w:sz w:val="18"/>
              </w:rPr>
            </w:pPr>
          </w:p>
        </w:tc>
        <w:tc>
          <w:tcPr>
            <w:tcW w:w="32" w:type="pct"/>
            <w:tcBorders>
              <w:top w:val="single" w:sz="4" w:space="0" w:color="auto"/>
              <w:bottom w:val="single" w:sz="4" w:space="0" w:color="auto"/>
            </w:tcBorders>
          </w:tcPr>
          <w:p w:rsidR="00376768" w:rsidRDefault="00376768">
            <w:pPr>
              <w:jc w:val="center"/>
              <w:rPr>
                <w:rFonts w:ascii="Arial" w:hAnsi="Arial" w:cs="Arial"/>
                <w:sz w:val="18"/>
              </w:rPr>
            </w:pPr>
          </w:p>
        </w:tc>
        <w:tc>
          <w:tcPr>
            <w:tcW w:w="508" w:type="pct"/>
            <w:tcBorders>
              <w:top w:val="single" w:sz="4" w:space="0" w:color="auto"/>
              <w:bottom w:val="single" w:sz="4" w:space="0" w:color="auto"/>
            </w:tcBorders>
          </w:tcPr>
          <w:p w:rsidR="00376768" w:rsidRDefault="00376768">
            <w:pPr>
              <w:jc w:val="center"/>
              <w:rPr>
                <w:rFonts w:ascii="Arial" w:hAnsi="Arial" w:cs="Arial"/>
                <w:sz w:val="18"/>
              </w:rPr>
            </w:pPr>
          </w:p>
        </w:tc>
        <w:tc>
          <w:tcPr>
            <w:tcW w:w="151" w:type="pct"/>
          </w:tcPr>
          <w:p w:rsidR="00376768" w:rsidRDefault="00376768">
            <w:pPr>
              <w:jc w:val="center"/>
              <w:rPr>
                <w:rFonts w:ascii="Arial" w:hAnsi="Arial" w:cs="Arial"/>
                <w:sz w:val="18"/>
              </w:rPr>
            </w:pPr>
          </w:p>
        </w:tc>
        <w:tc>
          <w:tcPr>
            <w:tcW w:w="590" w:type="pct"/>
            <w:tcBorders>
              <w:top w:val="single" w:sz="4" w:space="0" w:color="auto"/>
              <w:bottom w:val="single" w:sz="4" w:space="0" w:color="auto"/>
            </w:tcBorders>
          </w:tcPr>
          <w:p w:rsidR="00376768" w:rsidRDefault="00376768">
            <w:pPr>
              <w:jc w:val="center"/>
              <w:rPr>
                <w:rFonts w:ascii="Arial" w:hAnsi="Arial" w:cs="Arial"/>
                <w:sz w:val="18"/>
              </w:rPr>
            </w:pPr>
          </w:p>
        </w:tc>
        <w:tc>
          <w:tcPr>
            <w:tcW w:w="25" w:type="pct"/>
            <w:tcBorders>
              <w:top w:val="single" w:sz="4" w:space="0" w:color="auto"/>
              <w:bottom w:val="single" w:sz="4" w:space="0" w:color="auto"/>
            </w:tcBorders>
          </w:tcPr>
          <w:p w:rsidR="00376768" w:rsidRDefault="00376768">
            <w:pPr>
              <w:jc w:val="center"/>
              <w:rPr>
                <w:rFonts w:ascii="Arial" w:hAnsi="Arial" w:cs="Arial"/>
                <w:sz w:val="18"/>
              </w:rPr>
            </w:pPr>
          </w:p>
        </w:tc>
        <w:tc>
          <w:tcPr>
            <w:tcW w:w="25" w:type="pct"/>
            <w:tcBorders>
              <w:top w:val="single" w:sz="4" w:space="0" w:color="auto"/>
              <w:bottom w:val="single" w:sz="4" w:space="0" w:color="auto"/>
            </w:tcBorders>
          </w:tcPr>
          <w:p w:rsidR="00376768" w:rsidRDefault="00376768">
            <w:pPr>
              <w:jc w:val="center"/>
              <w:rPr>
                <w:rFonts w:ascii="Arial" w:hAnsi="Arial" w:cs="Arial"/>
                <w:sz w:val="18"/>
              </w:rPr>
            </w:pPr>
          </w:p>
        </w:tc>
        <w:tc>
          <w:tcPr>
            <w:tcW w:w="583" w:type="pct"/>
            <w:tcBorders>
              <w:top w:val="single" w:sz="4" w:space="0" w:color="auto"/>
              <w:bottom w:val="single" w:sz="4" w:space="0" w:color="auto"/>
            </w:tcBorders>
          </w:tcPr>
          <w:p w:rsidR="00376768" w:rsidRDefault="00376768">
            <w:pPr>
              <w:jc w:val="center"/>
              <w:rPr>
                <w:rFonts w:ascii="Arial" w:hAnsi="Arial" w:cs="Arial"/>
                <w:sz w:val="18"/>
              </w:rPr>
            </w:pPr>
          </w:p>
        </w:tc>
      </w:tr>
      <w:tr w:rsidR="00376768">
        <w:tc>
          <w:tcPr>
            <w:tcW w:w="1213" w:type="pct"/>
            <w:vAlign w:val="center"/>
          </w:tcPr>
          <w:p w:rsidR="00376768" w:rsidRDefault="00EC2B72">
            <w:pPr>
              <w:rPr>
                <w:rFonts w:ascii="Arial" w:hAnsi="Arial" w:cs="Arial"/>
                <w:sz w:val="18"/>
              </w:rPr>
            </w:pPr>
            <w:r>
              <w:rPr>
                <w:rFonts w:ascii="Arial" w:hAnsi="Arial" w:cs="Arial"/>
                <w:sz w:val="18"/>
                <w:szCs w:val="18"/>
              </w:rPr>
              <w:t>Lump Sum Severance</w:t>
            </w:r>
            <w:r>
              <w:rPr>
                <w:rFonts w:ascii="Arial" w:hAnsi="Arial" w:cs="Arial"/>
                <w:b/>
                <w:bCs/>
                <w:sz w:val="18"/>
                <w:szCs w:val="14"/>
                <w:vertAlign w:val="superscript"/>
              </w:rPr>
              <w:t>(1)(2)</w:t>
            </w:r>
          </w:p>
        </w:tc>
        <w:tc>
          <w:tcPr>
            <w:tcW w:w="107" w:type="pct"/>
            <w:tcBorders>
              <w:right w:val="single" w:sz="4" w:space="0" w:color="auto"/>
            </w:tcBorders>
          </w:tcPr>
          <w:p w:rsidR="00376768" w:rsidRDefault="00376768">
            <w:pPr>
              <w:jc w:val="center"/>
              <w:rPr>
                <w:rFonts w:ascii="Arial" w:hAnsi="Arial" w:cs="Arial"/>
                <w:sz w:val="18"/>
                <w:szCs w:val="2"/>
              </w:rPr>
            </w:pPr>
          </w:p>
        </w:tc>
        <w:tc>
          <w:tcPr>
            <w:tcW w:w="543" w:type="pct"/>
            <w:tcBorders>
              <w:top w:val="single" w:sz="4" w:space="0" w:color="auto"/>
              <w:left w:val="single" w:sz="4" w:space="0" w:color="auto"/>
              <w:bottom w:val="single" w:sz="4" w:space="0" w:color="auto"/>
            </w:tcBorders>
          </w:tcPr>
          <w:p w:rsidR="00376768" w:rsidRDefault="00376768">
            <w:pPr>
              <w:jc w:val="center"/>
              <w:rPr>
                <w:rFonts w:ascii="Arial" w:hAnsi="Arial" w:cs="Arial"/>
                <w:sz w:val="18"/>
                <w:szCs w:val="2"/>
              </w:rPr>
            </w:pPr>
          </w:p>
        </w:tc>
        <w:tc>
          <w:tcPr>
            <w:tcW w:w="36"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c>
          <w:tcPr>
            <w:tcW w:w="36"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524" w:type="pct"/>
            <w:tcBorders>
              <w:top w:val="single" w:sz="4" w:space="0" w:color="auto"/>
              <w:left w:val="nil"/>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$106,909</w:t>
            </w:r>
          </w:p>
        </w:tc>
        <w:tc>
          <w:tcPr>
            <w:tcW w:w="38"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39"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19" w:type="pct"/>
            <w:tcBorders>
              <w:top w:val="single" w:sz="4" w:space="0" w:color="auto"/>
              <w:left w:val="nil"/>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$106,909</w:t>
            </w:r>
          </w:p>
        </w:tc>
        <w:tc>
          <w:tcPr>
            <w:tcW w:w="31"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32"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08" w:type="pct"/>
            <w:tcBorders>
              <w:top w:val="single" w:sz="4" w:space="0" w:color="auto"/>
              <w:left w:val="nil"/>
              <w:bottom w:val="single" w:sz="4" w:space="0" w:color="auto"/>
              <w:right w:val="single" w:sz="4" w:space="0" w:color="auto"/>
            </w:tcBorders>
            <w:vAlign w:val="center"/>
          </w:tcPr>
          <w:p w:rsidR="00376768" w:rsidRDefault="00EC2B72">
            <w:pPr>
              <w:jc w:val="center"/>
              <w:rPr>
                <w:rFonts w:ascii="Arial" w:hAnsi="Arial" w:cs="Arial"/>
                <w:sz w:val="18"/>
              </w:rPr>
            </w:pPr>
            <w:r>
              <w:rPr>
                <w:rFonts w:ascii="Arial" w:hAnsi="Arial" w:cs="Arial"/>
                <w:sz w:val="18"/>
                <w:szCs w:val="18"/>
              </w:rPr>
              <w:t>$106,909</w:t>
            </w:r>
          </w:p>
        </w:tc>
        <w:tc>
          <w:tcPr>
            <w:tcW w:w="151" w:type="pct"/>
            <w:tcBorders>
              <w:left w:val="single" w:sz="4" w:space="0" w:color="auto"/>
              <w:right w:val="single" w:sz="4" w:space="0" w:color="auto"/>
            </w:tcBorders>
          </w:tcPr>
          <w:p w:rsidR="00376768" w:rsidRDefault="00376768">
            <w:pPr>
              <w:jc w:val="center"/>
              <w:rPr>
                <w:rFonts w:ascii="Arial" w:hAnsi="Arial" w:cs="Arial"/>
                <w:sz w:val="18"/>
                <w:szCs w:val="2"/>
              </w:rPr>
            </w:pPr>
          </w:p>
        </w:tc>
        <w:tc>
          <w:tcPr>
            <w:tcW w:w="590" w:type="pct"/>
            <w:tcBorders>
              <w:top w:val="single" w:sz="4" w:space="0" w:color="auto"/>
              <w:left w:val="single" w:sz="4" w:space="0" w:color="auto"/>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$313,864</w:t>
            </w:r>
          </w:p>
        </w:tc>
        <w:tc>
          <w:tcPr>
            <w:tcW w:w="25"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25"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83"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r>
      <w:tr w:rsidR="00376768">
        <w:tc>
          <w:tcPr>
            <w:tcW w:w="1213" w:type="pct"/>
            <w:vAlign w:val="center"/>
          </w:tcPr>
          <w:p w:rsidR="00376768" w:rsidRDefault="00EC2B72">
            <w:pPr>
              <w:rPr>
                <w:rFonts w:ascii="Arial" w:hAnsi="Arial" w:cs="Arial"/>
                <w:sz w:val="18"/>
              </w:rPr>
            </w:pPr>
            <w:r>
              <w:rPr>
                <w:rFonts w:ascii="Arial" w:hAnsi="Arial" w:cs="Arial"/>
                <w:sz w:val="18"/>
                <w:szCs w:val="18"/>
              </w:rPr>
              <w:t>Benefits Continuation</w:t>
            </w:r>
            <w:r>
              <w:rPr>
                <w:rFonts w:ascii="Arial" w:hAnsi="Arial" w:cs="Arial"/>
                <w:b/>
                <w:bCs/>
                <w:sz w:val="18"/>
                <w:szCs w:val="14"/>
                <w:vertAlign w:val="superscript"/>
              </w:rPr>
              <w:t xml:space="preserve"> (3)</w:t>
            </w:r>
          </w:p>
        </w:tc>
        <w:tc>
          <w:tcPr>
            <w:tcW w:w="107" w:type="pct"/>
            <w:tcBorders>
              <w:right w:val="single" w:sz="4" w:space="0" w:color="auto"/>
            </w:tcBorders>
          </w:tcPr>
          <w:p w:rsidR="00376768" w:rsidRDefault="00376768">
            <w:pPr>
              <w:jc w:val="center"/>
              <w:rPr>
                <w:rFonts w:ascii="Arial" w:hAnsi="Arial" w:cs="Arial"/>
                <w:sz w:val="18"/>
                <w:szCs w:val="2"/>
              </w:rPr>
            </w:pPr>
          </w:p>
        </w:tc>
        <w:tc>
          <w:tcPr>
            <w:tcW w:w="543" w:type="pct"/>
            <w:tcBorders>
              <w:top w:val="single" w:sz="4" w:space="0" w:color="auto"/>
              <w:left w:val="single" w:sz="4" w:space="0" w:color="auto"/>
              <w:bottom w:val="single" w:sz="4" w:space="0" w:color="auto"/>
            </w:tcBorders>
          </w:tcPr>
          <w:p w:rsidR="00376768" w:rsidRDefault="00376768">
            <w:pPr>
              <w:jc w:val="center"/>
              <w:rPr>
                <w:rFonts w:ascii="Arial" w:hAnsi="Arial" w:cs="Arial"/>
                <w:sz w:val="18"/>
                <w:szCs w:val="2"/>
              </w:rPr>
            </w:pPr>
          </w:p>
        </w:tc>
        <w:tc>
          <w:tcPr>
            <w:tcW w:w="36"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c>
          <w:tcPr>
            <w:tcW w:w="36"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524" w:type="pct"/>
            <w:tcBorders>
              <w:top w:val="single" w:sz="4" w:space="0" w:color="auto"/>
              <w:left w:val="nil"/>
              <w:bottom w:val="single" w:sz="4" w:space="0" w:color="auto"/>
            </w:tcBorders>
            <w:vAlign w:val="center"/>
          </w:tcPr>
          <w:p w:rsidR="00376768" w:rsidRDefault="00376768">
            <w:pPr>
              <w:jc w:val="center"/>
              <w:rPr>
                <w:rFonts w:ascii="Arial" w:hAnsi="Arial" w:cs="Arial"/>
                <w:sz w:val="18"/>
                <w:szCs w:val="2"/>
              </w:rPr>
            </w:pPr>
          </w:p>
        </w:tc>
        <w:tc>
          <w:tcPr>
            <w:tcW w:w="38"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c>
          <w:tcPr>
            <w:tcW w:w="39"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519" w:type="pct"/>
            <w:tcBorders>
              <w:top w:val="single" w:sz="4" w:space="0" w:color="auto"/>
              <w:left w:val="nil"/>
              <w:bottom w:val="single" w:sz="4" w:space="0" w:color="auto"/>
            </w:tcBorders>
            <w:vAlign w:val="center"/>
          </w:tcPr>
          <w:p w:rsidR="00376768" w:rsidRDefault="00376768">
            <w:pPr>
              <w:jc w:val="center"/>
              <w:rPr>
                <w:rFonts w:ascii="Arial" w:hAnsi="Arial" w:cs="Arial"/>
                <w:sz w:val="18"/>
                <w:szCs w:val="2"/>
              </w:rPr>
            </w:pPr>
          </w:p>
        </w:tc>
        <w:tc>
          <w:tcPr>
            <w:tcW w:w="31"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c>
          <w:tcPr>
            <w:tcW w:w="32"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508" w:type="pct"/>
            <w:tcBorders>
              <w:top w:val="single" w:sz="4" w:space="0" w:color="auto"/>
              <w:left w:val="nil"/>
              <w:bottom w:val="single" w:sz="4" w:space="0" w:color="auto"/>
              <w:right w:val="single" w:sz="4" w:space="0" w:color="auto"/>
            </w:tcBorders>
            <w:vAlign w:val="center"/>
          </w:tcPr>
          <w:p w:rsidR="00376768" w:rsidRDefault="00376768">
            <w:pPr>
              <w:jc w:val="center"/>
              <w:rPr>
                <w:rFonts w:ascii="Arial" w:hAnsi="Arial" w:cs="Arial"/>
                <w:sz w:val="18"/>
                <w:szCs w:val="2"/>
              </w:rPr>
            </w:pPr>
          </w:p>
        </w:tc>
        <w:tc>
          <w:tcPr>
            <w:tcW w:w="151" w:type="pct"/>
            <w:tcBorders>
              <w:left w:val="single" w:sz="4" w:space="0" w:color="auto"/>
              <w:right w:val="single" w:sz="4" w:space="0" w:color="auto"/>
            </w:tcBorders>
          </w:tcPr>
          <w:p w:rsidR="00376768" w:rsidRDefault="00376768">
            <w:pPr>
              <w:jc w:val="center"/>
              <w:rPr>
                <w:rFonts w:ascii="Arial" w:hAnsi="Arial" w:cs="Arial"/>
                <w:sz w:val="18"/>
                <w:szCs w:val="2"/>
              </w:rPr>
            </w:pPr>
          </w:p>
        </w:tc>
        <w:tc>
          <w:tcPr>
            <w:tcW w:w="590" w:type="pct"/>
            <w:tcBorders>
              <w:top w:val="single" w:sz="4" w:space="0" w:color="auto"/>
              <w:left w:val="single" w:sz="4" w:space="0" w:color="auto"/>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$28,473</w:t>
            </w:r>
          </w:p>
        </w:tc>
        <w:tc>
          <w:tcPr>
            <w:tcW w:w="25"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25"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83"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r>
      <w:tr w:rsidR="00376768">
        <w:tc>
          <w:tcPr>
            <w:tcW w:w="1213" w:type="pct"/>
            <w:vAlign w:val="center"/>
          </w:tcPr>
          <w:p w:rsidR="00376768" w:rsidRDefault="00EC2B72">
            <w:pPr>
              <w:rPr>
                <w:rFonts w:ascii="Arial" w:hAnsi="Arial" w:cs="Arial"/>
                <w:sz w:val="18"/>
              </w:rPr>
            </w:pPr>
            <w:r>
              <w:rPr>
                <w:rFonts w:ascii="Arial" w:hAnsi="Arial" w:cs="Arial"/>
                <w:sz w:val="18"/>
                <w:szCs w:val="18"/>
              </w:rPr>
              <w:t>Equity Awards (Unvested)</w:t>
            </w:r>
          </w:p>
        </w:tc>
        <w:tc>
          <w:tcPr>
            <w:tcW w:w="107" w:type="pct"/>
            <w:tcBorders>
              <w:right w:val="single" w:sz="4" w:space="0" w:color="auto"/>
            </w:tcBorders>
          </w:tcPr>
          <w:p w:rsidR="00376768" w:rsidRDefault="00376768">
            <w:pPr>
              <w:jc w:val="center"/>
              <w:rPr>
                <w:rFonts w:ascii="Arial" w:hAnsi="Arial" w:cs="Arial"/>
                <w:sz w:val="18"/>
                <w:szCs w:val="2"/>
              </w:rPr>
            </w:pPr>
          </w:p>
        </w:tc>
        <w:tc>
          <w:tcPr>
            <w:tcW w:w="543" w:type="pct"/>
            <w:tcBorders>
              <w:top w:val="single" w:sz="4" w:space="0" w:color="auto"/>
              <w:left w:val="single" w:sz="4" w:space="0" w:color="auto"/>
              <w:bottom w:val="single" w:sz="4" w:space="0" w:color="auto"/>
            </w:tcBorders>
          </w:tcPr>
          <w:p w:rsidR="00376768" w:rsidRDefault="00376768">
            <w:pPr>
              <w:jc w:val="center"/>
              <w:rPr>
                <w:rFonts w:ascii="Arial" w:hAnsi="Arial" w:cs="Arial"/>
                <w:sz w:val="18"/>
                <w:szCs w:val="2"/>
              </w:rPr>
            </w:pPr>
          </w:p>
        </w:tc>
        <w:tc>
          <w:tcPr>
            <w:tcW w:w="36"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c>
          <w:tcPr>
            <w:tcW w:w="36"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524" w:type="pct"/>
            <w:tcBorders>
              <w:top w:val="single" w:sz="4" w:space="0" w:color="auto"/>
              <w:left w:val="nil"/>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$113,774</w:t>
            </w:r>
            <w:r>
              <w:rPr>
                <w:rFonts w:ascii="Arial" w:hAnsi="Arial" w:cs="Arial"/>
                <w:sz w:val="18"/>
                <w:szCs w:val="14"/>
                <w:vertAlign w:val="superscript"/>
              </w:rPr>
              <w:t>(5)</w:t>
            </w:r>
          </w:p>
        </w:tc>
        <w:tc>
          <w:tcPr>
            <w:tcW w:w="38"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39"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19" w:type="pct"/>
            <w:tcBorders>
              <w:top w:val="single" w:sz="4" w:space="0" w:color="auto"/>
              <w:left w:val="nil"/>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$113,774</w:t>
            </w:r>
            <w:r>
              <w:rPr>
                <w:rFonts w:ascii="Arial" w:hAnsi="Arial" w:cs="Arial"/>
                <w:sz w:val="18"/>
                <w:szCs w:val="14"/>
                <w:vertAlign w:val="superscript"/>
              </w:rPr>
              <w:t>(5)</w:t>
            </w:r>
          </w:p>
        </w:tc>
        <w:tc>
          <w:tcPr>
            <w:tcW w:w="31"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32"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08" w:type="pct"/>
            <w:tcBorders>
              <w:top w:val="single" w:sz="4" w:space="0" w:color="auto"/>
              <w:left w:val="nil"/>
              <w:bottom w:val="single" w:sz="4" w:space="0" w:color="auto"/>
              <w:right w:val="single" w:sz="4" w:space="0" w:color="auto"/>
            </w:tcBorders>
            <w:vAlign w:val="center"/>
          </w:tcPr>
          <w:p w:rsidR="00376768" w:rsidRDefault="00EC2B72">
            <w:pPr>
              <w:jc w:val="center"/>
              <w:rPr>
                <w:rFonts w:ascii="Arial" w:hAnsi="Arial" w:cs="Arial"/>
                <w:sz w:val="18"/>
              </w:rPr>
            </w:pPr>
            <w:r>
              <w:rPr>
                <w:rFonts w:ascii="Arial" w:hAnsi="Arial" w:cs="Arial"/>
                <w:sz w:val="18"/>
                <w:szCs w:val="18"/>
              </w:rPr>
              <w:t>$113,774</w:t>
            </w:r>
            <w:r>
              <w:rPr>
                <w:rFonts w:ascii="Arial" w:hAnsi="Arial" w:cs="Arial"/>
                <w:sz w:val="18"/>
                <w:szCs w:val="14"/>
                <w:vertAlign w:val="superscript"/>
              </w:rPr>
              <w:t>(5)</w:t>
            </w:r>
          </w:p>
        </w:tc>
        <w:tc>
          <w:tcPr>
            <w:tcW w:w="151" w:type="pct"/>
            <w:tcBorders>
              <w:left w:val="single" w:sz="4" w:space="0" w:color="auto"/>
              <w:right w:val="single" w:sz="4" w:space="0" w:color="auto"/>
            </w:tcBorders>
          </w:tcPr>
          <w:p w:rsidR="00376768" w:rsidRDefault="00376768">
            <w:pPr>
              <w:jc w:val="center"/>
              <w:rPr>
                <w:rFonts w:ascii="Arial" w:hAnsi="Arial" w:cs="Arial"/>
                <w:sz w:val="18"/>
                <w:szCs w:val="2"/>
              </w:rPr>
            </w:pPr>
          </w:p>
        </w:tc>
        <w:tc>
          <w:tcPr>
            <w:tcW w:w="590" w:type="pct"/>
            <w:tcBorders>
              <w:top w:val="single" w:sz="4" w:space="0" w:color="auto"/>
              <w:left w:val="single" w:sz="4" w:space="0" w:color="auto"/>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$808,608</w:t>
            </w:r>
            <w:r>
              <w:rPr>
                <w:rFonts w:ascii="Arial" w:hAnsi="Arial" w:cs="Arial"/>
                <w:sz w:val="18"/>
                <w:szCs w:val="14"/>
                <w:vertAlign w:val="superscript"/>
              </w:rPr>
              <w:t>(6)</w:t>
            </w:r>
          </w:p>
        </w:tc>
        <w:tc>
          <w:tcPr>
            <w:tcW w:w="25"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25"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83" w:type="pct"/>
            <w:tcBorders>
              <w:top w:val="single" w:sz="4" w:space="0" w:color="auto"/>
              <w:left w:val="nil"/>
              <w:bottom w:val="single" w:sz="4" w:space="0" w:color="auto"/>
              <w:right w:val="single" w:sz="4" w:space="0" w:color="auto"/>
            </w:tcBorders>
          </w:tcPr>
          <w:p w:rsidR="00376768" w:rsidRDefault="00EC2B72">
            <w:pPr>
              <w:jc w:val="center"/>
              <w:rPr>
                <w:rFonts w:ascii="Arial" w:hAnsi="Arial" w:cs="Arial"/>
                <w:sz w:val="18"/>
              </w:rPr>
            </w:pPr>
            <w:r>
              <w:rPr>
                <w:rFonts w:ascii="Arial" w:hAnsi="Arial" w:cs="Arial"/>
                <w:sz w:val="18"/>
                <w:szCs w:val="18"/>
              </w:rPr>
              <w:t>$113,774</w:t>
            </w:r>
            <w:r>
              <w:rPr>
                <w:rFonts w:ascii="Arial" w:hAnsi="Arial" w:cs="Arial"/>
                <w:sz w:val="18"/>
                <w:szCs w:val="14"/>
                <w:vertAlign w:val="superscript"/>
              </w:rPr>
              <w:t>(6)</w:t>
            </w:r>
          </w:p>
        </w:tc>
      </w:tr>
      <w:tr w:rsidR="00376768">
        <w:tc>
          <w:tcPr>
            <w:tcW w:w="1213" w:type="pct"/>
            <w:vAlign w:val="center"/>
          </w:tcPr>
          <w:p w:rsidR="00376768" w:rsidRDefault="00EC2B72">
            <w:pPr>
              <w:rPr>
                <w:rFonts w:ascii="Arial" w:hAnsi="Arial" w:cs="Arial"/>
                <w:sz w:val="18"/>
              </w:rPr>
            </w:pPr>
            <w:r>
              <w:rPr>
                <w:rFonts w:ascii="Arial" w:hAnsi="Arial" w:cs="Arial"/>
                <w:sz w:val="18"/>
                <w:szCs w:val="18"/>
              </w:rPr>
              <w:t>Outplacement Services</w:t>
            </w:r>
          </w:p>
        </w:tc>
        <w:tc>
          <w:tcPr>
            <w:tcW w:w="107" w:type="pct"/>
            <w:tcBorders>
              <w:right w:val="single" w:sz="4" w:space="0" w:color="auto"/>
            </w:tcBorders>
          </w:tcPr>
          <w:p w:rsidR="00376768" w:rsidRDefault="00376768">
            <w:pPr>
              <w:jc w:val="center"/>
              <w:rPr>
                <w:rFonts w:ascii="Arial" w:hAnsi="Arial" w:cs="Arial"/>
                <w:sz w:val="18"/>
                <w:szCs w:val="2"/>
              </w:rPr>
            </w:pPr>
          </w:p>
        </w:tc>
        <w:tc>
          <w:tcPr>
            <w:tcW w:w="543" w:type="pct"/>
            <w:tcBorders>
              <w:top w:val="single" w:sz="4" w:space="0" w:color="auto"/>
              <w:left w:val="single" w:sz="4" w:space="0" w:color="auto"/>
              <w:bottom w:val="single" w:sz="4" w:space="0" w:color="auto"/>
            </w:tcBorders>
          </w:tcPr>
          <w:p w:rsidR="00376768" w:rsidRDefault="00376768">
            <w:pPr>
              <w:jc w:val="center"/>
              <w:rPr>
                <w:rFonts w:ascii="Arial" w:hAnsi="Arial" w:cs="Arial"/>
                <w:sz w:val="18"/>
                <w:szCs w:val="2"/>
              </w:rPr>
            </w:pPr>
          </w:p>
        </w:tc>
        <w:tc>
          <w:tcPr>
            <w:tcW w:w="36"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c>
          <w:tcPr>
            <w:tcW w:w="36"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524" w:type="pct"/>
            <w:tcBorders>
              <w:top w:val="single" w:sz="4" w:space="0" w:color="auto"/>
              <w:left w:val="nil"/>
              <w:bottom w:val="single" w:sz="4" w:space="0" w:color="auto"/>
            </w:tcBorders>
            <w:vAlign w:val="center"/>
          </w:tcPr>
          <w:p w:rsidR="00376768" w:rsidRDefault="00376768">
            <w:pPr>
              <w:jc w:val="center"/>
              <w:rPr>
                <w:rFonts w:ascii="Arial" w:hAnsi="Arial" w:cs="Arial"/>
                <w:sz w:val="18"/>
                <w:szCs w:val="2"/>
              </w:rPr>
            </w:pPr>
          </w:p>
        </w:tc>
        <w:tc>
          <w:tcPr>
            <w:tcW w:w="38"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c>
          <w:tcPr>
            <w:tcW w:w="39"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519" w:type="pct"/>
            <w:tcBorders>
              <w:top w:val="single" w:sz="4" w:space="0" w:color="auto"/>
              <w:left w:val="nil"/>
              <w:bottom w:val="single" w:sz="4" w:space="0" w:color="auto"/>
            </w:tcBorders>
            <w:vAlign w:val="center"/>
          </w:tcPr>
          <w:p w:rsidR="00376768" w:rsidRDefault="00376768">
            <w:pPr>
              <w:jc w:val="center"/>
              <w:rPr>
                <w:rFonts w:ascii="Arial" w:hAnsi="Arial" w:cs="Arial"/>
                <w:sz w:val="18"/>
                <w:szCs w:val="2"/>
              </w:rPr>
            </w:pPr>
          </w:p>
        </w:tc>
        <w:tc>
          <w:tcPr>
            <w:tcW w:w="31"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c>
          <w:tcPr>
            <w:tcW w:w="32" w:type="pct"/>
            <w:tcBorders>
              <w:top w:val="single" w:sz="4" w:space="0" w:color="auto"/>
              <w:left w:val="nil"/>
              <w:bottom w:val="single" w:sz="4" w:space="0" w:color="auto"/>
            </w:tcBorders>
          </w:tcPr>
          <w:p w:rsidR="00376768" w:rsidRDefault="00376768">
            <w:pPr>
              <w:jc w:val="center"/>
              <w:rPr>
                <w:rFonts w:ascii="Arial" w:hAnsi="Arial" w:cs="Arial"/>
                <w:sz w:val="18"/>
                <w:szCs w:val="2"/>
              </w:rPr>
            </w:pPr>
          </w:p>
        </w:tc>
        <w:tc>
          <w:tcPr>
            <w:tcW w:w="508" w:type="pct"/>
            <w:tcBorders>
              <w:top w:val="single" w:sz="4" w:space="0" w:color="auto"/>
              <w:left w:val="nil"/>
              <w:bottom w:val="single" w:sz="4" w:space="0" w:color="auto"/>
              <w:right w:val="single" w:sz="4" w:space="0" w:color="auto"/>
            </w:tcBorders>
            <w:vAlign w:val="center"/>
          </w:tcPr>
          <w:p w:rsidR="00376768" w:rsidRDefault="00376768">
            <w:pPr>
              <w:jc w:val="center"/>
              <w:rPr>
                <w:rFonts w:ascii="Arial" w:hAnsi="Arial" w:cs="Arial"/>
                <w:sz w:val="18"/>
                <w:szCs w:val="2"/>
              </w:rPr>
            </w:pPr>
          </w:p>
        </w:tc>
        <w:tc>
          <w:tcPr>
            <w:tcW w:w="151" w:type="pct"/>
            <w:tcBorders>
              <w:left w:val="single" w:sz="4" w:space="0" w:color="auto"/>
              <w:right w:val="single" w:sz="4" w:space="0" w:color="auto"/>
            </w:tcBorders>
          </w:tcPr>
          <w:p w:rsidR="00376768" w:rsidRDefault="00376768">
            <w:pPr>
              <w:jc w:val="center"/>
              <w:rPr>
                <w:rFonts w:ascii="Arial" w:hAnsi="Arial" w:cs="Arial"/>
                <w:sz w:val="18"/>
                <w:szCs w:val="2"/>
              </w:rPr>
            </w:pPr>
          </w:p>
        </w:tc>
        <w:tc>
          <w:tcPr>
            <w:tcW w:w="590" w:type="pct"/>
            <w:tcBorders>
              <w:top w:val="single" w:sz="4" w:space="0" w:color="auto"/>
              <w:left w:val="single" w:sz="4" w:space="0" w:color="auto"/>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$15,000</w:t>
            </w:r>
          </w:p>
        </w:tc>
        <w:tc>
          <w:tcPr>
            <w:tcW w:w="25"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25"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83"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r>
      <w:tr w:rsidR="00376768">
        <w:tc>
          <w:tcPr>
            <w:tcW w:w="1213" w:type="pct"/>
            <w:vAlign w:val="center"/>
          </w:tcPr>
          <w:p w:rsidR="00376768" w:rsidRDefault="00EC2B72">
            <w:pPr>
              <w:rPr>
                <w:rFonts w:ascii="Arial" w:hAnsi="Arial" w:cs="Arial"/>
                <w:sz w:val="18"/>
              </w:rPr>
            </w:pPr>
            <w:r>
              <w:rPr>
                <w:rFonts w:ascii="Arial" w:hAnsi="Arial" w:cs="Arial"/>
                <w:sz w:val="18"/>
                <w:szCs w:val="18"/>
              </w:rPr>
              <w:t>SERP</w:t>
            </w:r>
            <w:r>
              <w:rPr>
                <w:rFonts w:ascii="Arial" w:hAnsi="Arial" w:cs="Arial"/>
                <w:b/>
                <w:bCs/>
                <w:sz w:val="18"/>
                <w:szCs w:val="14"/>
                <w:vertAlign w:val="superscript"/>
              </w:rPr>
              <w:t>(4)</w:t>
            </w:r>
          </w:p>
        </w:tc>
        <w:tc>
          <w:tcPr>
            <w:tcW w:w="107" w:type="pct"/>
            <w:tcBorders>
              <w:right w:val="single" w:sz="4" w:space="0" w:color="auto"/>
            </w:tcBorders>
          </w:tcPr>
          <w:p w:rsidR="00376768" w:rsidRDefault="00376768">
            <w:pPr>
              <w:jc w:val="center"/>
              <w:rPr>
                <w:rFonts w:ascii="Arial" w:hAnsi="Arial" w:cs="Arial"/>
                <w:sz w:val="18"/>
                <w:szCs w:val="18"/>
              </w:rPr>
            </w:pPr>
          </w:p>
        </w:tc>
        <w:tc>
          <w:tcPr>
            <w:tcW w:w="543" w:type="pct"/>
            <w:tcBorders>
              <w:top w:val="single" w:sz="4" w:space="0" w:color="auto"/>
              <w:left w:val="single" w:sz="4" w:space="0" w:color="auto"/>
              <w:bottom w:val="single" w:sz="4" w:space="0" w:color="auto"/>
            </w:tcBorders>
          </w:tcPr>
          <w:p w:rsidR="00376768" w:rsidRDefault="00EC2B72">
            <w:pPr>
              <w:jc w:val="center"/>
              <w:rPr>
                <w:rFonts w:ascii="Arial" w:hAnsi="Arial" w:cs="Arial"/>
                <w:sz w:val="18"/>
              </w:rPr>
            </w:pPr>
            <w:r>
              <w:rPr>
                <w:rFonts w:ascii="Arial" w:hAnsi="Arial" w:cs="Arial"/>
                <w:sz w:val="18"/>
                <w:szCs w:val="18"/>
              </w:rPr>
              <w:t>$25,279</w:t>
            </w:r>
          </w:p>
        </w:tc>
        <w:tc>
          <w:tcPr>
            <w:tcW w:w="36"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36"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24" w:type="pct"/>
            <w:tcBorders>
              <w:top w:val="single" w:sz="4" w:space="0" w:color="auto"/>
              <w:left w:val="nil"/>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$25,279</w:t>
            </w:r>
          </w:p>
        </w:tc>
        <w:tc>
          <w:tcPr>
            <w:tcW w:w="38"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39"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19" w:type="pct"/>
            <w:tcBorders>
              <w:top w:val="single" w:sz="4" w:space="0" w:color="auto"/>
              <w:left w:val="nil"/>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$25,279</w:t>
            </w:r>
          </w:p>
        </w:tc>
        <w:tc>
          <w:tcPr>
            <w:tcW w:w="31"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32"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08" w:type="pct"/>
            <w:tcBorders>
              <w:top w:val="single" w:sz="4" w:space="0" w:color="auto"/>
              <w:left w:val="nil"/>
              <w:bottom w:val="single" w:sz="4" w:space="0" w:color="auto"/>
              <w:right w:val="single" w:sz="4" w:space="0" w:color="auto"/>
            </w:tcBorders>
            <w:vAlign w:val="center"/>
          </w:tcPr>
          <w:p w:rsidR="00376768" w:rsidRDefault="00EC2B72">
            <w:pPr>
              <w:jc w:val="center"/>
              <w:rPr>
                <w:rFonts w:ascii="Arial" w:hAnsi="Arial" w:cs="Arial"/>
                <w:sz w:val="18"/>
              </w:rPr>
            </w:pPr>
            <w:r>
              <w:rPr>
                <w:rFonts w:ascii="Arial" w:hAnsi="Arial" w:cs="Arial"/>
                <w:sz w:val="18"/>
                <w:szCs w:val="18"/>
              </w:rPr>
              <w:t>$25,279</w:t>
            </w:r>
          </w:p>
        </w:tc>
        <w:tc>
          <w:tcPr>
            <w:tcW w:w="151" w:type="pct"/>
            <w:tcBorders>
              <w:left w:val="single" w:sz="4" w:space="0" w:color="auto"/>
              <w:right w:val="single" w:sz="4" w:space="0" w:color="auto"/>
            </w:tcBorders>
          </w:tcPr>
          <w:p w:rsidR="00376768" w:rsidRDefault="00376768">
            <w:pPr>
              <w:jc w:val="center"/>
              <w:rPr>
                <w:rFonts w:ascii="Arial" w:hAnsi="Arial" w:cs="Arial"/>
                <w:sz w:val="18"/>
                <w:szCs w:val="2"/>
              </w:rPr>
            </w:pPr>
          </w:p>
        </w:tc>
        <w:tc>
          <w:tcPr>
            <w:tcW w:w="590" w:type="pct"/>
            <w:tcBorders>
              <w:top w:val="single" w:sz="4" w:space="0" w:color="auto"/>
              <w:left w:val="single" w:sz="4" w:space="0" w:color="auto"/>
              <w:bottom w:val="single" w:sz="4" w:space="0" w:color="auto"/>
            </w:tcBorders>
            <w:vAlign w:val="center"/>
          </w:tcPr>
          <w:p w:rsidR="00376768" w:rsidRDefault="00EC2B72">
            <w:pPr>
              <w:jc w:val="center"/>
              <w:rPr>
                <w:rFonts w:ascii="Arial" w:hAnsi="Arial" w:cs="Arial"/>
                <w:sz w:val="18"/>
              </w:rPr>
            </w:pPr>
            <w:r>
              <w:rPr>
                <w:rFonts w:ascii="Arial" w:hAnsi="Arial" w:cs="Arial"/>
                <w:sz w:val="18"/>
                <w:szCs w:val="18"/>
              </w:rPr>
              <w:t>$25,279</w:t>
            </w:r>
          </w:p>
        </w:tc>
        <w:tc>
          <w:tcPr>
            <w:tcW w:w="25"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rPr>
            </w:pPr>
          </w:p>
        </w:tc>
        <w:tc>
          <w:tcPr>
            <w:tcW w:w="25" w:type="pct"/>
            <w:tcBorders>
              <w:top w:val="single" w:sz="4" w:space="0" w:color="auto"/>
              <w:left w:val="nil"/>
              <w:bottom w:val="single" w:sz="4" w:space="0" w:color="auto"/>
            </w:tcBorders>
          </w:tcPr>
          <w:p w:rsidR="00376768" w:rsidRDefault="00376768">
            <w:pPr>
              <w:jc w:val="center"/>
              <w:rPr>
                <w:rFonts w:ascii="Arial" w:hAnsi="Arial" w:cs="Arial"/>
                <w:sz w:val="18"/>
              </w:rPr>
            </w:pPr>
          </w:p>
        </w:tc>
        <w:tc>
          <w:tcPr>
            <w:tcW w:w="583" w:type="pct"/>
            <w:tcBorders>
              <w:top w:val="single" w:sz="4" w:space="0" w:color="auto"/>
              <w:left w:val="nil"/>
              <w:bottom w:val="single" w:sz="4" w:space="0" w:color="auto"/>
              <w:right w:val="single" w:sz="4" w:space="0" w:color="auto"/>
            </w:tcBorders>
          </w:tcPr>
          <w:p w:rsidR="00376768" w:rsidRDefault="00376768">
            <w:pPr>
              <w:jc w:val="center"/>
              <w:rPr>
                <w:rFonts w:ascii="Arial" w:hAnsi="Arial" w:cs="Arial"/>
                <w:sz w:val="18"/>
                <w:szCs w:val="2"/>
              </w:rPr>
            </w:pPr>
          </w:p>
        </w:tc>
      </w:tr>
      <w:tr w:rsidR="00376768">
        <w:tc>
          <w:tcPr>
            <w:tcW w:w="1213" w:type="pct"/>
            <w:vAlign w:val="center"/>
          </w:tcPr>
          <w:p w:rsidR="00376768" w:rsidRDefault="00376768">
            <w:pPr>
              <w:rPr>
                <w:rFonts w:ascii="Arial" w:hAnsi="Arial" w:cs="Arial"/>
                <w:sz w:val="18"/>
                <w:szCs w:val="2"/>
              </w:rPr>
            </w:pPr>
          </w:p>
        </w:tc>
        <w:tc>
          <w:tcPr>
            <w:tcW w:w="107" w:type="pct"/>
          </w:tcPr>
          <w:p w:rsidR="00376768" w:rsidRDefault="00376768">
            <w:pPr>
              <w:jc w:val="center"/>
              <w:rPr>
                <w:rFonts w:ascii="Arial" w:hAnsi="Arial" w:cs="Arial"/>
                <w:sz w:val="18"/>
              </w:rPr>
            </w:pPr>
          </w:p>
        </w:tc>
        <w:tc>
          <w:tcPr>
            <w:tcW w:w="543" w:type="pct"/>
            <w:tcBorders>
              <w:top w:val="single" w:sz="4" w:space="0" w:color="auto"/>
            </w:tcBorders>
          </w:tcPr>
          <w:p w:rsidR="00376768" w:rsidRDefault="00376768">
            <w:pPr>
              <w:jc w:val="center"/>
              <w:rPr>
                <w:rFonts w:ascii="Arial" w:hAnsi="Arial" w:cs="Arial"/>
                <w:sz w:val="18"/>
              </w:rPr>
            </w:pPr>
          </w:p>
        </w:tc>
        <w:tc>
          <w:tcPr>
            <w:tcW w:w="36" w:type="pct"/>
            <w:tcBorders>
              <w:top w:val="single" w:sz="4" w:space="0" w:color="auto"/>
            </w:tcBorders>
          </w:tcPr>
          <w:p w:rsidR="00376768" w:rsidRDefault="00376768">
            <w:pPr>
              <w:jc w:val="center"/>
              <w:rPr>
                <w:rFonts w:ascii="Arial" w:hAnsi="Arial" w:cs="Arial"/>
                <w:sz w:val="18"/>
              </w:rPr>
            </w:pPr>
          </w:p>
        </w:tc>
        <w:tc>
          <w:tcPr>
            <w:tcW w:w="36" w:type="pct"/>
            <w:tcBorders>
              <w:top w:val="single" w:sz="4" w:space="0" w:color="auto"/>
            </w:tcBorders>
          </w:tcPr>
          <w:p w:rsidR="00376768" w:rsidRDefault="00376768">
            <w:pPr>
              <w:jc w:val="center"/>
              <w:rPr>
                <w:rFonts w:ascii="Arial" w:hAnsi="Arial" w:cs="Arial"/>
                <w:sz w:val="18"/>
              </w:rPr>
            </w:pPr>
          </w:p>
        </w:tc>
        <w:tc>
          <w:tcPr>
            <w:tcW w:w="524" w:type="pct"/>
            <w:tcBorders>
              <w:top w:val="single" w:sz="4" w:space="0" w:color="auto"/>
            </w:tcBorders>
          </w:tcPr>
          <w:p w:rsidR="00376768" w:rsidRDefault="00376768">
            <w:pPr>
              <w:jc w:val="center"/>
              <w:rPr>
                <w:rFonts w:ascii="Arial" w:hAnsi="Arial" w:cs="Arial"/>
                <w:sz w:val="18"/>
              </w:rPr>
            </w:pPr>
          </w:p>
        </w:tc>
        <w:tc>
          <w:tcPr>
            <w:tcW w:w="38" w:type="pct"/>
            <w:tcBorders>
              <w:top w:val="single" w:sz="4" w:space="0" w:color="auto"/>
            </w:tcBorders>
          </w:tcPr>
          <w:p w:rsidR="00376768" w:rsidRDefault="00376768">
            <w:pPr>
              <w:jc w:val="center"/>
              <w:rPr>
                <w:rFonts w:ascii="Arial" w:hAnsi="Arial" w:cs="Arial"/>
                <w:sz w:val="18"/>
              </w:rPr>
            </w:pPr>
          </w:p>
        </w:tc>
        <w:tc>
          <w:tcPr>
            <w:tcW w:w="39" w:type="pct"/>
            <w:tcBorders>
              <w:top w:val="single" w:sz="4" w:space="0" w:color="auto"/>
            </w:tcBorders>
          </w:tcPr>
          <w:p w:rsidR="00376768" w:rsidRDefault="00376768">
            <w:pPr>
              <w:jc w:val="center"/>
              <w:rPr>
                <w:rFonts w:ascii="Arial" w:hAnsi="Arial" w:cs="Arial"/>
                <w:sz w:val="18"/>
              </w:rPr>
            </w:pPr>
          </w:p>
        </w:tc>
        <w:tc>
          <w:tcPr>
            <w:tcW w:w="519" w:type="pct"/>
            <w:tcBorders>
              <w:top w:val="single" w:sz="4" w:space="0" w:color="auto"/>
            </w:tcBorders>
          </w:tcPr>
          <w:p w:rsidR="00376768" w:rsidRDefault="00376768">
            <w:pPr>
              <w:jc w:val="center"/>
              <w:rPr>
                <w:rFonts w:ascii="Arial" w:hAnsi="Arial" w:cs="Arial"/>
                <w:sz w:val="18"/>
              </w:rPr>
            </w:pPr>
          </w:p>
        </w:tc>
        <w:tc>
          <w:tcPr>
            <w:tcW w:w="31" w:type="pct"/>
            <w:tcBorders>
              <w:top w:val="single" w:sz="4" w:space="0" w:color="auto"/>
            </w:tcBorders>
          </w:tcPr>
          <w:p w:rsidR="00376768" w:rsidRDefault="00376768">
            <w:pPr>
              <w:jc w:val="center"/>
              <w:rPr>
                <w:rFonts w:ascii="Arial" w:hAnsi="Arial" w:cs="Arial"/>
                <w:sz w:val="18"/>
              </w:rPr>
            </w:pPr>
          </w:p>
        </w:tc>
        <w:tc>
          <w:tcPr>
            <w:tcW w:w="32" w:type="pct"/>
            <w:tcBorders>
              <w:top w:val="single" w:sz="4" w:space="0" w:color="auto"/>
            </w:tcBorders>
          </w:tcPr>
          <w:p w:rsidR="00376768" w:rsidRDefault="00376768">
            <w:pPr>
              <w:jc w:val="center"/>
              <w:rPr>
                <w:rFonts w:ascii="Arial" w:hAnsi="Arial" w:cs="Arial"/>
                <w:sz w:val="18"/>
              </w:rPr>
            </w:pPr>
          </w:p>
        </w:tc>
        <w:tc>
          <w:tcPr>
            <w:tcW w:w="508" w:type="pct"/>
            <w:tcBorders>
              <w:top w:val="single" w:sz="4" w:space="0" w:color="auto"/>
            </w:tcBorders>
          </w:tcPr>
          <w:p w:rsidR="00376768" w:rsidRDefault="00376768">
            <w:pPr>
              <w:jc w:val="center"/>
              <w:rPr>
                <w:rFonts w:ascii="Arial" w:hAnsi="Arial" w:cs="Arial"/>
                <w:sz w:val="18"/>
              </w:rPr>
            </w:pPr>
          </w:p>
        </w:tc>
        <w:tc>
          <w:tcPr>
            <w:tcW w:w="151" w:type="pct"/>
          </w:tcPr>
          <w:p w:rsidR="00376768" w:rsidRDefault="00376768">
            <w:pPr>
              <w:jc w:val="center"/>
              <w:rPr>
                <w:rFonts w:ascii="Arial" w:hAnsi="Arial" w:cs="Arial"/>
                <w:sz w:val="18"/>
              </w:rPr>
            </w:pPr>
          </w:p>
        </w:tc>
        <w:tc>
          <w:tcPr>
            <w:tcW w:w="590" w:type="pct"/>
            <w:tcBorders>
              <w:top w:val="single" w:sz="4" w:space="0" w:color="auto"/>
            </w:tcBorders>
          </w:tcPr>
          <w:p w:rsidR="00376768" w:rsidRDefault="00376768">
            <w:pPr>
              <w:jc w:val="center"/>
              <w:rPr>
                <w:rFonts w:ascii="Arial" w:hAnsi="Arial" w:cs="Arial"/>
                <w:sz w:val="18"/>
              </w:rPr>
            </w:pPr>
          </w:p>
        </w:tc>
        <w:tc>
          <w:tcPr>
            <w:tcW w:w="25" w:type="pct"/>
            <w:tcBorders>
              <w:top w:val="single" w:sz="4" w:space="0" w:color="auto"/>
            </w:tcBorders>
          </w:tcPr>
          <w:p w:rsidR="00376768" w:rsidRDefault="00376768">
            <w:pPr>
              <w:jc w:val="center"/>
              <w:rPr>
                <w:rFonts w:ascii="Arial" w:hAnsi="Arial" w:cs="Arial"/>
                <w:sz w:val="18"/>
              </w:rPr>
            </w:pPr>
          </w:p>
        </w:tc>
        <w:tc>
          <w:tcPr>
            <w:tcW w:w="25" w:type="pct"/>
            <w:tcBorders>
              <w:top w:val="single" w:sz="4" w:space="0" w:color="auto"/>
            </w:tcBorders>
          </w:tcPr>
          <w:p w:rsidR="00376768" w:rsidRDefault="00376768">
            <w:pPr>
              <w:jc w:val="center"/>
              <w:rPr>
                <w:rFonts w:ascii="Arial" w:hAnsi="Arial" w:cs="Arial"/>
                <w:sz w:val="18"/>
              </w:rPr>
            </w:pPr>
          </w:p>
        </w:tc>
        <w:tc>
          <w:tcPr>
            <w:tcW w:w="583" w:type="pct"/>
            <w:tcBorders>
              <w:top w:val="single" w:sz="4" w:space="0" w:color="auto"/>
            </w:tcBorders>
          </w:tcPr>
          <w:p w:rsidR="00376768" w:rsidRDefault="00376768">
            <w:pPr>
              <w:jc w:val="center"/>
              <w:rPr>
                <w:rFonts w:ascii="Arial" w:hAnsi="Arial" w:cs="Arial"/>
                <w:sz w:val="18"/>
              </w:rPr>
            </w:pPr>
          </w:p>
        </w:tc>
      </w:tr>
      <w:tr w:rsidR="00376768">
        <w:tc>
          <w:tcPr>
            <w:tcW w:w="1213" w:type="pct"/>
            <w:vAlign w:val="center"/>
          </w:tcPr>
          <w:p w:rsidR="00376768" w:rsidRDefault="00EC2B72">
            <w:pPr>
              <w:jc w:val="center"/>
              <w:rPr>
                <w:rFonts w:ascii="Arial" w:hAnsi="Arial" w:cs="Arial"/>
                <w:sz w:val="18"/>
              </w:rPr>
            </w:pPr>
            <w:r>
              <w:rPr>
                <w:rFonts w:ascii="Arial" w:hAnsi="Arial" w:cs="Arial"/>
                <w:b/>
                <w:bCs/>
                <w:sz w:val="18"/>
                <w:szCs w:val="18"/>
              </w:rPr>
              <w:t>Totals</w:t>
            </w:r>
          </w:p>
        </w:tc>
        <w:tc>
          <w:tcPr>
            <w:tcW w:w="107" w:type="pct"/>
          </w:tcPr>
          <w:p w:rsidR="00376768" w:rsidRDefault="00376768">
            <w:pPr>
              <w:jc w:val="center"/>
              <w:rPr>
                <w:rFonts w:ascii="Arial" w:hAnsi="Arial" w:cs="Arial"/>
                <w:b/>
                <w:bCs/>
                <w:sz w:val="18"/>
                <w:szCs w:val="18"/>
              </w:rPr>
            </w:pPr>
          </w:p>
        </w:tc>
        <w:tc>
          <w:tcPr>
            <w:tcW w:w="543" w:type="pct"/>
            <w:tcBorders>
              <w:bottom w:val="double" w:sz="4" w:space="0" w:color="auto"/>
            </w:tcBorders>
          </w:tcPr>
          <w:p w:rsidR="00376768" w:rsidRDefault="00EC2B72">
            <w:pPr>
              <w:jc w:val="center"/>
              <w:rPr>
                <w:rFonts w:ascii="Arial" w:hAnsi="Arial" w:cs="Arial"/>
                <w:b/>
                <w:sz w:val="18"/>
              </w:rPr>
            </w:pPr>
            <w:r>
              <w:rPr>
                <w:rFonts w:ascii="Arial" w:hAnsi="Arial" w:cs="Arial"/>
                <w:b/>
                <w:sz w:val="18"/>
                <w:szCs w:val="18"/>
              </w:rPr>
              <w:t>$25,279</w:t>
            </w:r>
          </w:p>
        </w:tc>
        <w:tc>
          <w:tcPr>
            <w:tcW w:w="36" w:type="pct"/>
          </w:tcPr>
          <w:p w:rsidR="00376768" w:rsidRDefault="00376768">
            <w:pPr>
              <w:jc w:val="center"/>
              <w:rPr>
                <w:rFonts w:ascii="Arial" w:hAnsi="Arial" w:cs="Arial"/>
                <w:sz w:val="18"/>
              </w:rPr>
            </w:pPr>
          </w:p>
        </w:tc>
        <w:tc>
          <w:tcPr>
            <w:tcW w:w="36" w:type="pct"/>
          </w:tcPr>
          <w:p w:rsidR="00376768" w:rsidRDefault="00376768">
            <w:pPr>
              <w:jc w:val="center"/>
              <w:rPr>
                <w:rFonts w:ascii="Arial" w:hAnsi="Arial" w:cs="Arial"/>
                <w:sz w:val="18"/>
              </w:rPr>
            </w:pPr>
          </w:p>
        </w:tc>
        <w:tc>
          <w:tcPr>
            <w:tcW w:w="524" w:type="pct"/>
            <w:tcBorders>
              <w:bottom w:val="double" w:sz="4" w:space="0" w:color="auto"/>
            </w:tcBorders>
          </w:tcPr>
          <w:p w:rsidR="00376768" w:rsidRDefault="00EC2B72">
            <w:pPr>
              <w:jc w:val="center"/>
              <w:rPr>
                <w:rFonts w:ascii="Arial" w:hAnsi="Arial" w:cs="Arial"/>
                <w:sz w:val="18"/>
              </w:rPr>
            </w:pPr>
            <w:r>
              <w:rPr>
                <w:rFonts w:ascii="Arial" w:hAnsi="Arial" w:cs="Arial"/>
                <w:b/>
                <w:bCs/>
                <w:sz w:val="18"/>
                <w:szCs w:val="18"/>
              </w:rPr>
              <w:t>$245,962</w:t>
            </w:r>
          </w:p>
        </w:tc>
        <w:tc>
          <w:tcPr>
            <w:tcW w:w="38" w:type="pct"/>
          </w:tcPr>
          <w:p w:rsidR="00376768" w:rsidRDefault="00376768">
            <w:pPr>
              <w:jc w:val="center"/>
              <w:rPr>
                <w:rFonts w:ascii="Arial" w:hAnsi="Arial" w:cs="Arial"/>
                <w:sz w:val="18"/>
              </w:rPr>
            </w:pPr>
          </w:p>
        </w:tc>
        <w:tc>
          <w:tcPr>
            <w:tcW w:w="39" w:type="pct"/>
          </w:tcPr>
          <w:p w:rsidR="00376768" w:rsidRDefault="00376768">
            <w:pPr>
              <w:jc w:val="center"/>
              <w:rPr>
                <w:rFonts w:ascii="Arial" w:hAnsi="Arial" w:cs="Arial"/>
                <w:sz w:val="18"/>
              </w:rPr>
            </w:pPr>
          </w:p>
        </w:tc>
        <w:tc>
          <w:tcPr>
            <w:tcW w:w="519" w:type="pct"/>
            <w:tcBorders>
              <w:bottom w:val="double" w:sz="4" w:space="0" w:color="auto"/>
            </w:tcBorders>
          </w:tcPr>
          <w:p w:rsidR="00376768" w:rsidRDefault="00EC2B72">
            <w:pPr>
              <w:jc w:val="center"/>
              <w:rPr>
                <w:rFonts w:ascii="Arial" w:hAnsi="Arial" w:cs="Arial"/>
                <w:sz w:val="18"/>
              </w:rPr>
            </w:pPr>
            <w:r>
              <w:rPr>
                <w:rFonts w:ascii="Arial" w:hAnsi="Arial" w:cs="Arial"/>
                <w:b/>
                <w:bCs/>
                <w:sz w:val="18"/>
                <w:szCs w:val="18"/>
              </w:rPr>
              <w:t>$245,962</w:t>
            </w:r>
          </w:p>
        </w:tc>
        <w:tc>
          <w:tcPr>
            <w:tcW w:w="31" w:type="pct"/>
          </w:tcPr>
          <w:p w:rsidR="00376768" w:rsidRDefault="00376768">
            <w:pPr>
              <w:jc w:val="center"/>
              <w:rPr>
                <w:rFonts w:ascii="Arial" w:hAnsi="Arial" w:cs="Arial"/>
                <w:sz w:val="18"/>
              </w:rPr>
            </w:pPr>
          </w:p>
        </w:tc>
        <w:tc>
          <w:tcPr>
            <w:tcW w:w="32" w:type="pct"/>
          </w:tcPr>
          <w:p w:rsidR="00376768" w:rsidRDefault="00376768">
            <w:pPr>
              <w:jc w:val="center"/>
              <w:rPr>
                <w:rFonts w:ascii="Arial" w:hAnsi="Arial" w:cs="Arial"/>
                <w:sz w:val="18"/>
              </w:rPr>
            </w:pPr>
          </w:p>
        </w:tc>
        <w:tc>
          <w:tcPr>
            <w:tcW w:w="508" w:type="pct"/>
            <w:tcBorders>
              <w:bottom w:val="double" w:sz="4" w:space="0" w:color="auto"/>
            </w:tcBorders>
          </w:tcPr>
          <w:p w:rsidR="00376768" w:rsidRDefault="00EC2B72">
            <w:pPr>
              <w:jc w:val="center"/>
              <w:rPr>
                <w:rFonts w:ascii="Arial" w:hAnsi="Arial" w:cs="Arial"/>
                <w:sz w:val="18"/>
              </w:rPr>
            </w:pPr>
            <w:r>
              <w:rPr>
                <w:rFonts w:ascii="Arial" w:hAnsi="Arial" w:cs="Arial"/>
                <w:b/>
                <w:bCs/>
                <w:sz w:val="18"/>
                <w:szCs w:val="18"/>
              </w:rPr>
              <w:t>$245,962</w:t>
            </w:r>
          </w:p>
        </w:tc>
        <w:tc>
          <w:tcPr>
            <w:tcW w:w="151" w:type="pct"/>
          </w:tcPr>
          <w:p w:rsidR="00376768" w:rsidRDefault="00376768">
            <w:pPr>
              <w:jc w:val="center"/>
              <w:rPr>
                <w:rFonts w:ascii="Arial" w:hAnsi="Arial" w:cs="Arial"/>
                <w:sz w:val="18"/>
                <w:szCs w:val="2"/>
              </w:rPr>
            </w:pPr>
          </w:p>
        </w:tc>
        <w:tc>
          <w:tcPr>
            <w:tcW w:w="590" w:type="pct"/>
            <w:tcBorders>
              <w:bottom w:val="double" w:sz="4" w:space="0" w:color="auto"/>
            </w:tcBorders>
          </w:tcPr>
          <w:p w:rsidR="00376768" w:rsidRDefault="00EC2B72">
            <w:pPr>
              <w:jc w:val="center"/>
              <w:rPr>
                <w:rFonts w:ascii="Arial" w:hAnsi="Arial" w:cs="Arial"/>
                <w:sz w:val="18"/>
              </w:rPr>
            </w:pPr>
            <w:r>
              <w:rPr>
                <w:rFonts w:ascii="Arial" w:hAnsi="Arial" w:cs="Arial"/>
                <w:b/>
                <w:bCs/>
                <w:sz w:val="18"/>
                <w:szCs w:val="18"/>
              </w:rPr>
              <w:t>$1,191,224</w:t>
            </w:r>
          </w:p>
        </w:tc>
        <w:tc>
          <w:tcPr>
            <w:tcW w:w="25" w:type="pct"/>
          </w:tcPr>
          <w:p w:rsidR="00376768" w:rsidRDefault="00376768">
            <w:pPr>
              <w:jc w:val="center"/>
              <w:rPr>
                <w:rFonts w:ascii="Arial" w:hAnsi="Arial" w:cs="Arial"/>
                <w:sz w:val="18"/>
              </w:rPr>
            </w:pPr>
          </w:p>
        </w:tc>
        <w:tc>
          <w:tcPr>
            <w:tcW w:w="25" w:type="pct"/>
          </w:tcPr>
          <w:p w:rsidR="00376768" w:rsidRDefault="00376768">
            <w:pPr>
              <w:jc w:val="center"/>
              <w:rPr>
                <w:rFonts w:ascii="Arial" w:hAnsi="Arial" w:cs="Arial"/>
                <w:sz w:val="18"/>
              </w:rPr>
            </w:pPr>
          </w:p>
        </w:tc>
        <w:tc>
          <w:tcPr>
            <w:tcW w:w="583" w:type="pct"/>
            <w:tcBorders>
              <w:bottom w:val="double" w:sz="4" w:space="0" w:color="auto"/>
            </w:tcBorders>
          </w:tcPr>
          <w:p w:rsidR="00376768" w:rsidRDefault="00EC2B72">
            <w:pPr>
              <w:jc w:val="center"/>
              <w:rPr>
                <w:rFonts w:ascii="Arial" w:hAnsi="Arial" w:cs="Arial"/>
                <w:sz w:val="18"/>
              </w:rPr>
            </w:pPr>
            <w:r>
              <w:rPr>
                <w:rFonts w:ascii="Arial" w:hAnsi="Arial" w:cs="Arial"/>
                <w:b/>
                <w:bCs/>
                <w:sz w:val="18"/>
                <w:szCs w:val="18"/>
              </w:rPr>
              <w:t>$113,774</w:t>
            </w:r>
          </w:p>
        </w:tc>
      </w:tr>
    </w:tbl>
    <w:p w:rsidR="00376768" w:rsidRDefault="00376768">
      <w:pPr>
        <w:rPr>
          <w:rFonts w:ascii="Arial" w:hAnsi="Arial" w:cs="Arial"/>
          <w:sz w:val="16"/>
        </w:rPr>
      </w:pPr>
    </w:p>
    <w:tbl>
      <w:tblPr>
        <w:tblW w:w="1000" w:type="pct"/>
        <w:tblBorders>
          <w:bottom w:val="single" w:sz="4" w:space="0" w:color="auto"/>
        </w:tblBorders>
        <w:tblLayout w:type="fixed"/>
        <w:tblCellMar>
          <w:left w:w="0" w:type="dxa"/>
          <w:right w:w="0" w:type="dxa"/>
        </w:tblCellMar>
        <w:tblLook w:val="0000" w:firstRow="0" w:lastRow="0" w:firstColumn="0" w:lastColumn="0" w:noHBand="0" w:noVBand="0"/>
      </w:tblPr>
      <w:tblGrid>
        <w:gridCol w:w="2160"/>
      </w:tblGrid>
      <w:tr w:rsidR="00376768">
        <w:tc>
          <w:tcPr>
            <w:tcW w:w="5000" w:type="pct"/>
          </w:tcPr>
          <w:p w:rsidR="00376768" w:rsidRDefault="00376768">
            <w:pPr>
              <w:rPr>
                <w:rFonts w:ascii="Arial" w:hAnsi="Arial" w:cs="Arial"/>
                <w:sz w:val="2"/>
              </w:rPr>
            </w:pPr>
          </w:p>
        </w:tc>
      </w:tr>
    </w:tbl>
    <w:p w:rsidR="00376768" w:rsidRDefault="00EC2B72">
      <w:pPr>
        <w:spacing w:before="140"/>
        <w:ind w:left="360" w:hanging="360"/>
        <w:jc w:val="both"/>
        <w:rPr>
          <w:rFonts w:ascii="Arial" w:hAnsi="Arial" w:cs="Arial"/>
          <w:sz w:val="16"/>
          <w:szCs w:val="16"/>
        </w:rPr>
      </w:pPr>
      <w:r>
        <w:rPr>
          <w:rFonts w:ascii="Arial" w:hAnsi="Arial" w:cs="Arial"/>
          <w:sz w:val="16"/>
          <w:szCs w:val="16"/>
          <w:vertAlign w:val="superscript"/>
        </w:rPr>
        <w:t>(1)</w:t>
      </w:r>
      <w:r>
        <w:rPr>
          <w:rFonts w:ascii="Arial" w:hAnsi="Arial" w:cs="Arial"/>
          <w:sz w:val="16"/>
          <w:szCs w:val="16"/>
          <w:vertAlign w:val="superscript"/>
        </w:rPr>
        <w:tab/>
      </w:r>
      <w:r>
        <w:rPr>
          <w:rFonts w:ascii="Arial" w:hAnsi="Arial" w:cs="Arial"/>
          <w:sz w:val="16"/>
          <w:szCs w:val="16"/>
        </w:rPr>
        <w:t>Under the Separation Plan, the Lump Sum Cash Payment is the awardee’s benefit factor multiplied by the sum of (i) base salary plus (ii) the awardee’s target bonus under the Executive Annual Incentive Compensation Plan for the year of termination multiplied by the average percentage of target achievement of the past three incentives paid under such Separation Plan. The Separation Plan provides that certain severance payments will be cut back to amounts that do not exceed each named executive officer’s respective safe harbor limit, as defined under the golden parachute rules of Internal Revenue Code Section 280G, however, the amounts reflected in the table show full payout value and assume no cut back.</w:t>
      </w:r>
    </w:p>
    <w:p w:rsidR="00376768" w:rsidRDefault="00EC2B72">
      <w:pPr>
        <w:spacing w:before="140"/>
        <w:ind w:left="360" w:hanging="360"/>
        <w:jc w:val="both"/>
        <w:rPr>
          <w:rFonts w:ascii="Arial" w:hAnsi="Arial" w:cs="Arial"/>
          <w:sz w:val="16"/>
          <w:szCs w:val="16"/>
        </w:rPr>
      </w:pPr>
      <w:r>
        <w:rPr>
          <w:rFonts w:ascii="Arial" w:hAnsi="Arial" w:cs="Arial"/>
          <w:sz w:val="16"/>
          <w:szCs w:val="16"/>
          <w:vertAlign w:val="superscript"/>
        </w:rPr>
        <w:t>(2)</w:t>
      </w:r>
      <w:r>
        <w:rPr>
          <w:rFonts w:ascii="Arial" w:hAnsi="Arial" w:cs="Arial"/>
          <w:sz w:val="16"/>
          <w:szCs w:val="16"/>
          <w:vertAlign w:val="superscript"/>
        </w:rPr>
        <w:tab/>
      </w:r>
      <w:r>
        <w:rPr>
          <w:rFonts w:ascii="Arial" w:hAnsi="Arial" w:cs="Arial"/>
          <w:sz w:val="16"/>
          <w:szCs w:val="16"/>
        </w:rPr>
        <w:t>The “Lump Sum Severance” amounts under the categories of death, disability and retirement are the payouts related to the Executive Annual Incentive Compensation Plan.</w:t>
      </w:r>
    </w:p>
    <w:p w:rsidR="00376768" w:rsidRDefault="00EC2B72">
      <w:pPr>
        <w:spacing w:before="140"/>
        <w:ind w:left="360" w:hanging="360"/>
        <w:jc w:val="both"/>
        <w:rPr>
          <w:rFonts w:ascii="Arial" w:hAnsi="Arial" w:cs="Arial"/>
          <w:sz w:val="16"/>
          <w:szCs w:val="16"/>
        </w:rPr>
      </w:pPr>
      <w:r>
        <w:rPr>
          <w:rFonts w:ascii="Arial" w:hAnsi="Arial" w:cs="Arial"/>
          <w:sz w:val="16"/>
          <w:szCs w:val="16"/>
          <w:vertAlign w:val="superscript"/>
        </w:rPr>
        <w:t>(3)</w:t>
      </w:r>
      <w:r>
        <w:rPr>
          <w:rFonts w:ascii="Arial" w:hAnsi="Arial" w:cs="Arial"/>
          <w:sz w:val="16"/>
          <w:szCs w:val="16"/>
          <w:vertAlign w:val="superscript"/>
        </w:rPr>
        <w:tab/>
      </w:r>
      <w:r>
        <w:rPr>
          <w:rFonts w:ascii="Arial" w:hAnsi="Arial" w:cs="Arial"/>
          <w:sz w:val="16"/>
          <w:szCs w:val="16"/>
        </w:rPr>
        <w:t>Under the Separation Plan, these benefits consist of continued medical, dental and vision benefits as described above. Benefits continuation is the cost of COBRA for the Company based on NEO’s benefit elections as of December 31, 2017.</w:t>
      </w:r>
    </w:p>
    <w:p w:rsidR="00376768" w:rsidRDefault="00EC2B72">
      <w:pPr>
        <w:spacing w:before="140"/>
        <w:ind w:left="360" w:hanging="360"/>
        <w:jc w:val="both"/>
        <w:rPr>
          <w:rFonts w:ascii="Arial" w:hAnsi="Arial" w:cs="Arial"/>
          <w:sz w:val="16"/>
          <w:szCs w:val="16"/>
        </w:rPr>
      </w:pPr>
      <w:r>
        <w:rPr>
          <w:rFonts w:ascii="Arial" w:hAnsi="Arial" w:cs="Arial"/>
          <w:sz w:val="16"/>
          <w:szCs w:val="16"/>
          <w:vertAlign w:val="superscript"/>
        </w:rPr>
        <w:t>(4)</w:t>
      </w:r>
      <w:r>
        <w:rPr>
          <w:rFonts w:ascii="Arial" w:hAnsi="Arial" w:cs="Arial"/>
          <w:sz w:val="16"/>
          <w:szCs w:val="16"/>
          <w:vertAlign w:val="superscript"/>
        </w:rPr>
        <w:tab/>
      </w:r>
      <w:r>
        <w:rPr>
          <w:rFonts w:ascii="Arial" w:hAnsi="Arial" w:cs="Arial"/>
          <w:sz w:val="16"/>
          <w:szCs w:val="16"/>
        </w:rPr>
        <w:t>Payout of the SERP other than for retirement assumes the following: the NEO was terminated due to involuntary termination by the Company (other than for cause), death or disability. A SERP payout would not be made to a NEO that terminated voluntarily for any reason other than a qualified retirement per definition in the Separation Plan.</w:t>
      </w:r>
    </w:p>
    <w:p w:rsidR="00376768" w:rsidRDefault="00EC2B72">
      <w:pPr>
        <w:tabs>
          <w:tab w:val="left" w:pos="90"/>
        </w:tabs>
        <w:spacing w:before="140"/>
        <w:ind w:left="360" w:hanging="360"/>
        <w:jc w:val="both"/>
        <w:rPr>
          <w:rFonts w:ascii="Arial" w:hAnsi="Arial" w:cs="Arial"/>
          <w:sz w:val="16"/>
          <w:szCs w:val="16"/>
        </w:rPr>
      </w:pPr>
      <w:r>
        <w:rPr>
          <w:rFonts w:ascii="Arial" w:hAnsi="Arial" w:cs="Arial"/>
          <w:sz w:val="16"/>
          <w:szCs w:val="16"/>
          <w:vertAlign w:val="superscript"/>
        </w:rPr>
        <w:t>(5)</w:t>
      </w:r>
      <w:r>
        <w:rPr>
          <w:rFonts w:ascii="Arial" w:hAnsi="Arial" w:cs="Arial"/>
          <w:sz w:val="16"/>
          <w:szCs w:val="16"/>
          <w:vertAlign w:val="superscript"/>
        </w:rPr>
        <w:tab/>
      </w:r>
      <w:r>
        <w:rPr>
          <w:rFonts w:ascii="Arial" w:hAnsi="Arial" w:cs="Arial"/>
          <w:sz w:val="16"/>
          <w:szCs w:val="16"/>
        </w:rPr>
        <w:t>This includes PSU award values that would be calculated in the “Non-Change-in-Control” situations of death, disability and retirement. These values represent the pro rata portion of the anticipated award earned at the end of the performance period compared to target based on the number of complete months served by the awardee during the entire performance period.</w:t>
      </w:r>
    </w:p>
    <w:p w:rsidR="00376768" w:rsidRDefault="00EC2B72">
      <w:pPr>
        <w:tabs>
          <w:tab w:val="left" w:pos="90"/>
        </w:tabs>
        <w:spacing w:before="140"/>
        <w:ind w:left="360" w:hanging="360"/>
        <w:jc w:val="both"/>
        <w:rPr>
          <w:rFonts w:ascii="Arial" w:hAnsi="Arial" w:cs="Arial"/>
          <w:sz w:val="16"/>
          <w:szCs w:val="16"/>
        </w:rPr>
      </w:pPr>
      <w:r>
        <w:rPr>
          <w:rFonts w:ascii="Arial" w:hAnsi="Arial" w:cs="Arial"/>
          <w:sz w:val="16"/>
          <w:szCs w:val="16"/>
          <w:vertAlign w:val="superscript"/>
        </w:rPr>
        <w:t>(6)</w:t>
      </w:r>
      <w:r>
        <w:rPr>
          <w:rFonts w:ascii="Arial" w:hAnsi="Arial" w:cs="Arial"/>
          <w:sz w:val="16"/>
          <w:szCs w:val="16"/>
          <w:vertAlign w:val="superscript"/>
        </w:rPr>
        <w:tab/>
      </w:r>
      <w:r>
        <w:rPr>
          <w:rFonts w:ascii="Arial" w:hAnsi="Arial" w:cs="Arial"/>
          <w:sz w:val="16"/>
          <w:szCs w:val="16"/>
        </w:rPr>
        <w:t>Assumes PSUs vesting at target and pro-rated for months elapsed as of December 29, 2017 for the thirty-six month performance period, using the closing price on December 29, 2017 of $27.15.</w:t>
      </w:r>
    </w:p>
    <w:p w:rsidR="00376768" w:rsidRDefault="00EC2B72">
      <w:pPr>
        <w:tabs>
          <w:tab w:val="left" w:pos="90"/>
        </w:tabs>
        <w:spacing w:before="140"/>
        <w:ind w:left="360" w:hanging="360"/>
        <w:jc w:val="both"/>
        <w:rPr>
          <w:rFonts w:ascii="Arial" w:hAnsi="Arial" w:cs="Arial"/>
          <w:sz w:val="16"/>
          <w:szCs w:val="16"/>
        </w:rPr>
      </w:pPr>
      <w:r>
        <w:rPr>
          <w:rFonts w:ascii="Arial" w:hAnsi="Arial" w:cs="Arial"/>
          <w:sz w:val="16"/>
          <w:szCs w:val="16"/>
          <w:vertAlign w:val="superscript"/>
        </w:rPr>
        <w:t>(7)</w:t>
      </w:r>
      <w:r>
        <w:rPr>
          <w:rFonts w:ascii="Arial" w:hAnsi="Arial" w:cs="Arial"/>
          <w:sz w:val="16"/>
          <w:szCs w:val="16"/>
          <w:vertAlign w:val="superscript"/>
        </w:rPr>
        <w:tab/>
      </w:r>
      <w:r>
        <w:rPr>
          <w:rFonts w:ascii="Arial" w:hAnsi="Arial" w:cs="Arial"/>
          <w:sz w:val="16"/>
          <w:szCs w:val="16"/>
        </w:rPr>
        <w:t>Mr. Scanlon’s</w:t>
      </w:r>
      <w:r>
        <w:rPr>
          <w:rFonts w:ascii="Arial" w:hAnsi="Arial" w:cs="Arial"/>
          <w:sz w:val="16"/>
          <w:szCs w:val="16"/>
          <w:vertAlign w:val="superscript"/>
        </w:rPr>
        <w:t xml:space="preserve"> </w:t>
      </w:r>
      <w:r>
        <w:rPr>
          <w:rFonts w:ascii="Arial" w:hAnsi="Arial" w:cs="Arial"/>
          <w:sz w:val="16"/>
          <w:szCs w:val="16"/>
        </w:rPr>
        <w:t>employment with the Company terminated on 3/30/2018. All unvested equity awards as of that day are forfeited.</w:t>
      </w:r>
    </w:p>
    <w:p w:rsidR="00376768" w:rsidRDefault="00EC2B72">
      <w:pPr>
        <w:spacing w:before="140"/>
        <w:ind w:firstLine="360"/>
        <w:jc w:val="both"/>
        <w:rPr>
          <w:rFonts w:ascii="Arial" w:hAnsi="Arial" w:cs="Arial"/>
        </w:rPr>
      </w:pPr>
      <w:proofErr w:type="gramStart"/>
      <w:r>
        <w:rPr>
          <w:rFonts w:ascii="Arial" w:hAnsi="Arial" w:cs="Arial"/>
        </w:rPr>
        <w:t>Mr. Russo’s employment with the Company and its subsidiaries terminated on April 21, 2017.</w:t>
      </w:r>
      <w:proofErr w:type="gramEnd"/>
      <w:r>
        <w:rPr>
          <w:rFonts w:ascii="Arial" w:hAnsi="Arial" w:cs="Arial"/>
        </w:rPr>
        <w:t xml:space="preserve"> He did not receive any severance or other benefit from the Company in connection with his separation.</w:t>
      </w:r>
    </w:p>
    <w:p w:rsidR="00376768" w:rsidRDefault="00EC2B72">
      <w:pPr>
        <w:spacing w:before="140"/>
        <w:jc w:val="center"/>
        <w:rPr>
          <w:rFonts w:ascii="Arial" w:hAnsi="Arial" w:cs="Arial"/>
        </w:rPr>
      </w:pPr>
      <w:r>
        <w:rPr>
          <w:rFonts w:ascii="Arial" w:hAnsi="Arial" w:cs="Arial"/>
          <w:b/>
          <w:bCs/>
        </w:rPr>
        <w:t>R</w:t>
      </w:r>
      <w:bookmarkStart w:id="45" w:name="a045_v1"/>
      <w:bookmarkEnd w:id="45"/>
      <w:r>
        <w:rPr>
          <w:rFonts w:ascii="Arial" w:hAnsi="Arial" w:cs="Arial"/>
          <w:b/>
          <w:bCs/>
        </w:rPr>
        <w:t>ATIO OF ANNUAL COMPENSATION FOR THE CEO TO OUR MEDIAN EMPLOYEE</w:t>
      </w:r>
    </w:p>
    <w:p w:rsidR="00376768" w:rsidRDefault="00EC2B72">
      <w:pPr>
        <w:spacing w:before="140"/>
        <w:jc w:val="both"/>
        <w:rPr>
          <w:rFonts w:ascii="Arial" w:hAnsi="Arial" w:cs="Arial"/>
        </w:rPr>
      </w:pPr>
      <w:r>
        <w:rPr>
          <w:rFonts w:ascii="Arial" w:hAnsi="Arial" w:cs="Arial"/>
        </w:rPr>
        <w:t>Pursuant to Item 402(u) of SEC Regulation S-K, we are required to disclose the ratio of compensation of our principal executive officer (PEO), Mr. Bauer, to our median employee’s annual total compensation.</w:t>
      </w:r>
    </w:p>
    <w:p w:rsidR="00376768" w:rsidRDefault="00EC2B72">
      <w:pPr>
        <w:spacing w:before="140"/>
        <w:jc w:val="both"/>
        <w:rPr>
          <w:rFonts w:ascii="Arial" w:hAnsi="Arial" w:cs="Arial"/>
        </w:rPr>
      </w:pPr>
      <w:r>
        <w:rPr>
          <w:rFonts w:ascii="Arial" w:hAnsi="Arial" w:cs="Arial"/>
        </w:rPr>
        <w:t>We determined our median employee by analyzing 2016 year-end earnings using tax forms W2 (U.S.), T4 (Canada), and P60 (U.K.), excluding our Chairman and CEO. We selected this process to determine our median employee as we believe such accumulated pay reasonably reflects the median employee annual total compensation taking into account all of our employees.</w:t>
      </w:r>
    </w:p>
    <w:p w:rsidR="00376768" w:rsidRDefault="00EC2B72">
      <w:pPr>
        <w:spacing w:before="140"/>
        <w:jc w:val="both"/>
        <w:rPr>
          <w:rFonts w:ascii="Arial" w:hAnsi="Arial" w:cs="Arial"/>
        </w:rPr>
      </w:pPr>
      <w:r>
        <w:rPr>
          <w:rFonts w:ascii="Arial" w:hAnsi="Arial" w:cs="Arial"/>
        </w:rPr>
        <w:t>Once we identified our median employee, that employee’s total compensation was calculated using the same methodology required for disclosure of compensation to the CEO in 2017, under the requirements established by the SEC, in the Summary Compensation Table.</w:t>
      </w:r>
    </w:p>
    <w:p w:rsidR="00376768" w:rsidRDefault="00EC2B72">
      <w:pPr>
        <w:spacing w:before="140"/>
        <w:jc w:val="both"/>
        <w:rPr>
          <w:rFonts w:ascii="Arial" w:hAnsi="Arial" w:cs="Arial"/>
        </w:rPr>
      </w:pPr>
      <w:r>
        <w:rPr>
          <w:rFonts w:ascii="Arial" w:hAnsi="Arial" w:cs="Arial"/>
        </w:rPr>
        <w:t>There were 1,001 full-time regular, part-time, casual, and international employees who had taxable earnings in 2016 and who remained employed as of November 27, 2017.</w:t>
      </w:r>
    </w:p>
    <w:tbl>
      <w:tblPr>
        <w:tblW w:w="3418" w:type="pct"/>
        <w:tblLayout w:type="fixed"/>
        <w:tblCellMar>
          <w:left w:w="0" w:type="dxa"/>
          <w:right w:w="0" w:type="dxa"/>
        </w:tblCellMar>
        <w:tblLook w:val="0000" w:firstRow="0" w:lastRow="0" w:firstColumn="0" w:lastColumn="0" w:noHBand="0" w:noVBand="0"/>
      </w:tblPr>
      <w:tblGrid>
        <w:gridCol w:w="422"/>
        <w:gridCol w:w="5679"/>
        <w:gridCol w:w="1282"/>
      </w:tblGrid>
      <w:tr w:rsidR="00376768">
        <w:tc>
          <w:tcPr>
            <w:tcW w:w="286" w:type="pct"/>
          </w:tcPr>
          <w:p w:rsidR="00376768" w:rsidRDefault="00376768">
            <w:pPr>
              <w:rPr>
                <w:rFonts w:ascii="Arial" w:hAnsi="Arial" w:cs="Arial"/>
                <w:sz w:val="16"/>
                <w:szCs w:val="16"/>
              </w:rPr>
            </w:pPr>
          </w:p>
        </w:tc>
        <w:tc>
          <w:tcPr>
            <w:tcW w:w="3846" w:type="pct"/>
          </w:tcPr>
          <w:p w:rsidR="00376768" w:rsidRDefault="00376768">
            <w:pPr>
              <w:rPr>
                <w:rFonts w:ascii="Arial" w:hAnsi="Arial" w:cs="Arial"/>
                <w:sz w:val="16"/>
                <w:szCs w:val="16"/>
              </w:rPr>
            </w:pPr>
          </w:p>
        </w:tc>
        <w:tc>
          <w:tcPr>
            <w:tcW w:w="868" w:type="pct"/>
          </w:tcPr>
          <w:p w:rsidR="00376768" w:rsidRDefault="00376768">
            <w:pPr>
              <w:rPr>
                <w:rFonts w:ascii="Arial" w:hAnsi="Arial" w:cs="Arial"/>
                <w:sz w:val="16"/>
                <w:szCs w:val="16"/>
              </w:rPr>
            </w:pPr>
          </w:p>
        </w:tc>
      </w:tr>
      <w:tr w:rsidR="00376768">
        <w:tc>
          <w:tcPr>
            <w:tcW w:w="286" w:type="pct"/>
          </w:tcPr>
          <w:p w:rsidR="00376768" w:rsidRDefault="00376768">
            <w:pPr>
              <w:rPr>
                <w:rFonts w:ascii="Arial" w:hAnsi="Arial" w:cs="Arial"/>
                <w:sz w:val="16"/>
                <w:szCs w:val="16"/>
              </w:rPr>
            </w:pPr>
          </w:p>
        </w:tc>
        <w:tc>
          <w:tcPr>
            <w:tcW w:w="3846" w:type="pct"/>
          </w:tcPr>
          <w:p w:rsidR="00376768" w:rsidRDefault="00EC2B72">
            <w:pPr>
              <w:rPr>
                <w:rFonts w:ascii="Arial" w:hAnsi="Arial" w:cs="Arial"/>
                <w:sz w:val="16"/>
                <w:szCs w:val="16"/>
              </w:rPr>
            </w:pPr>
            <w:r>
              <w:rPr>
                <w:rFonts w:ascii="Arial" w:hAnsi="Arial" w:cs="Arial"/>
                <w:sz w:val="16"/>
                <w:szCs w:val="16"/>
              </w:rPr>
              <w:t>Mr. Bauer’s total annual compensation:</w:t>
            </w:r>
          </w:p>
        </w:tc>
        <w:tc>
          <w:tcPr>
            <w:tcW w:w="868" w:type="pct"/>
          </w:tcPr>
          <w:p w:rsidR="00376768" w:rsidRDefault="00EC2B72">
            <w:pPr>
              <w:rPr>
                <w:rFonts w:ascii="Arial" w:hAnsi="Arial" w:cs="Arial"/>
                <w:sz w:val="16"/>
                <w:szCs w:val="16"/>
              </w:rPr>
            </w:pPr>
            <w:r>
              <w:rPr>
                <w:rFonts w:ascii="Arial" w:hAnsi="Arial" w:cs="Arial"/>
                <w:sz w:val="16"/>
                <w:szCs w:val="16"/>
              </w:rPr>
              <w:t>$1,899,176</w:t>
            </w:r>
          </w:p>
        </w:tc>
      </w:tr>
      <w:tr w:rsidR="00376768">
        <w:tc>
          <w:tcPr>
            <w:tcW w:w="286" w:type="pct"/>
          </w:tcPr>
          <w:p w:rsidR="00376768" w:rsidRDefault="00376768">
            <w:pPr>
              <w:rPr>
                <w:rFonts w:ascii="Arial" w:hAnsi="Arial" w:cs="Arial"/>
                <w:sz w:val="16"/>
                <w:szCs w:val="16"/>
              </w:rPr>
            </w:pPr>
          </w:p>
        </w:tc>
        <w:tc>
          <w:tcPr>
            <w:tcW w:w="3846" w:type="pct"/>
          </w:tcPr>
          <w:p w:rsidR="00376768" w:rsidRDefault="00EC2B72">
            <w:pPr>
              <w:rPr>
                <w:rFonts w:ascii="Arial" w:hAnsi="Arial" w:cs="Arial"/>
                <w:sz w:val="16"/>
                <w:szCs w:val="16"/>
              </w:rPr>
            </w:pPr>
            <w:r>
              <w:rPr>
                <w:rFonts w:ascii="Arial" w:hAnsi="Arial" w:cs="Arial"/>
                <w:sz w:val="16"/>
                <w:szCs w:val="16"/>
              </w:rPr>
              <w:t>Median Employee total annual compensation:</w:t>
            </w:r>
          </w:p>
        </w:tc>
        <w:tc>
          <w:tcPr>
            <w:tcW w:w="868" w:type="pct"/>
          </w:tcPr>
          <w:p w:rsidR="00376768" w:rsidRDefault="00EC2B72">
            <w:pPr>
              <w:rPr>
                <w:rFonts w:ascii="Arial" w:hAnsi="Arial" w:cs="Arial"/>
                <w:sz w:val="16"/>
                <w:szCs w:val="16"/>
              </w:rPr>
            </w:pPr>
            <w:r>
              <w:rPr>
                <w:rFonts w:ascii="Arial" w:hAnsi="Arial" w:cs="Arial"/>
                <w:sz w:val="16"/>
                <w:szCs w:val="16"/>
              </w:rPr>
              <w:t>$57,298</w:t>
            </w:r>
          </w:p>
        </w:tc>
      </w:tr>
      <w:tr w:rsidR="00376768">
        <w:tc>
          <w:tcPr>
            <w:tcW w:w="286" w:type="pct"/>
          </w:tcPr>
          <w:p w:rsidR="00376768" w:rsidRDefault="00376768">
            <w:pPr>
              <w:rPr>
                <w:rFonts w:ascii="Arial" w:hAnsi="Arial" w:cs="Arial"/>
                <w:sz w:val="16"/>
                <w:szCs w:val="16"/>
              </w:rPr>
            </w:pPr>
          </w:p>
        </w:tc>
        <w:tc>
          <w:tcPr>
            <w:tcW w:w="3846" w:type="pct"/>
          </w:tcPr>
          <w:p w:rsidR="00376768" w:rsidRDefault="00EC2B72">
            <w:pPr>
              <w:rPr>
                <w:rFonts w:ascii="Arial" w:hAnsi="Arial" w:cs="Arial"/>
                <w:sz w:val="16"/>
                <w:szCs w:val="16"/>
              </w:rPr>
            </w:pPr>
            <w:r>
              <w:rPr>
                <w:rFonts w:ascii="Arial" w:hAnsi="Arial" w:cs="Arial"/>
                <w:sz w:val="16"/>
                <w:szCs w:val="16"/>
              </w:rPr>
              <w:t>Ratio of Median Employee’s Compensation to Mr. Bauer:</w:t>
            </w:r>
          </w:p>
        </w:tc>
        <w:tc>
          <w:tcPr>
            <w:tcW w:w="868" w:type="pct"/>
          </w:tcPr>
          <w:p w:rsidR="00376768" w:rsidRDefault="00EC2B72">
            <w:pPr>
              <w:rPr>
                <w:rFonts w:ascii="Arial" w:hAnsi="Arial" w:cs="Arial"/>
                <w:sz w:val="16"/>
                <w:szCs w:val="16"/>
              </w:rPr>
            </w:pPr>
            <w:r>
              <w:rPr>
                <w:rFonts w:ascii="Arial" w:hAnsi="Arial" w:cs="Arial"/>
                <w:sz w:val="16"/>
                <w:szCs w:val="16"/>
              </w:rPr>
              <w:t>33:1</w:t>
            </w:r>
          </w:p>
        </w:tc>
      </w:tr>
    </w:tbl>
    <w:p w:rsidR="00376768" w:rsidRDefault="00EC2B72">
      <w:pPr>
        <w:spacing w:before="140"/>
        <w:jc w:val="both"/>
        <w:rPr>
          <w:rFonts w:ascii="Arial" w:hAnsi="Arial" w:cs="Arial"/>
        </w:rPr>
      </w:pPr>
      <w:r>
        <w:rPr>
          <w:rFonts w:ascii="Arial" w:hAnsi="Arial" w:cs="Arial"/>
        </w:rPr>
        <w:t>The pay ratio reported above is calculated in a manner consistent with SEC rules based on our internal records and the methodology described above. In determining our median employee, we did not use any of the exemptions permitted under SEC rules. Similarly, except as described above, we did not rely on any material assumptions, adjustments (e.g., cost-of-living adjustments) or estimates (e.g., statistical sampling) to identify our median employee or to determine annual total compensation or any elements of annual total compensation for our median employee or the CEO.</w:t>
      </w:r>
    </w:p>
    <w:p w:rsidR="00376768" w:rsidRDefault="00EC2B72">
      <w:pPr>
        <w:jc w:val="center"/>
        <w:rPr>
          <w:rFonts w:ascii="Arial" w:hAnsi="Arial" w:cs="Arial"/>
          <w:b/>
          <w:bCs/>
        </w:rPr>
      </w:pPr>
      <w:r>
        <w:rPr>
          <w:rFonts w:ascii="Arial" w:hAnsi="Arial" w:cs="Arial"/>
        </w:rPr>
        <w:br w:type="page"/>
      </w:r>
      <w:r>
        <w:rPr>
          <w:rFonts w:ascii="Arial" w:hAnsi="Arial" w:cs="Arial"/>
          <w:b/>
          <w:bCs/>
        </w:rPr>
        <w:lastRenderedPageBreak/>
        <w:t>AUD</w:t>
      </w:r>
      <w:bookmarkStart w:id="46" w:name="a046_v1"/>
      <w:bookmarkEnd w:id="46"/>
      <w:r>
        <w:rPr>
          <w:rFonts w:ascii="Arial" w:hAnsi="Arial" w:cs="Arial"/>
          <w:b/>
          <w:bCs/>
        </w:rPr>
        <w:t>IT COMMITTEE REPORT</w:t>
      </w:r>
    </w:p>
    <w:p w:rsidR="00376768" w:rsidRDefault="00EC2B72">
      <w:pPr>
        <w:spacing w:before="160"/>
        <w:ind w:firstLine="360"/>
        <w:jc w:val="both"/>
        <w:rPr>
          <w:rFonts w:ascii="Arial" w:hAnsi="Arial" w:cs="Arial"/>
        </w:rPr>
      </w:pPr>
      <w:r>
        <w:rPr>
          <w:rFonts w:ascii="Arial" w:hAnsi="Arial" w:cs="Arial"/>
        </w:rPr>
        <w:t>The following Report of the Audit Committee does not constitute soliciting material and should not be deemed filed or incorporated by reference into any other Company filing under the Securities Act of 1933 or the Securities Exchange Act of 1934, except to the extent the Company specifically incorporates this Report by reference therein.</w:t>
      </w:r>
    </w:p>
    <w:p w:rsidR="00376768" w:rsidRDefault="00EC2B72">
      <w:pPr>
        <w:spacing w:before="160"/>
        <w:ind w:firstLine="360"/>
        <w:jc w:val="both"/>
        <w:rPr>
          <w:rFonts w:ascii="Arial" w:hAnsi="Arial" w:cs="Arial"/>
        </w:rPr>
      </w:pPr>
      <w:r>
        <w:rPr>
          <w:rFonts w:ascii="Arial" w:hAnsi="Arial" w:cs="Arial"/>
        </w:rPr>
        <w:t>The Audit Committee of the Board of Directors is composed of independent directors and oversees the Company’s financial reporting process on behalf of the Board. The Audit Committee is responsible for the appointment, compensation, and retention of the Corporation’s independent registered public accountants. In fulfilling its oversight responsibilities, the Audit Committee reviewed and discussed with management the audited financial statements of the Company for the year ended December 31, 2017. The Audit Committee’s Charter is available on the Company’s website (www.lbfoster.com). The Audit Committee held five (one of which was telephonic) meetings during the 2017 fiscal year.</w:t>
      </w:r>
    </w:p>
    <w:p w:rsidR="00376768" w:rsidRDefault="00EC2B72">
      <w:pPr>
        <w:spacing w:before="160"/>
        <w:ind w:firstLine="360"/>
        <w:jc w:val="both"/>
        <w:rPr>
          <w:rFonts w:ascii="Arial" w:hAnsi="Arial" w:cs="Arial"/>
        </w:rPr>
      </w:pPr>
      <w:r>
        <w:rPr>
          <w:rFonts w:ascii="Arial" w:hAnsi="Arial" w:cs="Arial"/>
        </w:rPr>
        <w:t>Management is responsible for the Company’s internal controls and for the financial reporting process. With respect to 2017, management advised the Audit Committee that all annual and quarterly financial statements reviewed by the Audit Committee had been prepared in accordance with generally accepted accounting principles.</w:t>
      </w:r>
    </w:p>
    <w:p w:rsidR="00376768" w:rsidRDefault="00EC2B72">
      <w:pPr>
        <w:spacing w:before="160"/>
        <w:ind w:firstLine="360"/>
        <w:jc w:val="both"/>
        <w:rPr>
          <w:rFonts w:ascii="Arial" w:hAnsi="Arial" w:cs="Arial"/>
        </w:rPr>
      </w:pPr>
      <w:r>
        <w:rPr>
          <w:rFonts w:ascii="Arial" w:hAnsi="Arial" w:cs="Arial"/>
        </w:rPr>
        <w:t>The Audit Committee met and held discussions with Ernst &amp; Young, who are responsible for performing an independent audit of the Company’s financial statements in accordance with generally accepted auditing standards and for issuing a report thereon, regarding the audited financial statements, including a discussion of the quality, not just the acceptability, of the Company’s accounting principles and Ernst &amp; Young’s judgment regarding these matters. The Audit Committee has discussed with the independent registered public accountants the matters required to be discussed relating to the conduct of the audit under the Auditing Standard No. 1301, Communications with Audit Committees, issued by the Public Company Accounting Oversight Board (“PCAOB”). The Audit Committee has received the written disclosures and the letter from Ernst &amp; Young required by applicable requirements of the PCAOB regarding the independent registered public accountant’s communications with the Audit Committee concerning independence and has discussed with Ernst &amp; Young its independence. The Audit Committee concluded that Ernst &amp; Young’s independence had not been impaired.</w:t>
      </w:r>
    </w:p>
    <w:p w:rsidR="00376768" w:rsidRDefault="00EC2B72">
      <w:pPr>
        <w:spacing w:before="160"/>
        <w:ind w:firstLine="360"/>
        <w:jc w:val="both"/>
        <w:rPr>
          <w:rFonts w:ascii="Arial" w:hAnsi="Arial" w:cs="Arial"/>
        </w:rPr>
      </w:pPr>
      <w:r>
        <w:rPr>
          <w:rFonts w:ascii="Arial" w:hAnsi="Arial" w:cs="Arial"/>
        </w:rPr>
        <w:t>The Audit Committee discussed with the Company’s internal auditor and independent registered public accountants the overall scope and plans for their respective audits. The Audit Committee meets with the independent registered public accountants, with and without management present, to discuss the results of their examinations, their evaluations of the Company’s internal controls, and the overall quality of the Company’s financial reporting. The Audit Committee discussed the results of Ernst &amp; Young’s quarterly review procedures with the Company’s CEO, CFO and Controller and with Ernst &amp; Young prior to the Company’s release of quarterly financial information.</w:t>
      </w:r>
    </w:p>
    <w:p w:rsidR="00376768" w:rsidRDefault="00EC2B72">
      <w:pPr>
        <w:spacing w:before="160"/>
        <w:ind w:firstLine="360"/>
        <w:jc w:val="both"/>
        <w:rPr>
          <w:rFonts w:ascii="Arial" w:hAnsi="Arial" w:cs="Arial"/>
        </w:rPr>
      </w:pPr>
      <w:r>
        <w:rPr>
          <w:rFonts w:ascii="Arial" w:hAnsi="Arial" w:cs="Arial"/>
        </w:rPr>
        <w:t>Based on the reviews and discussions referred to above, the Audit Committee recommended to the Board that the audited financial statements be included in the Annual Report on Form 10-K for the year ended December 31, 2017, for filing with the SEC.</w:t>
      </w:r>
    </w:p>
    <w:tbl>
      <w:tblPr>
        <w:tblW w:w="5000" w:type="pct"/>
        <w:tblLayout w:type="fixed"/>
        <w:tblCellMar>
          <w:left w:w="0" w:type="dxa"/>
          <w:right w:w="0" w:type="dxa"/>
        </w:tblCellMar>
        <w:tblLook w:val="0000" w:firstRow="0" w:lastRow="0" w:firstColumn="0" w:lastColumn="0" w:noHBand="0" w:noVBand="0"/>
      </w:tblPr>
      <w:tblGrid>
        <w:gridCol w:w="7385"/>
        <w:gridCol w:w="3415"/>
      </w:tblGrid>
      <w:tr w:rsidR="00376768">
        <w:tc>
          <w:tcPr>
            <w:tcW w:w="3419" w:type="pct"/>
          </w:tcPr>
          <w:p w:rsidR="00376768" w:rsidRDefault="00376768">
            <w:pPr>
              <w:rPr>
                <w:rFonts w:ascii="Arial" w:hAnsi="Arial" w:cs="Arial"/>
                <w:b/>
                <w:bCs/>
              </w:rPr>
            </w:pPr>
          </w:p>
        </w:tc>
        <w:tc>
          <w:tcPr>
            <w:tcW w:w="1581" w:type="pct"/>
          </w:tcPr>
          <w:p w:rsidR="00376768" w:rsidRDefault="00376768">
            <w:pPr>
              <w:rPr>
                <w:rFonts w:ascii="Arial" w:hAnsi="Arial" w:cs="Arial"/>
                <w:b/>
                <w:bCs/>
              </w:rPr>
            </w:pPr>
          </w:p>
        </w:tc>
      </w:tr>
      <w:tr w:rsidR="00376768">
        <w:tc>
          <w:tcPr>
            <w:tcW w:w="3419" w:type="pct"/>
          </w:tcPr>
          <w:p w:rsidR="00376768" w:rsidRDefault="00376768">
            <w:pPr>
              <w:rPr>
                <w:rFonts w:ascii="Arial" w:hAnsi="Arial" w:cs="Arial"/>
                <w:b/>
                <w:bCs/>
              </w:rPr>
            </w:pPr>
          </w:p>
        </w:tc>
        <w:tc>
          <w:tcPr>
            <w:tcW w:w="1581" w:type="pct"/>
          </w:tcPr>
          <w:p w:rsidR="00376768" w:rsidRDefault="00EC2B72">
            <w:pPr>
              <w:rPr>
                <w:rFonts w:ascii="Arial" w:hAnsi="Arial" w:cs="Arial"/>
              </w:rPr>
            </w:pPr>
            <w:r>
              <w:rPr>
                <w:rFonts w:ascii="Arial" w:hAnsi="Arial" w:cs="Arial"/>
                <w:b/>
                <w:bCs/>
              </w:rPr>
              <w:t>AUDIT COMMITTEE</w:t>
            </w:r>
          </w:p>
        </w:tc>
      </w:tr>
      <w:tr w:rsidR="00376768">
        <w:tc>
          <w:tcPr>
            <w:tcW w:w="3419" w:type="pct"/>
          </w:tcPr>
          <w:p w:rsidR="00376768" w:rsidRDefault="00376768">
            <w:pPr>
              <w:rPr>
                <w:rFonts w:ascii="Arial" w:hAnsi="Arial" w:cs="Arial"/>
              </w:rPr>
            </w:pPr>
          </w:p>
        </w:tc>
        <w:tc>
          <w:tcPr>
            <w:tcW w:w="1581" w:type="pct"/>
          </w:tcPr>
          <w:p w:rsidR="00376768" w:rsidRDefault="00EC2B72">
            <w:pPr>
              <w:rPr>
                <w:rFonts w:ascii="Arial" w:hAnsi="Arial" w:cs="Arial"/>
              </w:rPr>
            </w:pPr>
            <w:r>
              <w:rPr>
                <w:rFonts w:ascii="Arial" w:hAnsi="Arial" w:cs="Arial"/>
              </w:rPr>
              <w:t>Diane B. Owen, Chair</w:t>
            </w:r>
          </w:p>
        </w:tc>
      </w:tr>
      <w:tr w:rsidR="00376768">
        <w:tc>
          <w:tcPr>
            <w:tcW w:w="3419" w:type="pct"/>
          </w:tcPr>
          <w:p w:rsidR="00376768" w:rsidRDefault="00376768">
            <w:pPr>
              <w:rPr>
                <w:rFonts w:ascii="Arial" w:hAnsi="Arial" w:cs="Arial"/>
              </w:rPr>
            </w:pPr>
          </w:p>
        </w:tc>
        <w:tc>
          <w:tcPr>
            <w:tcW w:w="1581" w:type="pct"/>
          </w:tcPr>
          <w:p w:rsidR="00376768" w:rsidRDefault="00EC2B72">
            <w:pPr>
              <w:rPr>
                <w:rFonts w:ascii="Arial" w:hAnsi="Arial" w:cs="Arial"/>
              </w:rPr>
            </w:pPr>
            <w:r>
              <w:rPr>
                <w:rFonts w:ascii="Arial" w:hAnsi="Arial" w:cs="Arial"/>
              </w:rPr>
              <w:t xml:space="preserve">William H. </w:t>
            </w:r>
            <w:proofErr w:type="spellStart"/>
            <w:r>
              <w:rPr>
                <w:rFonts w:ascii="Arial" w:hAnsi="Arial" w:cs="Arial"/>
              </w:rPr>
              <w:t>Rackoff</w:t>
            </w:r>
            <w:proofErr w:type="spellEnd"/>
          </w:p>
        </w:tc>
      </w:tr>
      <w:tr w:rsidR="00376768">
        <w:tc>
          <w:tcPr>
            <w:tcW w:w="3419" w:type="pct"/>
          </w:tcPr>
          <w:p w:rsidR="00376768" w:rsidRDefault="00376768">
            <w:pPr>
              <w:rPr>
                <w:rFonts w:ascii="Arial" w:hAnsi="Arial" w:cs="Arial"/>
              </w:rPr>
            </w:pPr>
          </w:p>
        </w:tc>
        <w:tc>
          <w:tcPr>
            <w:tcW w:w="1581" w:type="pct"/>
          </w:tcPr>
          <w:p w:rsidR="00376768" w:rsidRDefault="00EC2B72">
            <w:pPr>
              <w:rPr>
                <w:rFonts w:ascii="Arial" w:hAnsi="Arial" w:cs="Arial"/>
              </w:rPr>
            </w:pPr>
            <w:r>
              <w:rPr>
                <w:rFonts w:ascii="Arial" w:hAnsi="Arial" w:cs="Arial"/>
              </w:rPr>
              <w:t>Suzanne B. Rowland</w:t>
            </w:r>
          </w:p>
        </w:tc>
      </w:tr>
    </w:tbl>
    <w:p w:rsidR="00376768" w:rsidRDefault="00EC2B72">
      <w:pPr>
        <w:jc w:val="center"/>
        <w:rPr>
          <w:rFonts w:ascii="Arial" w:hAnsi="Arial" w:cs="Arial"/>
          <w:b/>
          <w:bCs/>
        </w:rPr>
      </w:pPr>
      <w:r>
        <w:rPr>
          <w:rFonts w:ascii="Arial" w:hAnsi="Arial" w:cs="Arial"/>
          <w:b/>
          <w:bCs/>
        </w:rPr>
        <w:br w:type="page"/>
      </w:r>
      <w:r>
        <w:rPr>
          <w:rFonts w:ascii="Arial" w:hAnsi="Arial" w:cs="Arial"/>
          <w:b/>
          <w:bCs/>
        </w:rPr>
        <w:lastRenderedPageBreak/>
        <w:t>AD</w:t>
      </w:r>
      <w:bookmarkStart w:id="47" w:name="a047_v1"/>
      <w:bookmarkEnd w:id="47"/>
      <w:r>
        <w:rPr>
          <w:rFonts w:ascii="Arial" w:hAnsi="Arial" w:cs="Arial"/>
          <w:b/>
          <w:bCs/>
        </w:rPr>
        <w:t>DITIONAL INFORMATION</w:t>
      </w:r>
    </w:p>
    <w:p w:rsidR="00376768" w:rsidRDefault="00EC2B72">
      <w:pPr>
        <w:spacing w:before="160"/>
        <w:ind w:firstLine="360"/>
        <w:jc w:val="both"/>
        <w:rPr>
          <w:rFonts w:ascii="Arial" w:hAnsi="Arial" w:cs="Arial"/>
        </w:rPr>
      </w:pPr>
      <w:r>
        <w:rPr>
          <w:rFonts w:ascii="Arial" w:hAnsi="Arial" w:cs="Arial"/>
        </w:rPr>
        <w:t>Management is not aware, at this time, of any other matters to be presented at the meeting. If, however, any other matters should come before the meeting or any adjournment thereof, the proxies will be voted at the discretion of the proxy holders.</w:t>
      </w:r>
    </w:p>
    <w:p w:rsidR="00376768" w:rsidRDefault="00EC2B72">
      <w:pPr>
        <w:spacing w:before="160"/>
        <w:ind w:firstLine="360"/>
        <w:jc w:val="both"/>
        <w:rPr>
          <w:rFonts w:ascii="Arial" w:hAnsi="Arial" w:cs="Arial"/>
        </w:rPr>
      </w:pPr>
      <w:r>
        <w:rPr>
          <w:rFonts w:ascii="Arial" w:hAnsi="Arial" w:cs="Arial"/>
        </w:rPr>
        <w:t>Representatives of Ernst &amp; Young are expected to be in attendance at the meeting to respond to appropriate questions from shareholders and will have an opportunity to make a statement if they so desire.</w:t>
      </w:r>
    </w:p>
    <w:p w:rsidR="00376768" w:rsidRDefault="00EC2B72">
      <w:pPr>
        <w:spacing w:before="160"/>
        <w:ind w:firstLine="360"/>
        <w:jc w:val="both"/>
        <w:rPr>
          <w:rFonts w:ascii="Arial" w:hAnsi="Arial" w:cs="Arial"/>
        </w:rPr>
      </w:pPr>
      <w:r>
        <w:rPr>
          <w:rFonts w:ascii="Arial" w:hAnsi="Arial" w:cs="Arial"/>
        </w:rPr>
        <w:t xml:space="preserve">If you wish to present a proposal for possible inclusion in our Proxy Statement for the 2017 Annual Meeting of Shareholders pursuant to the SEC’s rules, you must send the proposal to: Patrick J. </w:t>
      </w:r>
      <w:proofErr w:type="spellStart"/>
      <w:r>
        <w:rPr>
          <w:rFonts w:ascii="Arial" w:hAnsi="Arial" w:cs="Arial"/>
        </w:rPr>
        <w:t>Guinee</w:t>
      </w:r>
      <w:proofErr w:type="spellEnd"/>
      <w:r>
        <w:rPr>
          <w:rFonts w:ascii="Arial" w:hAnsi="Arial" w:cs="Arial"/>
        </w:rPr>
        <w:t>, Senior Vice President, General Counsel &amp; Corporate Secretary, L.B. Foster Company, 415 Holiday Drive, Pittsburgh, PA 15220. Shareholder proposals for inclusion in our Proxy Statement for the Annual Meeting of Shareholders to be held in 2019 must conform to the requirements of Rule 14a-8 of the Exchange Act and be received by the Corporate Secretary of the Company on or before December 13, 2018.</w:t>
      </w:r>
    </w:p>
    <w:p w:rsidR="00376768" w:rsidRDefault="00EC2B72">
      <w:pPr>
        <w:spacing w:before="160"/>
        <w:ind w:firstLine="360"/>
        <w:jc w:val="both"/>
        <w:rPr>
          <w:rFonts w:ascii="Arial" w:hAnsi="Arial" w:cs="Arial"/>
        </w:rPr>
      </w:pPr>
      <w:r>
        <w:rPr>
          <w:rFonts w:ascii="Arial" w:hAnsi="Arial" w:cs="Arial"/>
        </w:rPr>
        <w:t>Shareholders who wish to bring business before or nominate a person for election as a director at the Company’s 2019 Annual Meeting of Shareholders (other than through a shareholder proposal pursuant to the SEC’s rules) must notify the Corporate Secretary of the Company in writing and provide the information required by the provision of our By-laws dealing with shareholder proposals. The notice must be delivered to the Corporate Secretary no later than the close of business on the 90</w:t>
      </w:r>
      <w:r>
        <w:rPr>
          <w:rFonts w:ascii="Arial" w:hAnsi="Arial" w:cs="Arial"/>
          <w:vertAlign w:val="superscript"/>
        </w:rPr>
        <w:t>th</w:t>
      </w:r>
      <w:r>
        <w:rPr>
          <w:rFonts w:ascii="Arial" w:hAnsi="Arial" w:cs="Arial"/>
        </w:rPr>
        <w:t xml:space="preserve"> day prior to (February 23, 2019) nor earlier than the close of business on the 120</w:t>
      </w:r>
      <w:r>
        <w:rPr>
          <w:rFonts w:ascii="Arial" w:hAnsi="Arial" w:cs="Arial"/>
          <w:vertAlign w:val="superscript"/>
        </w:rPr>
        <w:t>th</w:t>
      </w:r>
      <w:r>
        <w:rPr>
          <w:rFonts w:ascii="Arial" w:hAnsi="Arial" w:cs="Arial"/>
        </w:rPr>
        <w:t xml:space="preserve"> day prior to (January 24, 2019) the first anniversary of the preceding year’s annual meeting; provided, however, that in the event that the date of the 2019 Annual Meeting is more than 30 days before or more than 60 days after the 2018 Annual Meeting date, notice, to be timely, must be delivered not earlier than the close of business on the 120</w:t>
      </w:r>
      <w:r>
        <w:rPr>
          <w:rFonts w:ascii="Arial" w:hAnsi="Arial" w:cs="Arial"/>
          <w:vertAlign w:val="superscript"/>
        </w:rPr>
        <w:t>th</w:t>
      </w:r>
      <w:r>
        <w:rPr>
          <w:rFonts w:ascii="Arial" w:hAnsi="Arial" w:cs="Arial"/>
        </w:rPr>
        <w:t xml:space="preserve"> day and not later than the close of business on the later of (i) the 90</w:t>
      </w:r>
      <w:r>
        <w:rPr>
          <w:rFonts w:ascii="Arial" w:hAnsi="Arial" w:cs="Arial"/>
          <w:vertAlign w:val="superscript"/>
        </w:rPr>
        <w:t>th</w:t>
      </w:r>
      <w:r>
        <w:rPr>
          <w:rFonts w:ascii="Arial" w:hAnsi="Arial" w:cs="Arial"/>
        </w:rPr>
        <w:t xml:space="preserve"> day prior to the 2019 Annual Meeting or (ii) the 7</w:t>
      </w:r>
      <w:r>
        <w:rPr>
          <w:rFonts w:ascii="Arial" w:hAnsi="Arial" w:cs="Arial"/>
          <w:vertAlign w:val="superscript"/>
        </w:rPr>
        <w:t>th</w:t>
      </w:r>
      <w:r>
        <w:rPr>
          <w:rFonts w:ascii="Arial" w:hAnsi="Arial" w:cs="Arial"/>
        </w:rPr>
        <w:t xml:space="preserve"> day following the day on which public announcement of the date of such meeting is first made.</w:t>
      </w:r>
    </w:p>
    <w:p w:rsidR="00376768" w:rsidRDefault="00EC2B72">
      <w:pPr>
        <w:spacing w:before="160"/>
        <w:ind w:firstLine="360"/>
        <w:jc w:val="both"/>
        <w:rPr>
          <w:rFonts w:ascii="Arial" w:hAnsi="Arial" w:cs="Arial"/>
          <w:b/>
          <w:bCs/>
        </w:rPr>
      </w:pPr>
      <w:r>
        <w:rPr>
          <w:rFonts w:ascii="Arial" w:hAnsi="Arial" w:cs="Arial"/>
          <w:b/>
          <w:bCs/>
        </w:rPr>
        <w:t>A copy of our Annual Report on Form 10-K for the fiscal year ended December 31, 2017 is available to shareholders. A shareholder may obtain a copy of such Annual Report, including the financial statements and the financial statement schedules, free of charge on our website at www.lbfoster.com or by writing to the Investor Relations Department, L.B. Foster Company, 415 Holiday Drive, Pittsburgh, PA 15220 (a copy of any exhibits thereto will be provided upon payment of a reasonable charge limited to our cost of providing such exhibits).</w:t>
      </w:r>
    </w:p>
    <w:p w:rsidR="00376768" w:rsidRDefault="00EC2B72">
      <w:pPr>
        <w:spacing w:before="160"/>
        <w:ind w:firstLine="360"/>
        <w:jc w:val="both"/>
        <w:rPr>
          <w:rFonts w:ascii="Arial" w:hAnsi="Arial" w:cs="Arial"/>
        </w:rPr>
      </w:pPr>
      <w:r>
        <w:rPr>
          <w:rFonts w:ascii="Arial" w:hAnsi="Arial" w:cs="Arial"/>
        </w:rPr>
        <w:t>The SEC has adopted rules that permit companies and intermediaries such as brokers to satisfy delivery requirements for proxy statements with respect to two or more shareholders sharing the same address with the same last name by delivering a single proxy statement addressed to those shareholders. This process, which is commonly referred to as “</w:t>
      </w:r>
      <w:proofErr w:type="spellStart"/>
      <w:r>
        <w:rPr>
          <w:rFonts w:ascii="Arial" w:hAnsi="Arial" w:cs="Arial"/>
        </w:rPr>
        <w:t>householding</w:t>
      </w:r>
      <w:proofErr w:type="spellEnd"/>
      <w:r>
        <w:rPr>
          <w:rFonts w:ascii="Arial" w:hAnsi="Arial" w:cs="Arial"/>
        </w:rPr>
        <w:t xml:space="preserve">,” is intended to provide extra convenience for shareholders and cost savings for companies. Some brokers household proxy materials, delivering a single proxy statement to multiple shareholders sharing an address unless contrary instructions have been received from the affected shareholders. Once shareholders have received notice from their broker that materials will be sent in the </w:t>
      </w:r>
      <w:proofErr w:type="spellStart"/>
      <w:r>
        <w:rPr>
          <w:rFonts w:ascii="Arial" w:hAnsi="Arial" w:cs="Arial"/>
        </w:rPr>
        <w:t>householding</w:t>
      </w:r>
      <w:proofErr w:type="spellEnd"/>
      <w:r>
        <w:rPr>
          <w:rFonts w:ascii="Arial" w:hAnsi="Arial" w:cs="Arial"/>
        </w:rPr>
        <w:t xml:space="preserve"> manner to the shareholder’s address, </w:t>
      </w:r>
      <w:proofErr w:type="spellStart"/>
      <w:r>
        <w:rPr>
          <w:rFonts w:ascii="Arial" w:hAnsi="Arial" w:cs="Arial"/>
        </w:rPr>
        <w:t>householding</w:t>
      </w:r>
      <w:proofErr w:type="spellEnd"/>
      <w:r>
        <w:rPr>
          <w:rFonts w:ascii="Arial" w:hAnsi="Arial" w:cs="Arial"/>
        </w:rPr>
        <w:t xml:space="preserve"> will continue until otherwise notified or until the shareholder revokes such consent.</w:t>
      </w:r>
    </w:p>
    <w:p w:rsidR="00376768" w:rsidRDefault="00EC2B72">
      <w:pPr>
        <w:spacing w:before="160"/>
        <w:ind w:firstLine="360"/>
        <w:jc w:val="both"/>
        <w:rPr>
          <w:rFonts w:ascii="Arial" w:hAnsi="Arial" w:cs="Arial"/>
        </w:rPr>
      </w:pPr>
      <w:r>
        <w:rPr>
          <w:rFonts w:ascii="Arial" w:hAnsi="Arial" w:cs="Arial"/>
        </w:rPr>
        <w:t xml:space="preserve">If, at any time, shareholders wish to begin, or no longer wish to participate in </w:t>
      </w:r>
      <w:proofErr w:type="spellStart"/>
      <w:r>
        <w:rPr>
          <w:rFonts w:ascii="Arial" w:hAnsi="Arial" w:cs="Arial"/>
        </w:rPr>
        <w:t>householding</w:t>
      </w:r>
      <w:proofErr w:type="spellEnd"/>
      <w:r>
        <w:rPr>
          <w:rFonts w:ascii="Arial" w:hAnsi="Arial" w:cs="Arial"/>
        </w:rPr>
        <w:t xml:space="preserve">, they should notify their broker if shares are held in a brokerage account. Shareholders of record may request to begin or discontinue </w:t>
      </w:r>
      <w:proofErr w:type="spellStart"/>
      <w:r>
        <w:rPr>
          <w:rFonts w:ascii="Arial" w:hAnsi="Arial" w:cs="Arial"/>
        </w:rPr>
        <w:t>householding</w:t>
      </w:r>
      <w:proofErr w:type="spellEnd"/>
      <w:r>
        <w:rPr>
          <w:rFonts w:ascii="Arial" w:hAnsi="Arial" w:cs="Arial"/>
        </w:rPr>
        <w:t xml:space="preserve"> in the future by contacting our transfer agent, </w:t>
      </w:r>
      <w:proofErr w:type="spellStart"/>
      <w:r>
        <w:rPr>
          <w:rFonts w:ascii="Arial" w:hAnsi="Arial" w:cs="Arial"/>
        </w:rPr>
        <w:t>Broadridge</w:t>
      </w:r>
      <w:proofErr w:type="spellEnd"/>
      <w:r>
        <w:rPr>
          <w:rFonts w:ascii="Arial" w:hAnsi="Arial" w:cs="Arial"/>
        </w:rPr>
        <w:t xml:space="preserve">, at 1-866-540-7095, by mail to </w:t>
      </w:r>
      <w:proofErr w:type="spellStart"/>
      <w:r>
        <w:rPr>
          <w:rFonts w:ascii="Arial" w:hAnsi="Arial" w:cs="Arial"/>
        </w:rPr>
        <w:t>Broadridge</w:t>
      </w:r>
      <w:proofErr w:type="spellEnd"/>
      <w:r>
        <w:rPr>
          <w:rFonts w:ascii="Arial" w:hAnsi="Arial" w:cs="Arial"/>
        </w:rPr>
        <w:t xml:space="preserve">; ATTN: </w:t>
      </w:r>
      <w:proofErr w:type="spellStart"/>
      <w:r>
        <w:rPr>
          <w:rFonts w:ascii="Arial" w:hAnsi="Arial" w:cs="Arial"/>
        </w:rPr>
        <w:t>Householding</w:t>
      </w:r>
      <w:proofErr w:type="spellEnd"/>
      <w:r>
        <w:rPr>
          <w:rFonts w:ascii="Arial" w:hAnsi="Arial" w:cs="Arial"/>
        </w:rPr>
        <w:t xml:space="preserve"> Department; 51 Mercedes Way, Edgewood, NY 11717. Upon written or oral request, a separate copy of the Annual Report or Proxy Statement, as applicable, will be sent to a shareholder at a shared address to which a single copy of the documents was delivered. Any such request should be addressed to: Investor Relations Dept., L.B. Foster Company, </w:t>
      </w:r>
      <w:proofErr w:type="gramStart"/>
      <w:r>
        <w:rPr>
          <w:rFonts w:ascii="Arial" w:hAnsi="Arial" w:cs="Arial"/>
        </w:rPr>
        <w:t>415</w:t>
      </w:r>
      <w:proofErr w:type="gramEnd"/>
      <w:r>
        <w:rPr>
          <w:rFonts w:ascii="Arial" w:hAnsi="Arial" w:cs="Arial"/>
        </w:rPr>
        <w:t xml:space="preserve"> Holiday Drive, Pittsburgh, PA 15220, or may be made by calling the Company at (412) 928-3417.</w:t>
      </w:r>
    </w:p>
    <w:p w:rsidR="00376768" w:rsidRDefault="00EC2B72">
      <w:pPr>
        <w:spacing w:before="160"/>
        <w:rPr>
          <w:rFonts w:ascii="Arial" w:hAnsi="Arial" w:cs="Arial"/>
        </w:rPr>
      </w:pPr>
      <w:r>
        <w:rPr>
          <w:rFonts w:ascii="Arial" w:hAnsi="Arial" w:cs="Arial"/>
        </w:rPr>
        <w:t>Pittsburgh, Pennsylvania</w:t>
      </w:r>
      <w:r>
        <w:rPr>
          <w:rFonts w:ascii="Arial" w:hAnsi="Arial" w:cs="Arial"/>
        </w:rPr>
        <w:br/>
        <w:t>April 12, 2018</w:t>
      </w:r>
    </w:p>
    <w:p w:rsidR="00376768" w:rsidRDefault="00EC2B72">
      <w:pPr>
        <w:jc w:val="center"/>
        <w:rPr>
          <w:rFonts w:ascii="Arial" w:hAnsi="Arial" w:cs="Arial"/>
          <w:b/>
          <w:bCs/>
        </w:rPr>
      </w:pPr>
      <w:r>
        <w:rPr>
          <w:rFonts w:ascii="Arial" w:hAnsi="Arial" w:cs="Arial"/>
          <w:b/>
          <w:bCs/>
        </w:rPr>
        <w:br w:type="page"/>
      </w:r>
      <w:r>
        <w:rPr>
          <w:rFonts w:ascii="Arial" w:hAnsi="Arial" w:cs="Arial"/>
          <w:b/>
          <w:bCs/>
        </w:rPr>
        <w:lastRenderedPageBreak/>
        <w:t>L. B. F</w:t>
      </w:r>
      <w:bookmarkStart w:id="48" w:name="a048_v1"/>
      <w:bookmarkEnd w:id="48"/>
      <w:r>
        <w:rPr>
          <w:rFonts w:ascii="Arial" w:hAnsi="Arial" w:cs="Arial"/>
          <w:b/>
          <w:bCs/>
        </w:rPr>
        <w:t>OSTER COMPANY</w:t>
      </w:r>
      <w:r>
        <w:rPr>
          <w:rFonts w:ascii="Arial" w:hAnsi="Arial" w:cs="Arial"/>
          <w:b/>
          <w:bCs/>
        </w:rPr>
        <w:br/>
        <w:t>2006 OMNIBUS INCENTIVE PLAN</w:t>
      </w:r>
      <w:r>
        <w:rPr>
          <w:rFonts w:ascii="Arial" w:hAnsi="Arial" w:cs="Arial"/>
          <w:b/>
          <w:bCs/>
        </w:rPr>
        <w:br/>
      </w:r>
      <w:proofErr w:type="gramStart"/>
      <w:r>
        <w:rPr>
          <w:rFonts w:ascii="Arial" w:hAnsi="Arial" w:cs="Arial"/>
          <w:b/>
          <w:bCs/>
        </w:rPr>
        <w:t>As</w:t>
      </w:r>
      <w:proofErr w:type="gramEnd"/>
      <w:r>
        <w:rPr>
          <w:rFonts w:ascii="Arial" w:hAnsi="Arial" w:cs="Arial"/>
          <w:b/>
          <w:bCs/>
        </w:rPr>
        <w:t xml:space="preserve"> Amended and Restated on May 24, 2018</w:t>
      </w:r>
    </w:p>
    <w:p w:rsidR="00376768" w:rsidRDefault="00EC2B72">
      <w:pPr>
        <w:spacing w:before="160"/>
        <w:jc w:val="center"/>
        <w:rPr>
          <w:rFonts w:ascii="Arial" w:hAnsi="Arial" w:cs="Arial"/>
          <w:b/>
          <w:bCs/>
        </w:rPr>
      </w:pPr>
      <w:r>
        <w:rPr>
          <w:rFonts w:ascii="Arial" w:hAnsi="Arial" w:cs="Arial"/>
          <w:b/>
          <w:bCs/>
        </w:rPr>
        <w:t>ARTICLE I</w:t>
      </w:r>
    </w:p>
    <w:p w:rsidR="00376768" w:rsidRDefault="00EC2B72">
      <w:pPr>
        <w:spacing w:before="160"/>
        <w:jc w:val="center"/>
        <w:rPr>
          <w:rFonts w:ascii="Arial" w:hAnsi="Arial" w:cs="Arial"/>
          <w:b/>
          <w:bCs/>
        </w:rPr>
      </w:pPr>
      <w:r>
        <w:rPr>
          <w:rFonts w:ascii="Arial" w:hAnsi="Arial" w:cs="Arial"/>
          <w:b/>
          <w:bCs/>
        </w:rPr>
        <w:t>PURPOSE, EFFECTIVE DATE AND AVAILABLE SHARES</w:t>
      </w:r>
    </w:p>
    <w:p w:rsidR="00376768" w:rsidRDefault="00EC2B72">
      <w:pPr>
        <w:spacing w:before="160"/>
        <w:jc w:val="both"/>
        <w:rPr>
          <w:rFonts w:ascii="Arial" w:hAnsi="Arial" w:cs="Arial"/>
        </w:rPr>
      </w:pPr>
      <w:r>
        <w:rPr>
          <w:rFonts w:ascii="Arial" w:hAnsi="Arial" w:cs="Arial"/>
        </w:rPr>
        <w:t>1.1</w:t>
      </w:r>
      <w:r>
        <w:rPr>
          <w:rFonts w:ascii="Arial" w:hAnsi="Arial" w:cs="Arial"/>
        </w:rPr>
        <w:tab/>
      </w:r>
      <w:r>
        <w:rPr>
          <w:rFonts w:ascii="Arial" w:hAnsi="Arial" w:cs="Arial"/>
          <w:u w:val="single"/>
        </w:rPr>
        <w:t>Purpose</w:t>
      </w:r>
      <w:r>
        <w:rPr>
          <w:rFonts w:ascii="Arial" w:hAnsi="Arial" w:cs="Arial"/>
        </w:rPr>
        <w:t>.   The purpose of this Plan is intended to advance the interests of L. B. Foster Company and its shareholders by providing equity and financial incentives for Key Personnel and Directors of the Company and any Subsidiary, thereby promoting the Company’s long-term growth and financial success by (i) attracting and retaining personnel and Directors of outstanding ability, (ii) strengthening the Company’s capability to develop, maintain and direct a competent management team, (iii) motivating Officers to achieve long-range performance goals and objectives, (iv) providing incentive compensation opportunities competitive with those of other companies, and (v) providing incentives that align with the interests of the shareholders of the Company.</w:t>
      </w:r>
    </w:p>
    <w:p w:rsidR="00376768" w:rsidRDefault="00EC2B72">
      <w:pPr>
        <w:spacing w:before="160"/>
        <w:jc w:val="both"/>
        <w:rPr>
          <w:rFonts w:ascii="Arial" w:hAnsi="Arial" w:cs="Arial"/>
        </w:rPr>
      </w:pPr>
      <w:r>
        <w:rPr>
          <w:rFonts w:ascii="Arial" w:hAnsi="Arial" w:cs="Arial"/>
        </w:rPr>
        <w:t xml:space="preserve">1.2 </w:t>
      </w:r>
      <w:r>
        <w:rPr>
          <w:rFonts w:ascii="Arial" w:hAnsi="Arial" w:cs="Arial"/>
        </w:rPr>
        <w:tab/>
      </w:r>
      <w:r>
        <w:rPr>
          <w:rFonts w:ascii="Arial" w:hAnsi="Arial" w:cs="Arial"/>
          <w:u w:val="single"/>
        </w:rPr>
        <w:t>Effective Date and Expiration of Plan</w:t>
      </w:r>
      <w:r>
        <w:rPr>
          <w:rFonts w:ascii="Arial" w:hAnsi="Arial" w:cs="Arial"/>
        </w:rPr>
        <w:t xml:space="preserve">. The Board originally adopted this Plan effective as of March 31, 2006, and this Plan was amended and restated upon approval by the shareholders of the Company on May 18, 2011 and May 25, 2016. This Plan, as amended and restated as of May 24, 2018, shall be effective upon its approval by the Company’s shareholders at its Annual Meeting of Shareholders to be held on May 24, 2018 (or, if the vote on this Plan is postponed, such other date on which a shareholders’ meeting to vote to approve this Plan occurs). If this Plan, as amended and restated, is not so approved, then this Plan, as in effect immediately prior to such Annual Meeting, shall remain in effect. Unless terminated earlier by the Board pursuant to Section 10.3, no Award shall be made pursuant to this Plan more than 10 years after the date on which this amended and restated Plan is last approved by the shareholders of the Company, but Awards made prior to such date will continue in effect thereafter subject to the terms thereof and of this Plan. </w:t>
      </w:r>
    </w:p>
    <w:p w:rsidR="00376768" w:rsidRDefault="00EC2B72">
      <w:pPr>
        <w:spacing w:before="160"/>
        <w:rPr>
          <w:rFonts w:ascii="Arial" w:hAnsi="Arial" w:cs="Arial"/>
        </w:rPr>
      </w:pPr>
      <w:r>
        <w:rPr>
          <w:rFonts w:ascii="Arial" w:hAnsi="Arial" w:cs="Arial"/>
        </w:rPr>
        <w:t xml:space="preserve">1.3 </w:t>
      </w:r>
      <w:r>
        <w:rPr>
          <w:rFonts w:ascii="Arial" w:hAnsi="Arial" w:cs="Arial"/>
        </w:rPr>
        <w:tab/>
      </w:r>
      <w:r>
        <w:rPr>
          <w:rFonts w:ascii="Arial" w:hAnsi="Arial" w:cs="Arial"/>
          <w:u w:val="single"/>
        </w:rPr>
        <w:t>Shares Available Under the Plan</w:t>
      </w:r>
      <w:r>
        <w:rPr>
          <w:rFonts w:ascii="Arial" w:hAnsi="Arial" w:cs="Arial"/>
        </w:rPr>
        <w:t xml:space="preserve">. </w:t>
      </w:r>
    </w:p>
    <w:p w:rsidR="00376768" w:rsidRDefault="00EC2B72">
      <w:pPr>
        <w:spacing w:before="160"/>
        <w:ind w:firstLine="720"/>
        <w:jc w:val="both"/>
        <w:rPr>
          <w:rFonts w:ascii="Arial" w:hAnsi="Arial" w:cs="Arial"/>
        </w:rPr>
      </w:pPr>
      <w:r>
        <w:rPr>
          <w:rFonts w:ascii="Arial" w:hAnsi="Arial" w:cs="Arial"/>
        </w:rPr>
        <w:t xml:space="preserve">(a) </w:t>
      </w:r>
      <w:r>
        <w:rPr>
          <w:rFonts w:ascii="Arial" w:hAnsi="Arial" w:cs="Arial"/>
        </w:rPr>
        <w:tab/>
        <w:t>Stock to be issued under the Plan may be authorized but unissued shares of Stock or previously-issued shares of Stock which have been reacquired by the Company and are held in its treasury.</w:t>
      </w:r>
    </w:p>
    <w:p w:rsidR="00376768" w:rsidRDefault="00EC2B72">
      <w:pPr>
        <w:spacing w:before="160"/>
        <w:ind w:firstLine="720"/>
        <w:jc w:val="both"/>
        <w:rPr>
          <w:rFonts w:ascii="Arial" w:hAnsi="Arial" w:cs="Arial"/>
        </w:rPr>
      </w:pPr>
      <w:r>
        <w:rPr>
          <w:rFonts w:ascii="Arial" w:hAnsi="Arial" w:cs="Arial"/>
        </w:rPr>
        <w:t xml:space="preserve">(b) </w:t>
      </w:r>
      <w:r>
        <w:rPr>
          <w:rFonts w:ascii="Arial" w:hAnsi="Arial" w:cs="Arial"/>
        </w:rPr>
        <w:tab/>
        <w:t xml:space="preserve">Subject to adjustment under Section 10.6, no more than 2,058,000 shares of Stock shall be issuable under the Plan. The aggregate number of shares of Stock that may be issued under the Plan through Incentive Stock Options shall be 2,058,000 shares of Stock (subject to adjustment pursuant to Section 10.6). </w:t>
      </w:r>
    </w:p>
    <w:p w:rsidR="00376768" w:rsidRDefault="00EC2B72">
      <w:pPr>
        <w:spacing w:before="160"/>
        <w:ind w:firstLine="720"/>
        <w:jc w:val="both"/>
        <w:rPr>
          <w:rFonts w:ascii="Arial" w:hAnsi="Arial" w:cs="Arial"/>
        </w:rPr>
      </w:pPr>
      <w:r>
        <w:rPr>
          <w:rFonts w:ascii="Arial" w:hAnsi="Arial" w:cs="Arial"/>
        </w:rPr>
        <w:t xml:space="preserve">(c) </w:t>
      </w:r>
      <w:r>
        <w:rPr>
          <w:rFonts w:ascii="Arial" w:hAnsi="Arial" w:cs="Arial"/>
        </w:rPr>
        <w:tab/>
        <w:t xml:space="preserve">To the extent necessary to qualify for the exception under Section 162(m) of the Code for “performance-based compensation” prior to the repeal of such exception for tax years after 2017, and subject to adjustment under Section 10.6, no Participant may be granted under this Plan (i) Options or Stock Appreciation Rights for more than 300,000 shares of Stock in any one fiscal year of the Company, (ii) Performance Grants (payable in Stock) and intended to be performance-based compensation under Section 162(m) of the Code for more than 150,000 shares of Stock (measured on a target award level on the grant date) in any one fiscal year of the Company and (iii) Performance Grants (payable in cash) and intended to be performance-based compensation under Section 162(m) of the Code for more than $5,000,000 (measured on a target award level on the grant date) in any one fiscal year of the Company. The foregoing limitations shall be subject to adjustment as provided in Section 10.6, but only to the extent that any such adjustment will not affect the status of (i) any Award intended to qualify as performance-based compensation under Section 162(m) or (ii) any Award intended to comply with Section 409A or an exception thereto. </w:t>
      </w:r>
    </w:p>
    <w:p w:rsidR="00376768" w:rsidRDefault="00EC2B72">
      <w:pPr>
        <w:spacing w:before="160"/>
        <w:ind w:firstLine="720"/>
        <w:jc w:val="both"/>
        <w:rPr>
          <w:rFonts w:ascii="Arial" w:hAnsi="Arial" w:cs="Arial"/>
        </w:rPr>
      </w:pPr>
      <w:r>
        <w:rPr>
          <w:rFonts w:ascii="Arial" w:hAnsi="Arial" w:cs="Arial"/>
        </w:rPr>
        <w:t xml:space="preserve">(d) </w:t>
      </w:r>
      <w:r>
        <w:rPr>
          <w:rFonts w:ascii="Arial" w:hAnsi="Arial" w:cs="Arial"/>
        </w:rPr>
        <w:tab/>
        <w:t xml:space="preserve">Stock covered by an Award granted under this Plan shall not be counted as used unless and until it is actually issued and delivered to a Participant. If (i) an Award lapses, expires, terminates, or is cancelled without the shares of Stock underlying the Award being issued (or any portion thereof), (ii) it is determined during or at the conclusion of the term of an Award that all or some portion of the shares of Stock underlying the Award may not be issued on the basis that the conditions for such issuance were or will not be satisfied, (iii) any Award (or portion thereof) is settled for cash, (iv) shares of Stock to be issued pursuant to an Award are Forfeited, or (v) shares of Stock are issued pursuant to any Award and the Company subsequently reacquires such shares pursuant to rights reserved upon the issuance of such shares, then, in all such cases, such shares of Stock shall be re-credited to the Plan’s reserve (in the same amount as such shares depleted the reserve); provided, however, that shares of Stock re-credited pursuant to the Plan pursuant to clause (v) may not increase the number of shares which may be issued pursuant to Incentive Stock Options. </w:t>
      </w:r>
    </w:p>
    <w:p w:rsidR="00376768" w:rsidRDefault="00EC2B72">
      <w:pPr>
        <w:spacing w:before="160"/>
        <w:ind w:firstLine="720"/>
        <w:jc w:val="both"/>
        <w:rPr>
          <w:rFonts w:ascii="Arial" w:hAnsi="Arial" w:cs="Arial"/>
        </w:rPr>
      </w:pPr>
      <w:r>
        <w:rPr>
          <w:rFonts w:ascii="Arial" w:hAnsi="Arial" w:cs="Arial"/>
        </w:rPr>
        <w:t xml:space="preserve">(e) </w:t>
      </w:r>
      <w:r>
        <w:rPr>
          <w:rFonts w:ascii="Arial" w:hAnsi="Arial" w:cs="Arial"/>
        </w:rPr>
        <w:tab/>
        <w:t xml:space="preserve">Notwithstanding the foregoing, shares of Stock relating to each of the following shall be considered issued or transferred and shall not become available again for issuance under this Plan: shares of Stock (i) delivered or otherwise used in payment of the exercise price of an Option or base price of a SAR, as applicable; (ii) delivered to or withheld by the Company to satisfy Federal, state or local tax withholding obligations; (iii) purchased by the Company </w:t>
      </w:r>
      <w:r>
        <w:rPr>
          <w:rFonts w:ascii="Arial" w:hAnsi="Arial" w:cs="Arial"/>
        </w:rPr>
        <w:lastRenderedPageBreak/>
        <w:t>using proceeds from Option exercises; and (iv) not issued or delivered as a result of a net settlement of an outstanding Option or SAR.</w:t>
      </w:r>
    </w:p>
    <w:p w:rsidR="00376768" w:rsidRDefault="00EC2B72">
      <w:pPr>
        <w:spacing w:before="160"/>
        <w:ind w:firstLine="720"/>
        <w:jc w:val="both"/>
        <w:rPr>
          <w:rFonts w:ascii="Arial" w:hAnsi="Arial" w:cs="Arial"/>
        </w:rPr>
      </w:pPr>
      <w:r>
        <w:rPr>
          <w:rFonts w:ascii="Arial" w:hAnsi="Arial" w:cs="Arial"/>
        </w:rPr>
        <w:t>(f)</w:t>
      </w:r>
      <w:r>
        <w:rPr>
          <w:rFonts w:ascii="Arial" w:hAnsi="Arial" w:cs="Arial"/>
        </w:rPr>
        <w:tab/>
        <w:t>If, under this Plan, a Participant has elected to give up the right to receive compensation in exchange for shares of Stock based on Fair Market Value, such shares of Stock shall not count against the aggregate plan limit described in Section 1.3(b). Shares of Stock issued under Awards granted in assumption, substitution or exchange for previously granted awards of a company acquired by the Company or its Subsidiaries (“Substitute Awards”) shall not reduce the shares of Stock available under this Plan, and available shares under a shareholder approved plan of an acquired company (as appropriately adjusted to reflect the transaction) may be used for Awards under this Plan and shall not reduce this Plan’s share reserve (unless otherwise required by any applicable stock exchange listing requirements).</w:t>
      </w:r>
    </w:p>
    <w:p w:rsidR="00376768" w:rsidRDefault="00EC2B72">
      <w:pPr>
        <w:spacing w:before="160"/>
        <w:ind w:firstLine="720"/>
        <w:jc w:val="both"/>
        <w:rPr>
          <w:rFonts w:ascii="Arial" w:hAnsi="Arial" w:cs="Arial"/>
        </w:rPr>
      </w:pPr>
      <w:r>
        <w:rPr>
          <w:rFonts w:ascii="Arial" w:hAnsi="Arial" w:cs="Arial"/>
        </w:rPr>
        <w:t xml:space="preserve">(g) </w:t>
      </w:r>
      <w:r>
        <w:rPr>
          <w:rFonts w:ascii="Arial" w:hAnsi="Arial" w:cs="Arial"/>
        </w:rPr>
        <w:tab/>
        <w:t>Awards granted under this Plan to Participants shall be subject to a minimum vesting or performance period of one year. Notwithstanding the foregoing, (i) the Committee may, at its discretion, authorize acceleration of vesting of such Awards in the event of the Participant’s death, Disability or Retirement; (ii) the Committee may grant Awards without the above-described minimum vesting or performance period requirements with respect to Awards covering up to 5% of the aggregate number of shares of Stock authorized for issuance under this Plan and (iii) this limitation shall not apply to Substitute Awards or any other Awards granted in exchange for the surrender of, or substitution of, another company’s awards to its employees and directors.</w:t>
      </w:r>
    </w:p>
    <w:p w:rsidR="00376768" w:rsidRDefault="00EC2B72">
      <w:pPr>
        <w:spacing w:before="160"/>
        <w:jc w:val="center"/>
        <w:rPr>
          <w:rFonts w:ascii="Arial" w:hAnsi="Arial" w:cs="Arial"/>
          <w:b/>
          <w:bCs/>
        </w:rPr>
      </w:pPr>
      <w:r>
        <w:rPr>
          <w:rFonts w:ascii="Arial" w:hAnsi="Arial" w:cs="Arial"/>
          <w:b/>
          <w:bCs/>
        </w:rPr>
        <w:t>ARTICLE II</w:t>
      </w:r>
    </w:p>
    <w:p w:rsidR="00376768" w:rsidRDefault="00EC2B72">
      <w:pPr>
        <w:spacing w:before="160"/>
        <w:jc w:val="center"/>
        <w:rPr>
          <w:rFonts w:ascii="Arial" w:hAnsi="Arial" w:cs="Arial"/>
          <w:b/>
          <w:bCs/>
        </w:rPr>
      </w:pPr>
      <w:r>
        <w:rPr>
          <w:rFonts w:ascii="Arial" w:hAnsi="Arial" w:cs="Arial"/>
          <w:b/>
          <w:bCs/>
        </w:rPr>
        <w:t>DEFINITIONS</w:t>
      </w:r>
    </w:p>
    <w:p w:rsidR="00376768" w:rsidRDefault="00EC2B72">
      <w:pPr>
        <w:spacing w:before="160"/>
        <w:ind w:firstLine="720"/>
        <w:jc w:val="both"/>
        <w:rPr>
          <w:rFonts w:ascii="Arial" w:hAnsi="Arial" w:cs="Arial"/>
        </w:rPr>
      </w:pPr>
      <w:r>
        <w:rPr>
          <w:rFonts w:ascii="Arial" w:hAnsi="Arial" w:cs="Arial"/>
        </w:rPr>
        <w:t>As used in this Plan and except as otherwise specifically provided in an Award Agreement, the following terms shall have the meanings set forth below:</w:t>
      </w:r>
    </w:p>
    <w:p w:rsidR="00376768" w:rsidRDefault="00EC2B72">
      <w:pPr>
        <w:spacing w:before="160"/>
        <w:jc w:val="both"/>
        <w:rPr>
          <w:rFonts w:ascii="Arial" w:hAnsi="Arial" w:cs="Arial"/>
        </w:rPr>
      </w:pPr>
      <w:r>
        <w:rPr>
          <w:rFonts w:ascii="Arial" w:hAnsi="Arial" w:cs="Arial"/>
        </w:rPr>
        <w:t xml:space="preserve">2.1 </w:t>
      </w:r>
      <w:r>
        <w:rPr>
          <w:rFonts w:ascii="Arial" w:hAnsi="Arial" w:cs="Arial"/>
        </w:rPr>
        <w:tab/>
        <w:t>“10% Shareholder” means an Employee who, as of the date on which an Incentive Stock Option is granted to such Employee, owns more than ten percent (10%) of the total combined voting power of all classes of Stock then issued by the Company or a Subsidiary.</w:t>
      </w:r>
    </w:p>
    <w:p w:rsidR="00376768" w:rsidRDefault="00EC2B72">
      <w:pPr>
        <w:spacing w:before="160"/>
        <w:jc w:val="both"/>
        <w:rPr>
          <w:rFonts w:ascii="Arial" w:hAnsi="Arial" w:cs="Arial"/>
        </w:rPr>
      </w:pPr>
      <w:r>
        <w:rPr>
          <w:rFonts w:ascii="Arial" w:hAnsi="Arial" w:cs="Arial"/>
        </w:rPr>
        <w:t xml:space="preserve">2.2 </w:t>
      </w:r>
      <w:r>
        <w:rPr>
          <w:rFonts w:ascii="Arial" w:hAnsi="Arial" w:cs="Arial"/>
        </w:rPr>
        <w:tab/>
        <w:t xml:space="preserve">“Award” means, individually or collectively, a grant of an Option, Stock Appreciation Right, Performance Grant, Dividend or Dividend Equivalent Rights, Stock Award, Restricted Stock or Restricted Stock Unit Award, Cash Award, or Other Award that is valued in whole or in part by reference to, or otherwise based on, the Stock, performance goals or other factors, on a standalone, combination or tandem basis, as described in or granted under this Plan. </w:t>
      </w:r>
    </w:p>
    <w:p w:rsidR="00376768" w:rsidRDefault="00EC2B72">
      <w:pPr>
        <w:spacing w:before="160"/>
        <w:jc w:val="both"/>
        <w:rPr>
          <w:rFonts w:ascii="Arial" w:hAnsi="Arial" w:cs="Arial"/>
        </w:rPr>
      </w:pPr>
      <w:r>
        <w:rPr>
          <w:rFonts w:ascii="Arial" w:hAnsi="Arial" w:cs="Arial"/>
        </w:rPr>
        <w:t xml:space="preserve">2.3 </w:t>
      </w:r>
      <w:r>
        <w:rPr>
          <w:rFonts w:ascii="Arial" w:hAnsi="Arial" w:cs="Arial"/>
        </w:rPr>
        <w:tab/>
        <w:t>“Award Agreement” means the agreement or other writing (which may be framed as a plan, program or notification, and which may be in electronic format) that sets forth the terms and conditions of each Award under the Plan, including any amendment or modification thereof.</w:t>
      </w:r>
    </w:p>
    <w:p w:rsidR="00376768" w:rsidRDefault="00EC2B72">
      <w:pPr>
        <w:spacing w:before="160"/>
        <w:jc w:val="both"/>
        <w:rPr>
          <w:rFonts w:ascii="Arial" w:hAnsi="Arial" w:cs="Arial"/>
        </w:rPr>
      </w:pPr>
      <w:r>
        <w:rPr>
          <w:rFonts w:ascii="Arial" w:hAnsi="Arial" w:cs="Arial"/>
        </w:rPr>
        <w:t xml:space="preserve">2.4 </w:t>
      </w:r>
      <w:r>
        <w:rPr>
          <w:rFonts w:ascii="Arial" w:hAnsi="Arial" w:cs="Arial"/>
        </w:rPr>
        <w:tab/>
        <w:t>“Beneficial Owner” shall have the meaning ascribed to such term in Rule 13d-3 of the Exchange Act.</w:t>
      </w:r>
    </w:p>
    <w:p w:rsidR="00376768" w:rsidRDefault="00EC2B72">
      <w:pPr>
        <w:spacing w:before="160"/>
        <w:jc w:val="both"/>
        <w:rPr>
          <w:rFonts w:ascii="Arial" w:hAnsi="Arial" w:cs="Arial"/>
        </w:rPr>
      </w:pPr>
      <w:r>
        <w:rPr>
          <w:rFonts w:ascii="Arial" w:hAnsi="Arial" w:cs="Arial"/>
        </w:rPr>
        <w:t xml:space="preserve">2.5 </w:t>
      </w:r>
      <w:r>
        <w:rPr>
          <w:rFonts w:ascii="Arial" w:hAnsi="Arial" w:cs="Arial"/>
        </w:rPr>
        <w:tab/>
        <w:t>“Board” means the Board of Directors of the Company.</w:t>
      </w:r>
    </w:p>
    <w:p w:rsidR="00376768" w:rsidRDefault="00EC2B72">
      <w:pPr>
        <w:spacing w:before="160"/>
        <w:jc w:val="both"/>
        <w:rPr>
          <w:rFonts w:ascii="Arial" w:hAnsi="Arial" w:cs="Arial"/>
        </w:rPr>
      </w:pPr>
      <w:r>
        <w:rPr>
          <w:rFonts w:ascii="Arial" w:hAnsi="Arial" w:cs="Arial"/>
        </w:rPr>
        <w:t xml:space="preserve">2.6 </w:t>
      </w:r>
      <w:r>
        <w:rPr>
          <w:rFonts w:ascii="Arial" w:hAnsi="Arial" w:cs="Arial"/>
        </w:rPr>
        <w:tab/>
        <w:t>“Cash Award” has the meaning specified in Section 8.1.</w:t>
      </w:r>
    </w:p>
    <w:p w:rsidR="00376768" w:rsidRDefault="00EC2B72">
      <w:pPr>
        <w:spacing w:before="160"/>
        <w:jc w:val="both"/>
        <w:rPr>
          <w:rFonts w:ascii="Arial" w:hAnsi="Arial" w:cs="Arial"/>
        </w:rPr>
      </w:pPr>
      <w:r>
        <w:rPr>
          <w:rFonts w:ascii="Arial" w:hAnsi="Arial" w:cs="Arial"/>
        </w:rPr>
        <w:t xml:space="preserve">2.7 </w:t>
      </w:r>
      <w:r>
        <w:rPr>
          <w:rFonts w:ascii="Arial" w:hAnsi="Arial" w:cs="Arial"/>
        </w:rPr>
        <w:tab/>
        <w:t>“Change in Control” shall mean:</w:t>
      </w:r>
    </w:p>
    <w:p w:rsidR="00376768" w:rsidRDefault="00EC2B72">
      <w:pPr>
        <w:spacing w:before="160"/>
        <w:ind w:firstLine="720"/>
        <w:jc w:val="both"/>
        <w:rPr>
          <w:rFonts w:ascii="Arial" w:hAnsi="Arial" w:cs="Arial"/>
        </w:rPr>
      </w:pPr>
      <w:r>
        <w:rPr>
          <w:rFonts w:ascii="Arial" w:hAnsi="Arial" w:cs="Arial"/>
        </w:rPr>
        <w:t xml:space="preserve">(a) </w:t>
      </w:r>
      <w:r>
        <w:rPr>
          <w:rFonts w:ascii="Arial" w:hAnsi="Arial" w:cs="Arial"/>
        </w:rPr>
        <w:tab/>
        <w:t>the consummation of any merger, consolidation or business combination in which the shareholders of the Company immediately prior to the merger, consolidation or business combination do not own at least a majority of the outstanding equity interests of the surviving parent entity;</w:t>
      </w:r>
    </w:p>
    <w:p w:rsidR="00376768" w:rsidRDefault="00EC2B72">
      <w:pPr>
        <w:spacing w:before="160"/>
        <w:ind w:firstLine="720"/>
        <w:jc w:val="both"/>
        <w:rPr>
          <w:rFonts w:ascii="Arial" w:hAnsi="Arial" w:cs="Arial"/>
        </w:rPr>
      </w:pPr>
      <w:r>
        <w:rPr>
          <w:rFonts w:ascii="Arial" w:hAnsi="Arial" w:cs="Arial"/>
        </w:rPr>
        <w:t xml:space="preserve">(b) </w:t>
      </w:r>
      <w:r>
        <w:rPr>
          <w:rFonts w:ascii="Arial" w:hAnsi="Arial" w:cs="Arial"/>
        </w:rPr>
        <w:tab/>
      </w:r>
      <w:proofErr w:type="gramStart"/>
      <w:r>
        <w:rPr>
          <w:rFonts w:ascii="Arial" w:hAnsi="Arial" w:cs="Arial"/>
        </w:rPr>
        <w:t>the</w:t>
      </w:r>
      <w:proofErr w:type="gramEnd"/>
      <w:r>
        <w:rPr>
          <w:rFonts w:ascii="Arial" w:hAnsi="Arial" w:cs="Arial"/>
        </w:rPr>
        <w:t xml:space="preserve"> sale of all or substantially all of the Company’s and its Subsidiaries’ assets in a single transaction or a series of related transactions;</w:t>
      </w:r>
    </w:p>
    <w:p w:rsidR="00376768" w:rsidRDefault="00EC2B72">
      <w:pPr>
        <w:spacing w:before="160"/>
        <w:ind w:firstLine="720"/>
        <w:jc w:val="both"/>
        <w:rPr>
          <w:rFonts w:ascii="Arial" w:hAnsi="Arial" w:cs="Arial"/>
        </w:rPr>
      </w:pPr>
      <w:r>
        <w:rPr>
          <w:rFonts w:ascii="Arial" w:hAnsi="Arial" w:cs="Arial"/>
        </w:rPr>
        <w:t xml:space="preserve">(c) </w:t>
      </w:r>
      <w:r>
        <w:rPr>
          <w:rFonts w:ascii="Arial" w:hAnsi="Arial" w:cs="Arial"/>
        </w:rPr>
        <w:tab/>
        <w:t>the acquisition of beneficial ownership or control, directly or indirectly, through one transaction or a series of transactions (including, without limitation, power to vote) of a majority of the outstanding Stock of the Company by any “person” as such term is defined under sections 13(d) and 14(d) of the Exchange Act (but excluding the Company, any Subsidiary, any trustee or other fiduciary holding securities under an employee benefit plan of the Company, and any corporation or other entity owned, directly or indirectly, by the shareholders of the Company in substantially the same proportions as their ownership of shares of Stock); or</w:t>
      </w:r>
    </w:p>
    <w:p w:rsidR="00376768" w:rsidRDefault="00EC2B72">
      <w:pPr>
        <w:spacing w:before="160"/>
        <w:ind w:firstLine="720"/>
        <w:jc w:val="both"/>
        <w:rPr>
          <w:rFonts w:ascii="Arial" w:hAnsi="Arial" w:cs="Arial"/>
        </w:rPr>
      </w:pPr>
      <w:r>
        <w:rPr>
          <w:rFonts w:ascii="Arial" w:hAnsi="Arial" w:cs="Arial"/>
        </w:rPr>
        <w:t xml:space="preserve">(d) </w:t>
      </w:r>
      <w:r>
        <w:rPr>
          <w:rFonts w:ascii="Arial" w:hAnsi="Arial" w:cs="Arial"/>
        </w:rPr>
        <w:tab/>
        <w:t xml:space="preserve">a contested election of Directors, including with respect to Directors elected under any proxy access procedures included in the Company’s organizational documents, as a result of which or in connection with which the persons who were Directors of the Company before such election or nominees approved by the Board for election to the Board cease to constitute a majority of the Board. </w:t>
      </w:r>
    </w:p>
    <w:p w:rsidR="00376768" w:rsidRDefault="00EC2B72">
      <w:pPr>
        <w:spacing w:before="160"/>
        <w:jc w:val="both"/>
        <w:rPr>
          <w:rFonts w:ascii="Arial" w:hAnsi="Arial" w:cs="Arial"/>
        </w:rPr>
      </w:pPr>
      <w:r>
        <w:rPr>
          <w:rFonts w:ascii="Arial" w:hAnsi="Arial" w:cs="Arial"/>
        </w:rPr>
        <w:lastRenderedPageBreak/>
        <w:t>Provided, however, solely with respect to an Award that the Committee determines to be subject to Section 409A (and not excepted therefrom), and a Change in Control is a distribution event for purposes of an Award, the foregoing definition of Change in Control shall be interpreted, administered, limited and construed in a manner necessary to ensure that the occurrence of any such event shall result in a Change in Control only if such event qualifies as a change in the ownership or effective control of a corporation, or a change in the ownership of a substantial portion of the assets of a corporation, as applicable, within the meaning of Treasury Regulation Section 1.409A-3(i)(5).</w:t>
      </w:r>
    </w:p>
    <w:p w:rsidR="00376768" w:rsidRDefault="00EC2B72">
      <w:pPr>
        <w:spacing w:before="160"/>
        <w:jc w:val="both"/>
        <w:rPr>
          <w:rFonts w:ascii="Arial" w:hAnsi="Arial" w:cs="Arial"/>
        </w:rPr>
      </w:pPr>
      <w:r>
        <w:rPr>
          <w:rFonts w:ascii="Arial" w:hAnsi="Arial" w:cs="Arial"/>
        </w:rPr>
        <w:t xml:space="preserve">2.8 </w:t>
      </w:r>
      <w:r>
        <w:rPr>
          <w:rFonts w:ascii="Arial" w:hAnsi="Arial" w:cs="Arial"/>
        </w:rPr>
        <w:tab/>
        <w:t>“Code” means the Internal Revenue Code of 1986, as amended from time to time, and the regulations promulgated thereunder.</w:t>
      </w:r>
    </w:p>
    <w:p w:rsidR="00376768" w:rsidRDefault="00EC2B72">
      <w:pPr>
        <w:spacing w:before="160"/>
        <w:jc w:val="both"/>
        <w:rPr>
          <w:rFonts w:ascii="Arial" w:hAnsi="Arial" w:cs="Arial"/>
        </w:rPr>
      </w:pPr>
      <w:r>
        <w:rPr>
          <w:rFonts w:ascii="Arial" w:hAnsi="Arial" w:cs="Arial"/>
        </w:rPr>
        <w:t xml:space="preserve">2.9 </w:t>
      </w:r>
      <w:r>
        <w:rPr>
          <w:rFonts w:ascii="Arial" w:hAnsi="Arial" w:cs="Arial"/>
        </w:rPr>
        <w:tab/>
        <w:t>“Committee” means the Compensation Committee of the Board, or such other committee designated by the Board to administer this Plan. The Committee shall be appointed by the Board and, to the extent deemed appropriate by the Board, shall consist of two or more members of the Board, each of whom shall be (i) a “non-employee director” within the meaning of Rule 16b-3 under the Exchange Act and (ii) for remuneration that is payable under this Plan pursuant to a written binding contract in effect on November 2, 2017, an “outside director” as defined under §1.162-27(e)(3)(i) of the Code or any successor regulation. If the Board has not appointed a Committee, “Committee” shall mean the Board and all authority and responsibility assigned to the Committee under this Plan shall be exercised, if at all, by the Board. Notwithstanding, the Board may also exercise the authority of the Committee under this Plan (even if the Committee is so appointed by the Board).</w:t>
      </w:r>
    </w:p>
    <w:p w:rsidR="00376768" w:rsidRDefault="00EC2B72">
      <w:pPr>
        <w:spacing w:before="160"/>
        <w:jc w:val="both"/>
        <w:rPr>
          <w:rFonts w:ascii="Arial" w:hAnsi="Arial" w:cs="Arial"/>
        </w:rPr>
      </w:pPr>
      <w:r>
        <w:rPr>
          <w:rFonts w:ascii="Arial" w:hAnsi="Arial" w:cs="Arial"/>
        </w:rPr>
        <w:t xml:space="preserve">2.10 </w:t>
      </w:r>
      <w:r>
        <w:rPr>
          <w:rFonts w:ascii="Arial" w:hAnsi="Arial" w:cs="Arial"/>
        </w:rPr>
        <w:tab/>
        <w:t>“Company” means L. B. Foster Company, a Pennsylvania company and its successors and assigns.</w:t>
      </w:r>
    </w:p>
    <w:p w:rsidR="00376768" w:rsidRDefault="00EC2B72">
      <w:pPr>
        <w:spacing w:before="160"/>
        <w:jc w:val="both"/>
        <w:rPr>
          <w:rFonts w:ascii="Arial" w:hAnsi="Arial" w:cs="Arial"/>
        </w:rPr>
      </w:pPr>
      <w:r>
        <w:rPr>
          <w:rFonts w:ascii="Arial" w:hAnsi="Arial" w:cs="Arial"/>
        </w:rPr>
        <w:t xml:space="preserve">2.11 </w:t>
      </w:r>
      <w:r>
        <w:rPr>
          <w:rFonts w:ascii="Arial" w:hAnsi="Arial" w:cs="Arial"/>
        </w:rPr>
        <w:tab/>
        <w:t xml:space="preserve">“Director” means a director on the Board of the Company. </w:t>
      </w:r>
    </w:p>
    <w:p w:rsidR="00376768" w:rsidRDefault="00EC2B72">
      <w:pPr>
        <w:spacing w:before="160"/>
        <w:jc w:val="both"/>
        <w:rPr>
          <w:rFonts w:ascii="Arial" w:hAnsi="Arial" w:cs="Arial"/>
        </w:rPr>
      </w:pPr>
      <w:r>
        <w:rPr>
          <w:rFonts w:ascii="Arial" w:hAnsi="Arial" w:cs="Arial"/>
        </w:rPr>
        <w:t xml:space="preserve">2.12 </w:t>
      </w:r>
      <w:r>
        <w:rPr>
          <w:rFonts w:ascii="Arial" w:hAnsi="Arial" w:cs="Arial"/>
        </w:rPr>
        <w:tab/>
        <w:t xml:space="preserve">“Disability” means permanently and totally disabled as defined in Section 22(e)(3) of the Code (or any successor section); provided, however, if an Award is subject to Section 409A of the Code (and not excepted therefrom) and a Disability is a distribution event under Section 409A for purposes of the Award, the foregoing definition of Disability shall be interpreted, administered and construed in a manner necessary to ensure that the occurrence of any such event qualifies as a Disability within the meaning of Treas. Reg. § 1.409A-3(i)(4)(i). </w:t>
      </w:r>
    </w:p>
    <w:p w:rsidR="00376768" w:rsidRDefault="00EC2B72">
      <w:pPr>
        <w:spacing w:before="160"/>
        <w:jc w:val="both"/>
        <w:rPr>
          <w:rFonts w:ascii="Arial" w:hAnsi="Arial" w:cs="Arial"/>
        </w:rPr>
      </w:pPr>
      <w:r>
        <w:rPr>
          <w:rFonts w:ascii="Arial" w:hAnsi="Arial" w:cs="Arial"/>
        </w:rPr>
        <w:t xml:space="preserve">2.13 </w:t>
      </w:r>
      <w:r>
        <w:rPr>
          <w:rFonts w:ascii="Arial" w:hAnsi="Arial" w:cs="Arial"/>
        </w:rPr>
        <w:tab/>
        <w:t>“Dividend” or “Dividend Equivalent Rights” means the right to receive a payment, in cash or property, equal to the cash dividends or other distributions paid with respect to the Stock. No Dividends or Dividend Equivalents will vest and/or be paid unless and until the underlying Award vests and/or is earned in accordance with the terms of such Award.</w:t>
      </w:r>
    </w:p>
    <w:p w:rsidR="00376768" w:rsidRDefault="00EC2B72">
      <w:pPr>
        <w:spacing w:before="160"/>
        <w:jc w:val="both"/>
        <w:rPr>
          <w:rFonts w:ascii="Arial" w:hAnsi="Arial" w:cs="Arial"/>
        </w:rPr>
      </w:pPr>
      <w:r>
        <w:rPr>
          <w:rFonts w:ascii="Arial" w:hAnsi="Arial" w:cs="Arial"/>
        </w:rPr>
        <w:t xml:space="preserve">2.14 </w:t>
      </w:r>
      <w:r>
        <w:rPr>
          <w:rFonts w:ascii="Arial" w:hAnsi="Arial" w:cs="Arial"/>
        </w:rPr>
        <w:tab/>
        <w:t>“Employee” means an employee of the Company or any Subsidiary, including an employee who is an Officer or a Director, but excluding any person who is classified by the Company or a Subsidiary as a “contractor” or “consultant.” Directors who are not otherwise employed by the Company or any Subsidiary shall not be considered Employees under this Plan.</w:t>
      </w:r>
    </w:p>
    <w:p w:rsidR="00376768" w:rsidRDefault="00EC2B72">
      <w:pPr>
        <w:spacing w:before="160"/>
        <w:jc w:val="both"/>
        <w:rPr>
          <w:rFonts w:ascii="Arial" w:hAnsi="Arial" w:cs="Arial"/>
        </w:rPr>
      </w:pPr>
      <w:r>
        <w:rPr>
          <w:rFonts w:ascii="Arial" w:hAnsi="Arial" w:cs="Arial"/>
        </w:rPr>
        <w:t xml:space="preserve">2.15 </w:t>
      </w:r>
      <w:r>
        <w:rPr>
          <w:rFonts w:ascii="Arial" w:hAnsi="Arial" w:cs="Arial"/>
        </w:rPr>
        <w:tab/>
        <w:t>“Exchange Act” means the Securities Exchange Act of 1934, as amended, and the rules and regulations promulgated thereunder, as amended.</w:t>
      </w:r>
    </w:p>
    <w:p w:rsidR="00376768" w:rsidRDefault="00EC2B72">
      <w:pPr>
        <w:spacing w:before="160"/>
        <w:jc w:val="both"/>
        <w:rPr>
          <w:rFonts w:ascii="Arial" w:hAnsi="Arial" w:cs="Arial"/>
        </w:rPr>
      </w:pPr>
      <w:r>
        <w:rPr>
          <w:rFonts w:ascii="Arial" w:hAnsi="Arial" w:cs="Arial"/>
        </w:rPr>
        <w:t xml:space="preserve">2.16 </w:t>
      </w:r>
      <w:r>
        <w:rPr>
          <w:rFonts w:ascii="Arial" w:hAnsi="Arial" w:cs="Arial"/>
        </w:rPr>
        <w:tab/>
        <w:t>“Fair Market Value” means (i) with respect to the Stock, as of any date (a) if the Stock is listed on any established stock exchange, system or market that reports the closing sale price of the Stock, the closing sale price per share of the Stock as quoted on such exchange, system or market on such date or, if the Stock is not traded on such date, on the closest preceding date on which the Stock was traded or (b) if the closing sale price per share is not quoted on such exchange, system or market, the average of the closing bid and ask prices of the Stock on such date, or (c) in the absence of an established market for the Stock, as determined in good faith by the Committee or (ii) with respect to property other than the Stock, the value of such property as determined by the Committee in its sole discretion.</w:t>
      </w:r>
    </w:p>
    <w:p w:rsidR="00376768" w:rsidRDefault="00EC2B72">
      <w:pPr>
        <w:spacing w:before="160"/>
        <w:jc w:val="both"/>
        <w:rPr>
          <w:rFonts w:ascii="Arial" w:hAnsi="Arial" w:cs="Arial"/>
        </w:rPr>
      </w:pPr>
      <w:r>
        <w:rPr>
          <w:rFonts w:ascii="Arial" w:hAnsi="Arial" w:cs="Arial"/>
        </w:rPr>
        <w:t xml:space="preserve">2.17 </w:t>
      </w:r>
      <w:r>
        <w:rPr>
          <w:rFonts w:ascii="Arial" w:hAnsi="Arial" w:cs="Arial"/>
        </w:rPr>
        <w:tab/>
        <w:t>“Forfeit,” “Forfeiture,” or “Forfeited” means the loss by a Participant of any and all rights to an Award granted under this Plan (or any portion thereof), including the loss of any payment of compensation by the Company under this Plan or any Award granted thereunder.</w:t>
      </w:r>
    </w:p>
    <w:p w:rsidR="00376768" w:rsidRDefault="00EC2B72">
      <w:pPr>
        <w:spacing w:before="160"/>
        <w:jc w:val="both"/>
        <w:rPr>
          <w:rFonts w:ascii="Arial" w:hAnsi="Arial" w:cs="Arial"/>
        </w:rPr>
      </w:pPr>
      <w:r>
        <w:rPr>
          <w:rFonts w:ascii="Arial" w:hAnsi="Arial" w:cs="Arial"/>
        </w:rPr>
        <w:t xml:space="preserve">2.18 </w:t>
      </w:r>
      <w:r>
        <w:rPr>
          <w:rFonts w:ascii="Arial" w:hAnsi="Arial" w:cs="Arial"/>
        </w:rPr>
        <w:tab/>
        <w:t xml:space="preserve">“Key Personnel” means Officers, Employees, consultants and independent contractors of the Company or any Subsidiary who occupy responsible executive, professional, sales or administrative positions or who otherwise have the capacity to contribute to the success of the Company, but does not include Non-Employee Directors. Key Personnel also may include individuals who have accepted an offer of employment, but who have not yet commenced employment, with the Company or any Subsidiary. </w:t>
      </w:r>
    </w:p>
    <w:p w:rsidR="00376768" w:rsidRDefault="00EC2B72">
      <w:pPr>
        <w:spacing w:before="160"/>
        <w:jc w:val="both"/>
        <w:rPr>
          <w:rFonts w:ascii="Arial" w:hAnsi="Arial" w:cs="Arial"/>
        </w:rPr>
      </w:pPr>
      <w:r>
        <w:rPr>
          <w:rFonts w:ascii="Arial" w:hAnsi="Arial" w:cs="Arial"/>
        </w:rPr>
        <w:t xml:space="preserve">2.19 </w:t>
      </w:r>
      <w:r>
        <w:rPr>
          <w:rFonts w:ascii="Arial" w:hAnsi="Arial" w:cs="Arial"/>
        </w:rPr>
        <w:tab/>
        <w:t xml:space="preserve">“Incentive Stock Option” or “ISO” means an option to purchase Stock, which is intended to meet the requirements of an incentive stock option under Section 422 of the Code (or any successor Section). </w:t>
      </w:r>
    </w:p>
    <w:p w:rsidR="00376768" w:rsidRDefault="00EC2B72">
      <w:pPr>
        <w:spacing w:before="160"/>
        <w:jc w:val="both"/>
        <w:rPr>
          <w:rFonts w:ascii="Arial" w:hAnsi="Arial" w:cs="Arial"/>
        </w:rPr>
      </w:pPr>
      <w:proofErr w:type="gramStart"/>
      <w:r>
        <w:rPr>
          <w:rFonts w:ascii="Arial" w:hAnsi="Arial" w:cs="Arial"/>
        </w:rPr>
        <w:t xml:space="preserve">2.20 </w:t>
      </w:r>
      <w:r>
        <w:rPr>
          <w:rFonts w:ascii="Arial" w:hAnsi="Arial" w:cs="Arial"/>
        </w:rPr>
        <w:tab/>
        <w:t>“Non-Employee Director” means a Director on the Board who is not an Employee.</w:t>
      </w:r>
      <w:proofErr w:type="gramEnd"/>
    </w:p>
    <w:p w:rsidR="00376768" w:rsidRDefault="00EC2B72">
      <w:pPr>
        <w:spacing w:before="160"/>
        <w:jc w:val="both"/>
        <w:rPr>
          <w:rFonts w:ascii="Arial" w:hAnsi="Arial" w:cs="Arial"/>
        </w:rPr>
      </w:pPr>
      <w:r>
        <w:rPr>
          <w:rFonts w:ascii="Arial" w:hAnsi="Arial" w:cs="Arial"/>
        </w:rPr>
        <w:lastRenderedPageBreak/>
        <w:t xml:space="preserve">2.21 </w:t>
      </w:r>
      <w:r>
        <w:rPr>
          <w:rFonts w:ascii="Arial" w:hAnsi="Arial" w:cs="Arial"/>
        </w:rPr>
        <w:tab/>
        <w:t xml:space="preserve">“Nonqualified Stock Option” or “NQSO” means </w:t>
      </w:r>
      <w:proofErr w:type="gramStart"/>
      <w:r>
        <w:rPr>
          <w:rFonts w:ascii="Arial" w:hAnsi="Arial" w:cs="Arial"/>
        </w:rPr>
        <w:t>an</w:t>
      </w:r>
      <w:proofErr w:type="gramEnd"/>
      <w:r>
        <w:rPr>
          <w:rFonts w:ascii="Arial" w:hAnsi="Arial" w:cs="Arial"/>
        </w:rPr>
        <w:t xml:space="preserve"> Option to purchase Stock which is not intended to meet the requirements of an Incentive Stock Option under Section 422 of the Code (or any successor Section).</w:t>
      </w:r>
    </w:p>
    <w:p w:rsidR="00376768" w:rsidRDefault="00EC2B72">
      <w:pPr>
        <w:spacing w:before="160"/>
        <w:jc w:val="both"/>
        <w:rPr>
          <w:rFonts w:ascii="Arial" w:hAnsi="Arial" w:cs="Arial"/>
        </w:rPr>
      </w:pPr>
      <w:r>
        <w:rPr>
          <w:rFonts w:ascii="Arial" w:hAnsi="Arial" w:cs="Arial"/>
        </w:rPr>
        <w:t xml:space="preserve">2.22 </w:t>
      </w:r>
      <w:r>
        <w:rPr>
          <w:rFonts w:ascii="Arial" w:hAnsi="Arial" w:cs="Arial"/>
        </w:rPr>
        <w:tab/>
        <w:t>“Officer” means an officer of the Company or of a Subsidiary.</w:t>
      </w:r>
    </w:p>
    <w:p w:rsidR="00376768" w:rsidRDefault="00EC2B72">
      <w:pPr>
        <w:spacing w:before="160"/>
        <w:jc w:val="both"/>
        <w:rPr>
          <w:rFonts w:ascii="Arial" w:hAnsi="Arial" w:cs="Arial"/>
        </w:rPr>
      </w:pPr>
      <w:r>
        <w:rPr>
          <w:rFonts w:ascii="Arial" w:hAnsi="Arial" w:cs="Arial"/>
        </w:rPr>
        <w:t>2.23</w:t>
      </w:r>
      <w:r>
        <w:rPr>
          <w:rFonts w:ascii="Arial" w:hAnsi="Arial" w:cs="Arial"/>
        </w:rPr>
        <w:tab/>
        <w:t xml:space="preserve">”Option” means an Incentive Stock Option or a Nonqualified Stock Option. </w:t>
      </w:r>
    </w:p>
    <w:p w:rsidR="00376768" w:rsidRDefault="00EC2B72">
      <w:pPr>
        <w:spacing w:before="160"/>
        <w:jc w:val="both"/>
        <w:rPr>
          <w:rFonts w:ascii="Arial" w:hAnsi="Arial" w:cs="Arial"/>
        </w:rPr>
      </w:pPr>
      <w:r>
        <w:rPr>
          <w:rFonts w:ascii="Arial" w:hAnsi="Arial" w:cs="Arial"/>
        </w:rPr>
        <w:t>2.24</w:t>
      </w:r>
      <w:r>
        <w:rPr>
          <w:rFonts w:ascii="Arial" w:hAnsi="Arial" w:cs="Arial"/>
        </w:rPr>
        <w:tab/>
        <w:t xml:space="preserve">“Option Price” means the price at which the Stock may be purchased under an Option as provided in Section 4.4. </w:t>
      </w:r>
    </w:p>
    <w:p w:rsidR="00376768" w:rsidRDefault="00EC2B72">
      <w:pPr>
        <w:spacing w:before="160"/>
        <w:jc w:val="both"/>
        <w:rPr>
          <w:rFonts w:ascii="Arial" w:hAnsi="Arial" w:cs="Arial"/>
        </w:rPr>
      </w:pPr>
      <w:r>
        <w:rPr>
          <w:rFonts w:ascii="Arial" w:hAnsi="Arial" w:cs="Arial"/>
        </w:rPr>
        <w:t xml:space="preserve">2.25 </w:t>
      </w:r>
      <w:r>
        <w:rPr>
          <w:rFonts w:ascii="Arial" w:hAnsi="Arial" w:cs="Arial"/>
        </w:rPr>
        <w:tab/>
        <w:t>“Participant” means a person to whom an Award is made under this Plan.</w:t>
      </w:r>
    </w:p>
    <w:p w:rsidR="00376768" w:rsidRDefault="00EC2B72">
      <w:pPr>
        <w:spacing w:before="160"/>
        <w:jc w:val="both"/>
        <w:rPr>
          <w:rFonts w:ascii="Arial" w:hAnsi="Arial" w:cs="Arial"/>
        </w:rPr>
      </w:pPr>
      <w:r>
        <w:rPr>
          <w:rFonts w:ascii="Arial" w:hAnsi="Arial" w:cs="Arial"/>
        </w:rPr>
        <w:t xml:space="preserve">2.26 </w:t>
      </w:r>
      <w:r>
        <w:rPr>
          <w:rFonts w:ascii="Arial" w:hAnsi="Arial" w:cs="Arial"/>
        </w:rPr>
        <w:tab/>
        <w:t xml:space="preserve">“Performance Grant” means an Award subject, in part, to the terms, conditions and restrictions described in Article VI, pursuant to which the recipient may become entitled to receive cash, Stock or other securities, or any combination thereof. </w:t>
      </w:r>
    </w:p>
    <w:p w:rsidR="00376768" w:rsidRDefault="00EC2B72">
      <w:pPr>
        <w:spacing w:before="160"/>
        <w:jc w:val="both"/>
        <w:rPr>
          <w:rFonts w:ascii="Arial" w:hAnsi="Arial" w:cs="Arial"/>
        </w:rPr>
      </w:pPr>
      <w:r>
        <w:rPr>
          <w:rFonts w:ascii="Arial" w:hAnsi="Arial" w:cs="Arial"/>
        </w:rPr>
        <w:t xml:space="preserve">2.27 </w:t>
      </w:r>
      <w:r>
        <w:rPr>
          <w:rFonts w:ascii="Arial" w:hAnsi="Arial" w:cs="Arial"/>
        </w:rPr>
        <w:tab/>
        <w:t>“Performance Grant Agreement” means a written agreement entered into between the Company and a Participant setting forth the terms and conditions of a Performance Grant awarded pursuant to Article VI.</w:t>
      </w:r>
    </w:p>
    <w:p w:rsidR="00376768" w:rsidRDefault="00EC2B72">
      <w:pPr>
        <w:spacing w:before="160"/>
        <w:jc w:val="both"/>
        <w:rPr>
          <w:rFonts w:ascii="Arial" w:hAnsi="Arial" w:cs="Arial"/>
        </w:rPr>
      </w:pPr>
      <w:r>
        <w:rPr>
          <w:rFonts w:ascii="Arial" w:hAnsi="Arial" w:cs="Arial"/>
        </w:rPr>
        <w:t xml:space="preserve">2.28 </w:t>
      </w:r>
      <w:r>
        <w:rPr>
          <w:rFonts w:ascii="Arial" w:hAnsi="Arial" w:cs="Arial"/>
        </w:rPr>
        <w:tab/>
        <w:t xml:space="preserve">“Permitted Transferee” means (i) any person defined as an employee in the Instructions to the Registration Statement on Form S-8 promulgated by the Securities and Exchange Commission, as such Form may be amended from time to time, or any successor form, which persons include, as of the date of adoption of this Plan by the Board, executors, administrators or beneficiaries of the estates of deceased Participants, guardians or members of a committee for incompetent former Participants, or similar persons duly authorized by law to administer the estate or assets of former Participants, and (ii) Participants’ family members who acquire Awards from the Participant other than for value, including through a gift or a domestic relations order. For purposes of this definition, “family member” includes any child, stepchild, grandchild, parent, stepparent, grandparent, spouse, former spouse, sibling, niece, nephew, mother-in-law, father-in-law, son-in-law, daughter-in-law, brother-in-law, or sister-in-law, including adoptive relationships, any person sharing the Participant’s household (other than a tenant or employee), a trust in which these persons have more than fifty percent of the beneficial interest, a foundation in which these persons (or the Participant) control the management of assets, and any other entity in which these persons (or the Participant) own more than fifty percent of the voting interests. For purposes of this definition, unless otherwise determined by the rules and regulations of the Securities and Exchange Commission, neither (i) a transfer under a domestic relations order in settlement of marital property rights nor (ii) a transfer to an entity in which more than fifty percent of the voting or beneficial interests are owned by family members (or the Participant) in exchange for an interest in that entity is considered a transfer for “value.” </w:t>
      </w:r>
    </w:p>
    <w:p w:rsidR="00376768" w:rsidRDefault="00EC2B72">
      <w:pPr>
        <w:spacing w:before="160"/>
        <w:jc w:val="both"/>
        <w:rPr>
          <w:rFonts w:ascii="Arial" w:hAnsi="Arial" w:cs="Arial"/>
        </w:rPr>
      </w:pPr>
      <w:r>
        <w:rPr>
          <w:rFonts w:ascii="Arial" w:hAnsi="Arial" w:cs="Arial"/>
        </w:rPr>
        <w:t xml:space="preserve">2.29 </w:t>
      </w:r>
      <w:r>
        <w:rPr>
          <w:rFonts w:ascii="Arial" w:hAnsi="Arial" w:cs="Arial"/>
        </w:rPr>
        <w:tab/>
        <w:t>“Personal Representative” means the person or persons who, upon the death, Disability or incompetency of a Participant, shall have acquired, by will or by the laws of descent and distribution or by other legal proceedings, the right to exercise an Option or to take other action on behalf of the Participant with respect to any Award theretofore granted to such Participant.</w:t>
      </w:r>
    </w:p>
    <w:p w:rsidR="00376768" w:rsidRDefault="00EC2B72">
      <w:pPr>
        <w:spacing w:before="160"/>
        <w:jc w:val="both"/>
        <w:rPr>
          <w:rFonts w:ascii="Arial" w:hAnsi="Arial" w:cs="Arial"/>
        </w:rPr>
      </w:pPr>
      <w:r>
        <w:rPr>
          <w:rFonts w:ascii="Arial" w:hAnsi="Arial" w:cs="Arial"/>
        </w:rPr>
        <w:t xml:space="preserve">2.30 </w:t>
      </w:r>
      <w:r>
        <w:rPr>
          <w:rFonts w:ascii="Arial" w:hAnsi="Arial" w:cs="Arial"/>
        </w:rPr>
        <w:tab/>
        <w:t>“Plan” means this 2006 Omnibus Incentive Plan, as amended and restated. Notwithstanding the foregoing, or anything contained herein to the contrary, for any Qualified Performance-Based Awards, with respect to any remuneration to be paid under a written binding contract that was in effect on November 2, 2017, such remuneration shall be governed by the terms and conditions of the Plan and any underlying documents that combined constitute the applicable written binding contract relating to such compensation that were in effect on November 2, 2017.</w:t>
      </w:r>
    </w:p>
    <w:p w:rsidR="00376768" w:rsidRDefault="00EC2B72">
      <w:pPr>
        <w:spacing w:before="160"/>
        <w:jc w:val="both"/>
        <w:rPr>
          <w:rFonts w:ascii="Arial" w:hAnsi="Arial" w:cs="Arial"/>
        </w:rPr>
      </w:pPr>
      <w:r>
        <w:rPr>
          <w:rFonts w:ascii="Arial" w:hAnsi="Arial" w:cs="Arial"/>
        </w:rPr>
        <w:t xml:space="preserve">2.31 </w:t>
      </w:r>
      <w:r>
        <w:rPr>
          <w:rFonts w:ascii="Arial" w:hAnsi="Arial" w:cs="Arial"/>
        </w:rPr>
        <w:tab/>
        <w:t xml:space="preserve">“Qualified Performance-Based Award” means any Award of a Performance Grant, or portion of such Award, to a Participant who is determined by the Committee likely to be a “covered employee” (as defined in Section 162(m)) and that is intended to satisfy the requirements for “qualified performance-based compensation” under Section 162(m). Effective for tax years after 2017, the qualified performance-based compensation exception from Section 162(m)’s tax deduction limitation was repealed; provided, however, that notwithstanding such repeal, the performance-based compensation exception under Section 162(m) of the Code is subject to a transition rule for remuneration that is payable pursuant to a written binding contract that was in effect on November 2, 2017 and is not materially modified thereafter. For the avoidance of doubt, it is the intent of the Company to preserve the performance-based compensation exception that is or may be available for Awards payable under this Plan to the maximum extent permitted by law. </w:t>
      </w:r>
    </w:p>
    <w:p w:rsidR="00376768" w:rsidRDefault="00EC2B72">
      <w:pPr>
        <w:spacing w:before="160"/>
        <w:jc w:val="both"/>
        <w:rPr>
          <w:rFonts w:ascii="Arial" w:hAnsi="Arial" w:cs="Arial"/>
        </w:rPr>
      </w:pPr>
      <w:r>
        <w:rPr>
          <w:rFonts w:ascii="Arial" w:hAnsi="Arial" w:cs="Arial"/>
        </w:rPr>
        <w:t xml:space="preserve">2.32 </w:t>
      </w:r>
      <w:r>
        <w:rPr>
          <w:rFonts w:ascii="Arial" w:hAnsi="Arial" w:cs="Arial"/>
        </w:rPr>
        <w:tab/>
        <w:t>“Restriction Period” means the length of time established relative to an Award during which time the Participant cannot sell, assign, transfer, pledge, or otherwise encumber the Stock or Stock Units subject to such Award, and at the end of which the Participant obtains an unrestricted right to such Stock or Stock Units.</w:t>
      </w:r>
    </w:p>
    <w:p w:rsidR="00376768" w:rsidRDefault="00EC2B72">
      <w:pPr>
        <w:spacing w:before="160"/>
        <w:jc w:val="both"/>
        <w:rPr>
          <w:rFonts w:ascii="Arial" w:hAnsi="Arial" w:cs="Arial"/>
        </w:rPr>
      </w:pPr>
      <w:r>
        <w:rPr>
          <w:rFonts w:ascii="Arial" w:hAnsi="Arial" w:cs="Arial"/>
        </w:rPr>
        <w:t xml:space="preserve">2.33 </w:t>
      </w:r>
      <w:r>
        <w:rPr>
          <w:rFonts w:ascii="Arial" w:hAnsi="Arial" w:cs="Arial"/>
        </w:rPr>
        <w:tab/>
        <w:t xml:space="preserve">“Restricted Stock Agreement” means a written agreement entered into between the Company and a Participant setting forth the terms and conditions of a Restricted Stock Award or Restricted Stock Unit Award made pursuant to Article V. </w:t>
      </w:r>
    </w:p>
    <w:p w:rsidR="00376768" w:rsidRDefault="00EC2B72">
      <w:pPr>
        <w:spacing w:before="160"/>
        <w:rPr>
          <w:rFonts w:ascii="Arial" w:hAnsi="Arial" w:cs="Arial"/>
        </w:rPr>
      </w:pPr>
      <w:r>
        <w:rPr>
          <w:rFonts w:ascii="Arial" w:hAnsi="Arial" w:cs="Arial"/>
        </w:rPr>
        <w:lastRenderedPageBreak/>
        <w:t xml:space="preserve">2.34 </w:t>
      </w:r>
      <w:r>
        <w:rPr>
          <w:rFonts w:ascii="Arial" w:hAnsi="Arial" w:cs="Arial"/>
        </w:rPr>
        <w:tab/>
        <w:t>“Restricted Stock Award” means a grant of Stock to a Participant pursuant to Article V.</w:t>
      </w:r>
    </w:p>
    <w:p w:rsidR="00376768" w:rsidRDefault="00EC2B72">
      <w:pPr>
        <w:spacing w:before="160"/>
        <w:jc w:val="both"/>
        <w:rPr>
          <w:rFonts w:ascii="Arial" w:hAnsi="Arial" w:cs="Arial"/>
        </w:rPr>
      </w:pPr>
      <w:r>
        <w:rPr>
          <w:rFonts w:ascii="Arial" w:hAnsi="Arial" w:cs="Arial"/>
        </w:rPr>
        <w:t xml:space="preserve">2.35 </w:t>
      </w:r>
      <w:r>
        <w:rPr>
          <w:rFonts w:ascii="Arial" w:hAnsi="Arial" w:cs="Arial"/>
        </w:rPr>
        <w:tab/>
        <w:t>“Restricted Stock Unit Award” means an Award of the right to receive either (as the Committee determines) Stock or cash or other property, including an Award, equal to the Fair Market Value of a share of Stock on the date of settlement of the Award subject, in part, to the terms, conditions and restrictions described in Article V hereof and as set forth in any Restricted Stock Agreement.</w:t>
      </w:r>
    </w:p>
    <w:p w:rsidR="00376768" w:rsidRDefault="00EC2B72">
      <w:pPr>
        <w:spacing w:before="160"/>
        <w:jc w:val="both"/>
        <w:rPr>
          <w:rFonts w:ascii="Arial" w:hAnsi="Arial" w:cs="Arial"/>
        </w:rPr>
      </w:pPr>
      <w:r>
        <w:rPr>
          <w:rFonts w:ascii="Arial" w:hAnsi="Arial" w:cs="Arial"/>
        </w:rPr>
        <w:t xml:space="preserve">2.36 </w:t>
      </w:r>
      <w:r>
        <w:rPr>
          <w:rFonts w:ascii="Arial" w:hAnsi="Arial" w:cs="Arial"/>
        </w:rPr>
        <w:tab/>
        <w:t>“Retirement” or “Retire” means retirement of an Employee or other service provider as determined and authorized by the Committee.</w:t>
      </w:r>
    </w:p>
    <w:p w:rsidR="00376768" w:rsidRDefault="00EC2B72">
      <w:pPr>
        <w:spacing w:before="160"/>
        <w:jc w:val="both"/>
        <w:rPr>
          <w:rFonts w:ascii="Arial" w:hAnsi="Arial" w:cs="Arial"/>
        </w:rPr>
      </w:pPr>
      <w:r>
        <w:rPr>
          <w:rFonts w:ascii="Arial" w:hAnsi="Arial" w:cs="Arial"/>
        </w:rPr>
        <w:t xml:space="preserve">2.37 </w:t>
      </w:r>
      <w:r>
        <w:rPr>
          <w:rFonts w:ascii="Arial" w:hAnsi="Arial" w:cs="Arial"/>
        </w:rPr>
        <w:tab/>
        <w:t>“Section 162(m)” shall mean Section 162(m) of the Code, the regulations and other binding guidance promulgated thereunder.</w:t>
      </w:r>
    </w:p>
    <w:p w:rsidR="00376768" w:rsidRDefault="00EC2B72">
      <w:pPr>
        <w:spacing w:before="160"/>
        <w:jc w:val="both"/>
        <w:rPr>
          <w:rFonts w:ascii="Arial" w:hAnsi="Arial" w:cs="Arial"/>
        </w:rPr>
      </w:pPr>
      <w:r>
        <w:rPr>
          <w:rFonts w:ascii="Arial" w:hAnsi="Arial" w:cs="Arial"/>
        </w:rPr>
        <w:t xml:space="preserve">2.38 </w:t>
      </w:r>
      <w:r>
        <w:rPr>
          <w:rFonts w:ascii="Arial" w:hAnsi="Arial" w:cs="Arial"/>
        </w:rPr>
        <w:tab/>
        <w:t xml:space="preserve">“Section 409A” shall mean Section 409A of the Code, the regulations and other binding guidance promulgated thereunder. </w:t>
      </w:r>
    </w:p>
    <w:p w:rsidR="00376768" w:rsidRDefault="00EC2B72">
      <w:pPr>
        <w:spacing w:before="160"/>
        <w:jc w:val="both"/>
        <w:rPr>
          <w:rFonts w:ascii="Arial" w:hAnsi="Arial" w:cs="Arial"/>
        </w:rPr>
      </w:pPr>
      <w:r>
        <w:rPr>
          <w:rFonts w:ascii="Arial" w:hAnsi="Arial" w:cs="Arial"/>
        </w:rPr>
        <w:t xml:space="preserve">2.39 </w:t>
      </w:r>
      <w:r>
        <w:rPr>
          <w:rFonts w:ascii="Arial" w:hAnsi="Arial" w:cs="Arial"/>
        </w:rPr>
        <w:tab/>
        <w:t xml:space="preserve">“Separation from Service” and “Separate from Service” shall mean the Participant’s death, retirement or other termination of employment or service with the Company (including all persons treated as a single employer under Section 414(b) and 414(c) of the Code) that constitutes a “separation from service” within the meaning of Section 409A. For purposes hereof, the determination of controlled group members shall be made pursuant to the provisions of Section 414(b) and 414(c) of the Code; provided that the language “at least 50 percent” shall be used instead of “at least 80 percent” in each place it appears in Section 1563(a)(1),(2) and (3) of the Code and Treas. Reg. § 1.414(c)-2; provided, further, where legitimate business reasons exist (within the meaning of Treas. Reg. § 1.409A-1(h)(3)), the language “at least 20 percent” shall be used instead of “at least 80 percent” in each place it appears. Whether a Participant has </w:t>
      </w:r>
      <w:proofErr w:type="gramStart"/>
      <w:r>
        <w:rPr>
          <w:rFonts w:ascii="Arial" w:hAnsi="Arial" w:cs="Arial"/>
        </w:rPr>
        <w:t>Separated</w:t>
      </w:r>
      <w:proofErr w:type="gramEnd"/>
      <w:r>
        <w:rPr>
          <w:rFonts w:ascii="Arial" w:hAnsi="Arial" w:cs="Arial"/>
        </w:rPr>
        <w:t xml:space="preserve"> from Service will be determined based on all of the facts and circumstances and, to the extent applicable to any Award or benefit, in accordance with the guidance issued under Section 409A. A Participant will be presumed to have experienced a Separation from Service when the level of bona fide services performed permanently decreases to a level less than twenty percent (20%) of the average level of bona fide services performed during the immediately preceding thirty-six (36) month period or such other applicable period as provided by Section 409A.</w:t>
      </w:r>
    </w:p>
    <w:p w:rsidR="00376768" w:rsidRDefault="00EC2B72">
      <w:pPr>
        <w:spacing w:before="160"/>
        <w:jc w:val="both"/>
        <w:rPr>
          <w:rFonts w:ascii="Arial" w:hAnsi="Arial" w:cs="Arial"/>
        </w:rPr>
      </w:pPr>
      <w:r>
        <w:rPr>
          <w:rFonts w:ascii="Arial" w:hAnsi="Arial" w:cs="Arial"/>
        </w:rPr>
        <w:t xml:space="preserve">2.40 </w:t>
      </w:r>
      <w:r>
        <w:rPr>
          <w:rFonts w:ascii="Arial" w:hAnsi="Arial" w:cs="Arial"/>
        </w:rPr>
        <w:tab/>
        <w:t xml:space="preserve">“Specified Employee” means a key employee (as defined in Section 416(i) of the Code without regard to paragraph (5) thereof) of the Company as determined in accordance with Section 409A and the procedures established by the Company. </w:t>
      </w:r>
    </w:p>
    <w:p w:rsidR="00376768" w:rsidRDefault="00EC2B72">
      <w:pPr>
        <w:spacing w:before="160"/>
        <w:jc w:val="both"/>
        <w:rPr>
          <w:rFonts w:ascii="Arial" w:hAnsi="Arial" w:cs="Arial"/>
        </w:rPr>
      </w:pPr>
      <w:r>
        <w:rPr>
          <w:rFonts w:ascii="Arial" w:hAnsi="Arial" w:cs="Arial"/>
        </w:rPr>
        <w:t xml:space="preserve">2.41 </w:t>
      </w:r>
      <w:r>
        <w:rPr>
          <w:rFonts w:ascii="Arial" w:hAnsi="Arial" w:cs="Arial"/>
        </w:rPr>
        <w:tab/>
        <w:t>“Stock” means the common stock, par value $.01, of the Company, or any other security into which the Stock shall have been converted in accordance with Section 10.6 of this Plan.</w:t>
      </w:r>
    </w:p>
    <w:p w:rsidR="00376768" w:rsidRDefault="00EC2B72">
      <w:pPr>
        <w:spacing w:before="160"/>
        <w:jc w:val="both"/>
        <w:rPr>
          <w:rFonts w:ascii="Arial" w:hAnsi="Arial" w:cs="Arial"/>
        </w:rPr>
      </w:pPr>
      <w:r>
        <w:rPr>
          <w:rFonts w:ascii="Arial" w:hAnsi="Arial" w:cs="Arial"/>
        </w:rPr>
        <w:t xml:space="preserve">2.42 </w:t>
      </w:r>
      <w:r>
        <w:rPr>
          <w:rFonts w:ascii="Arial" w:hAnsi="Arial" w:cs="Arial"/>
        </w:rPr>
        <w:tab/>
        <w:t>“Stock Appreciation Right” or “SAR” means an Award pursuant to which the Participant will receive a payment in cash or Stock, or any combination thereof, equal to the appreciation of the Fair Market Value of a share of Stock from the date of grant to the date of exercise.</w:t>
      </w:r>
    </w:p>
    <w:p w:rsidR="00376768" w:rsidRDefault="00EC2B72">
      <w:pPr>
        <w:spacing w:before="160"/>
        <w:jc w:val="both"/>
        <w:rPr>
          <w:rFonts w:ascii="Arial" w:hAnsi="Arial" w:cs="Arial"/>
        </w:rPr>
      </w:pPr>
      <w:r>
        <w:rPr>
          <w:rFonts w:ascii="Arial" w:hAnsi="Arial" w:cs="Arial"/>
        </w:rPr>
        <w:t xml:space="preserve">2.43 </w:t>
      </w:r>
      <w:r>
        <w:rPr>
          <w:rFonts w:ascii="Arial" w:hAnsi="Arial" w:cs="Arial"/>
        </w:rPr>
        <w:tab/>
        <w:t>“Stock Award” has the meaning specified in Section 8.1.</w:t>
      </w:r>
    </w:p>
    <w:p w:rsidR="00376768" w:rsidRDefault="00EC2B72">
      <w:pPr>
        <w:spacing w:before="160"/>
        <w:jc w:val="both"/>
        <w:rPr>
          <w:rFonts w:ascii="Arial" w:hAnsi="Arial" w:cs="Arial"/>
        </w:rPr>
      </w:pPr>
      <w:r>
        <w:rPr>
          <w:rFonts w:ascii="Arial" w:hAnsi="Arial" w:cs="Arial"/>
        </w:rPr>
        <w:t xml:space="preserve">2.44 </w:t>
      </w:r>
      <w:r>
        <w:rPr>
          <w:rFonts w:ascii="Arial" w:hAnsi="Arial" w:cs="Arial"/>
        </w:rPr>
        <w:tab/>
        <w:t xml:space="preserve">“Stock Option Agreement” means a written agreement entered into between the Company and a Participant setting forth the terms and conditions of an Option awarded pursuant to Article IV. </w:t>
      </w:r>
    </w:p>
    <w:p w:rsidR="00376768" w:rsidRDefault="00EC2B72">
      <w:pPr>
        <w:spacing w:before="160"/>
        <w:jc w:val="both"/>
        <w:rPr>
          <w:rFonts w:ascii="Arial" w:hAnsi="Arial" w:cs="Arial"/>
        </w:rPr>
      </w:pPr>
      <w:r>
        <w:rPr>
          <w:rFonts w:ascii="Arial" w:hAnsi="Arial" w:cs="Arial"/>
        </w:rPr>
        <w:t xml:space="preserve">2.45 </w:t>
      </w:r>
      <w:r>
        <w:rPr>
          <w:rFonts w:ascii="Arial" w:hAnsi="Arial" w:cs="Arial"/>
        </w:rPr>
        <w:tab/>
        <w:t>“Stock Unit” means a right to receive a payment (in cash, shares of Stock, or a combination of both, as contemplated in the Award Agreement) valued in relation to a designated dollar value or the Fair Market Value of one or more shares of Stock.</w:t>
      </w:r>
    </w:p>
    <w:p w:rsidR="00376768" w:rsidRDefault="00EC2B72">
      <w:pPr>
        <w:spacing w:before="160"/>
        <w:jc w:val="both"/>
        <w:rPr>
          <w:rFonts w:ascii="Arial" w:hAnsi="Arial" w:cs="Arial"/>
        </w:rPr>
      </w:pPr>
      <w:r>
        <w:rPr>
          <w:rFonts w:ascii="Arial" w:hAnsi="Arial" w:cs="Arial"/>
        </w:rPr>
        <w:t xml:space="preserve">2.46 </w:t>
      </w:r>
      <w:r>
        <w:rPr>
          <w:rFonts w:ascii="Arial" w:hAnsi="Arial" w:cs="Arial"/>
        </w:rPr>
        <w:tab/>
        <w:t>“Subsidiary” means a corporation or other business entity, domestic or foreign, the majority of the voting stock or other voting interests in which is owned directly or indirectly by the Company, including a Subsidiary which becomes such after adoption of this Plan.</w:t>
      </w:r>
    </w:p>
    <w:p w:rsidR="00376768" w:rsidRDefault="00EC2B72">
      <w:pPr>
        <w:spacing w:before="160"/>
        <w:jc w:val="both"/>
        <w:rPr>
          <w:rFonts w:ascii="Arial" w:hAnsi="Arial" w:cs="Arial"/>
        </w:rPr>
      </w:pPr>
      <w:r>
        <w:rPr>
          <w:rFonts w:ascii="Arial" w:hAnsi="Arial" w:cs="Arial"/>
        </w:rPr>
        <w:t xml:space="preserve">2.47 </w:t>
      </w:r>
      <w:r>
        <w:rPr>
          <w:rFonts w:ascii="Arial" w:hAnsi="Arial" w:cs="Arial"/>
        </w:rPr>
        <w:tab/>
        <w:t xml:space="preserve">“Termination for Cause” or “Cause” means: (i) willful neglect of or failure to properly perform the duties and responsibilities assigned to the Participant or the failure of the Participant to comply with proper directives of such Participant’s supervisor(s) or the Board, as applicable; (ii) an act of dishonesty or disloyalty relating to the business and affairs of the Company and/or its Subsidiaries or their relationship with their respective Employees, suppliers, customers or others having a business relationship with the Company and/or its Subsidiaries; (iii) conviction of a crime involving fraud, theft, intentional dishonesty, moral turpitude or similar conduct; (iv) misappropriation of any funds or property of the Company and/or its Subsidiaries or actions which are inconsistent with the Participant’s fiduciary obligations to the Company and/or its Subsidiaries; (v) failure to abide by any of the Company’s and/or its Subsidiaries’ policies; or (vi) any other action or course of conduct by the Participant which has or reasonably can be expected to have an adverse effect on the Company and its Subsidiaries, and their respective businesses or affairs. The Committee shall make all </w:t>
      </w:r>
      <w:r>
        <w:rPr>
          <w:rFonts w:ascii="Arial" w:hAnsi="Arial" w:cs="Arial"/>
        </w:rPr>
        <w:lastRenderedPageBreak/>
        <w:t xml:space="preserve">determinations of whether a Participant was </w:t>
      </w:r>
      <w:proofErr w:type="gramStart"/>
      <w:r>
        <w:rPr>
          <w:rFonts w:ascii="Arial" w:hAnsi="Arial" w:cs="Arial"/>
        </w:rPr>
        <w:t>Terminated</w:t>
      </w:r>
      <w:proofErr w:type="gramEnd"/>
      <w:r>
        <w:rPr>
          <w:rFonts w:ascii="Arial" w:hAnsi="Arial" w:cs="Arial"/>
        </w:rPr>
        <w:t xml:space="preserve"> for Cause and any such determination shall be final and conclusive.</w:t>
      </w:r>
    </w:p>
    <w:p w:rsidR="00376768" w:rsidRDefault="00EC2B72">
      <w:pPr>
        <w:spacing w:before="160"/>
        <w:jc w:val="center"/>
        <w:rPr>
          <w:rFonts w:ascii="Arial" w:hAnsi="Arial" w:cs="Arial"/>
          <w:b/>
          <w:bCs/>
        </w:rPr>
      </w:pPr>
      <w:r>
        <w:rPr>
          <w:rFonts w:ascii="Arial" w:hAnsi="Arial" w:cs="Arial"/>
          <w:b/>
          <w:bCs/>
        </w:rPr>
        <w:t>ARTICLE III</w:t>
      </w:r>
    </w:p>
    <w:p w:rsidR="00376768" w:rsidRDefault="00EC2B72">
      <w:pPr>
        <w:spacing w:before="160"/>
        <w:jc w:val="center"/>
        <w:rPr>
          <w:rFonts w:ascii="Arial" w:hAnsi="Arial" w:cs="Arial"/>
          <w:b/>
          <w:bCs/>
        </w:rPr>
      </w:pPr>
      <w:r>
        <w:rPr>
          <w:rFonts w:ascii="Arial" w:hAnsi="Arial" w:cs="Arial"/>
          <w:b/>
          <w:bCs/>
        </w:rPr>
        <w:t>ADMINISTRATION</w:t>
      </w:r>
    </w:p>
    <w:p w:rsidR="00376768" w:rsidRDefault="00EC2B72">
      <w:pPr>
        <w:spacing w:before="160"/>
        <w:rPr>
          <w:rFonts w:ascii="Arial" w:hAnsi="Arial" w:cs="Arial"/>
        </w:rPr>
      </w:pPr>
      <w:r>
        <w:rPr>
          <w:rFonts w:ascii="Arial" w:hAnsi="Arial" w:cs="Arial"/>
        </w:rPr>
        <w:t>3.1</w:t>
      </w:r>
      <w:r>
        <w:rPr>
          <w:rFonts w:ascii="Arial" w:hAnsi="Arial" w:cs="Arial"/>
        </w:rPr>
        <w:tab/>
        <w:t xml:space="preserve"> </w:t>
      </w:r>
      <w:r>
        <w:rPr>
          <w:rFonts w:ascii="Arial" w:hAnsi="Arial" w:cs="Arial"/>
          <w:u w:val="single"/>
        </w:rPr>
        <w:t>Committee to Administer</w:t>
      </w:r>
      <w:r>
        <w:rPr>
          <w:rFonts w:ascii="Arial" w:hAnsi="Arial" w:cs="Arial"/>
        </w:rPr>
        <w:t>.</w:t>
      </w:r>
    </w:p>
    <w:p w:rsidR="00376768" w:rsidRDefault="00EC2B72">
      <w:pPr>
        <w:spacing w:before="160"/>
        <w:ind w:firstLine="720"/>
        <w:jc w:val="both"/>
        <w:rPr>
          <w:rFonts w:ascii="Arial" w:hAnsi="Arial" w:cs="Arial"/>
        </w:rPr>
      </w:pPr>
      <w:r>
        <w:rPr>
          <w:rFonts w:ascii="Arial" w:hAnsi="Arial" w:cs="Arial"/>
        </w:rPr>
        <w:t>(a)</w:t>
      </w:r>
      <w:r>
        <w:rPr>
          <w:rFonts w:ascii="Arial" w:hAnsi="Arial" w:cs="Arial"/>
        </w:rPr>
        <w:tab/>
        <w:t>The Plan shall be administered by the Committee. The Committee shall have full and exclusive authority and discretion to interpret, construe and administer the Plan, including, but not limited to, the authority to:</w:t>
      </w:r>
    </w:p>
    <w:p w:rsidR="00376768" w:rsidRDefault="00EC2B72">
      <w:pPr>
        <w:spacing w:before="160"/>
        <w:ind w:left="720" w:firstLine="720"/>
        <w:jc w:val="both"/>
        <w:rPr>
          <w:rFonts w:ascii="Arial" w:hAnsi="Arial" w:cs="Arial"/>
        </w:rPr>
      </w:pPr>
      <w:r>
        <w:rPr>
          <w:rFonts w:ascii="Arial" w:hAnsi="Arial" w:cs="Arial"/>
        </w:rPr>
        <w:t>(i)</w:t>
      </w:r>
      <w:r>
        <w:rPr>
          <w:rFonts w:ascii="Arial" w:hAnsi="Arial" w:cs="Arial"/>
        </w:rPr>
        <w:tab/>
        <w:t>Adopt or establish and amend such rules, regulations, agreements, guidelines, procedures, forms and instruments as may be necessary or advisable for the administration and operation of the Plan;</w:t>
      </w:r>
    </w:p>
    <w:p w:rsidR="00376768" w:rsidRDefault="00EC2B72">
      <w:pPr>
        <w:spacing w:before="160"/>
        <w:ind w:left="720" w:firstLine="720"/>
        <w:jc w:val="both"/>
        <w:rPr>
          <w:rFonts w:ascii="Arial" w:hAnsi="Arial" w:cs="Arial"/>
        </w:rPr>
      </w:pPr>
      <w:r>
        <w:rPr>
          <w:rFonts w:ascii="Arial" w:hAnsi="Arial" w:cs="Arial"/>
        </w:rPr>
        <w:t>(ii)</w:t>
      </w:r>
      <w:r>
        <w:rPr>
          <w:rFonts w:ascii="Arial" w:hAnsi="Arial" w:cs="Arial"/>
        </w:rPr>
        <w:tab/>
        <w:t>Correct any defect, supply any omission or reconcile any inconsistency in the Plan or in any Award in the manner and to the extent it shall deem desirable;</w:t>
      </w:r>
    </w:p>
    <w:p w:rsidR="00376768" w:rsidRDefault="00EC2B72">
      <w:pPr>
        <w:spacing w:before="160"/>
        <w:ind w:left="720" w:firstLine="720"/>
        <w:jc w:val="both"/>
        <w:rPr>
          <w:rFonts w:ascii="Arial" w:hAnsi="Arial" w:cs="Arial"/>
        </w:rPr>
      </w:pPr>
      <w:r>
        <w:rPr>
          <w:rFonts w:ascii="Arial" w:hAnsi="Arial" w:cs="Arial"/>
        </w:rPr>
        <w:t>(iii)</w:t>
      </w:r>
      <w:r>
        <w:rPr>
          <w:rFonts w:ascii="Arial" w:hAnsi="Arial" w:cs="Arial"/>
        </w:rPr>
        <w:tab/>
        <w:t>Select the persons to be granted Awards under the Plan;</w:t>
      </w:r>
    </w:p>
    <w:p w:rsidR="00376768" w:rsidRDefault="00EC2B72">
      <w:pPr>
        <w:spacing w:before="160"/>
        <w:ind w:left="720" w:firstLine="720"/>
        <w:jc w:val="both"/>
        <w:rPr>
          <w:rFonts w:ascii="Arial" w:hAnsi="Arial" w:cs="Arial"/>
        </w:rPr>
      </w:pPr>
      <w:r>
        <w:rPr>
          <w:rFonts w:ascii="Arial" w:hAnsi="Arial" w:cs="Arial"/>
        </w:rPr>
        <w:t>(iv)</w:t>
      </w:r>
      <w:r>
        <w:rPr>
          <w:rFonts w:ascii="Arial" w:hAnsi="Arial" w:cs="Arial"/>
        </w:rPr>
        <w:tab/>
        <w:t xml:space="preserve">Grant and determine the terms, conditions, form and size of Awards to be made to each person selected, including </w:t>
      </w:r>
      <w:proofErr w:type="spellStart"/>
      <w:r>
        <w:rPr>
          <w:rFonts w:ascii="Arial" w:hAnsi="Arial" w:cs="Arial"/>
        </w:rPr>
        <w:t>clawback</w:t>
      </w:r>
      <w:proofErr w:type="spellEnd"/>
      <w:r>
        <w:rPr>
          <w:rFonts w:ascii="Arial" w:hAnsi="Arial" w:cs="Arial"/>
        </w:rPr>
        <w:t xml:space="preserve"> or other recoupment provisions applicable Awards granted hereunder;</w:t>
      </w:r>
    </w:p>
    <w:p w:rsidR="00376768" w:rsidRDefault="00EC2B72">
      <w:pPr>
        <w:spacing w:before="160"/>
        <w:ind w:left="720" w:firstLine="720"/>
        <w:jc w:val="both"/>
        <w:rPr>
          <w:rFonts w:ascii="Arial" w:hAnsi="Arial" w:cs="Arial"/>
        </w:rPr>
      </w:pPr>
      <w:r>
        <w:rPr>
          <w:rFonts w:ascii="Arial" w:hAnsi="Arial" w:cs="Arial"/>
        </w:rPr>
        <w:t>(v)</w:t>
      </w:r>
      <w:r>
        <w:rPr>
          <w:rFonts w:ascii="Arial" w:hAnsi="Arial" w:cs="Arial"/>
        </w:rPr>
        <w:tab/>
        <w:t>Determine the time when Awards are to be made and any conditions which must be satisfied before an Award is made;</w:t>
      </w:r>
    </w:p>
    <w:p w:rsidR="00376768" w:rsidRDefault="00EC2B72">
      <w:pPr>
        <w:spacing w:before="160"/>
        <w:ind w:left="720" w:firstLine="720"/>
        <w:jc w:val="both"/>
        <w:rPr>
          <w:rFonts w:ascii="Arial" w:hAnsi="Arial" w:cs="Arial"/>
        </w:rPr>
      </w:pPr>
      <w:proofErr w:type="gramStart"/>
      <w:r>
        <w:rPr>
          <w:rFonts w:ascii="Arial" w:hAnsi="Arial" w:cs="Arial"/>
        </w:rPr>
        <w:t>(vi)</w:t>
      </w:r>
      <w:r>
        <w:rPr>
          <w:rFonts w:ascii="Arial" w:hAnsi="Arial" w:cs="Arial"/>
        </w:rPr>
        <w:tab/>
        <w:t>Establish</w:t>
      </w:r>
      <w:proofErr w:type="gramEnd"/>
      <w:r>
        <w:rPr>
          <w:rFonts w:ascii="Arial" w:hAnsi="Arial" w:cs="Arial"/>
        </w:rPr>
        <w:t xml:space="preserve"> objectives, conditions and performance goals for earning Awards;</w:t>
      </w:r>
    </w:p>
    <w:p w:rsidR="00376768" w:rsidRDefault="00EC2B72">
      <w:pPr>
        <w:spacing w:before="160"/>
        <w:ind w:left="720" w:firstLine="720"/>
        <w:jc w:val="both"/>
        <w:rPr>
          <w:rFonts w:ascii="Arial" w:hAnsi="Arial" w:cs="Arial"/>
        </w:rPr>
      </w:pPr>
      <w:r>
        <w:rPr>
          <w:rFonts w:ascii="Arial" w:hAnsi="Arial" w:cs="Arial"/>
        </w:rPr>
        <w:t>(vii)</w:t>
      </w:r>
      <w:r>
        <w:rPr>
          <w:rFonts w:ascii="Arial" w:hAnsi="Arial" w:cs="Arial"/>
        </w:rPr>
        <w:tab/>
        <w:t>Determine the terms of each Award Agreement and any amendments or modifications thereof;</w:t>
      </w:r>
    </w:p>
    <w:p w:rsidR="00376768" w:rsidRDefault="00EC2B72">
      <w:pPr>
        <w:spacing w:before="160"/>
        <w:ind w:left="720" w:firstLine="720"/>
        <w:jc w:val="both"/>
        <w:rPr>
          <w:rFonts w:ascii="Arial" w:hAnsi="Arial" w:cs="Arial"/>
        </w:rPr>
      </w:pPr>
      <w:r>
        <w:rPr>
          <w:rFonts w:ascii="Arial" w:hAnsi="Arial" w:cs="Arial"/>
        </w:rPr>
        <w:t>(viii)</w:t>
      </w:r>
      <w:r>
        <w:rPr>
          <w:rFonts w:ascii="Arial" w:hAnsi="Arial" w:cs="Arial"/>
        </w:rPr>
        <w:tab/>
        <w:t>Determine whether the conditions for earning an Award have been met and whether an Award will be paid at the end of the performance period;</w:t>
      </w:r>
    </w:p>
    <w:p w:rsidR="00376768" w:rsidRDefault="00EC2B72">
      <w:pPr>
        <w:spacing w:before="160"/>
        <w:ind w:left="720" w:firstLine="720"/>
        <w:jc w:val="both"/>
        <w:rPr>
          <w:rFonts w:ascii="Arial" w:hAnsi="Arial" w:cs="Arial"/>
        </w:rPr>
      </w:pPr>
      <w:r>
        <w:rPr>
          <w:rFonts w:ascii="Arial" w:hAnsi="Arial" w:cs="Arial"/>
        </w:rPr>
        <w:t>(ix)</w:t>
      </w:r>
      <w:r>
        <w:rPr>
          <w:rFonts w:ascii="Arial" w:hAnsi="Arial" w:cs="Arial"/>
        </w:rPr>
        <w:tab/>
        <w:t>Determine if and when an Award may be deferred;</w:t>
      </w:r>
    </w:p>
    <w:p w:rsidR="00376768" w:rsidRDefault="00EC2B72">
      <w:pPr>
        <w:spacing w:before="160"/>
        <w:ind w:left="720" w:firstLine="720"/>
        <w:jc w:val="both"/>
        <w:rPr>
          <w:rFonts w:ascii="Arial" w:hAnsi="Arial" w:cs="Arial"/>
        </w:rPr>
      </w:pPr>
      <w:r>
        <w:rPr>
          <w:rFonts w:ascii="Arial" w:hAnsi="Arial" w:cs="Arial"/>
        </w:rPr>
        <w:t>(x)</w:t>
      </w:r>
      <w:r>
        <w:rPr>
          <w:rFonts w:ascii="Arial" w:hAnsi="Arial" w:cs="Arial"/>
        </w:rPr>
        <w:tab/>
        <w:t>Determine whether the amount or payment of an Award should be reduced or eliminated;</w:t>
      </w:r>
    </w:p>
    <w:p w:rsidR="00376768" w:rsidRDefault="00EC2B72">
      <w:pPr>
        <w:spacing w:before="160"/>
        <w:ind w:left="720" w:firstLine="720"/>
        <w:jc w:val="both"/>
        <w:rPr>
          <w:rFonts w:ascii="Arial" w:hAnsi="Arial" w:cs="Arial"/>
        </w:rPr>
      </w:pPr>
      <w:r>
        <w:rPr>
          <w:rFonts w:ascii="Arial" w:hAnsi="Arial" w:cs="Arial"/>
        </w:rPr>
        <w:t>(xi)</w:t>
      </w:r>
      <w:r>
        <w:rPr>
          <w:rFonts w:ascii="Arial" w:hAnsi="Arial" w:cs="Arial"/>
        </w:rPr>
        <w:tab/>
        <w:t>Determine the guidelines and/or procedures for the payment or exercise of Awards; and</w:t>
      </w:r>
    </w:p>
    <w:p w:rsidR="00376768" w:rsidRDefault="00EC2B72">
      <w:pPr>
        <w:spacing w:before="160"/>
        <w:ind w:left="720" w:firstLine="720"/>
        <w:jc w:val="both"/>
        <w:rPr>
          <w:rFonts w:ascii="Arial" w:hAnsi="Arial" w:cs="Arial"/>
        </w:rPr>
      </w:pPr>
      <w:r>
        <w:rPr>
          <w:rFonts w:ascii="Arial" w:hAnsi="Arial" w:cs="Arial"/>
        </w:rPr>
        <w:t>(xii)</w:t>
      </w:r>
      <w:r>
        <w:rPr>
          <w:rFonts w:ascii="Arial" w:hAnsi="Arial" w:cs="Arial"/>
        </w:rPr>
        <w:tab/>
        <w:t>Determine whether to accelerate vesting provisions applicable to Awards.</w:t>
      </w:r>
    </w:p>
    <w:p w:rsidR="00376768" w:rsidRDefault="00EC2B72">
      <w:pPr>
        <w:spacing w:before="160"/>
        <w:ind w:firstLine="720"/>
        <w:jc w:val="both"/>
        <w:rPr>
          <w:rFonts w:ascii="Arial" w:hAnsi="Arial" w:cs="Arial"/>
        </w:rPr>
      </w:pPr>
      <w:r>
        <w:rPr>
          <w:rFonts w:ascii="Arial" w:hAnsi="Arial" w:cs="Arial"/>
        </w:rPr>
        <w:t>The Committee’s decisions shall be final, conclusive and binding with respect to the Plan and any Award made under the Plan.</w:t>
      </w:r>
    </w:p>
    <w:p w:rsidR="00376768" w:rsidRDefault="00EC2B72">
      <w:pPr>
        <w:spacing w:before="160"/>
        <w:ind w:firstLine="720"/>
        <w:jc w:val="both"/>
        <w:rPr>
          <w:rFonts w:ascii="Arial" w:hAnsi="Arial" w:cs="Arial"/>
        </w:rPr>
      </w:pPr>
      <w:r>
        <w:rPr>
          <w:rFonts w:ascii="Arial" w:hAnsi="Arial" w:cs="Arial"/>
        </w:rPr>
        <w:t>(b)</w:t>
      </w:r>
      <w:r>
        <w:rPr>
          <w:rFonts w:ascii="Arial" w:hAnsi="Arial" w:cs="Arial"/>
        </w:rPr>
        <w:tab/>
        <w:t>Except as otherwise may be provided in the charter or similar governing document applicable to the Committee and this Plan, (i) a majority of the members of the Committee shall constitute a quorum for the conduct of business at any meeting, (ii) the Committee shall act by majority vote of the members present at a duly convened meeting, including a telephonic meeting in accordance with the Pennsylvania Business Corporation Law (“BCL”), and (iii) action may be taken without a meeting if written consent thereto is given in accordance with the BCL.</w:t>
      </w:r>
    </w:p>
    <w:p w:rsidR="00376768" w:rsidRDefault="00EC2B72">
      <w:pPr>
        <w:spacing w:before="160"/>
        <w:ind w:firstLine="720"/>
        <w:jc w:val="both"/>
        <w:rPr>
          <w:rFonts w:ascii="Arial" w:hAnsi="Arial" w:cs="Arial"/>
        </w:rPr>
      </w:pPr>
      <w:r>
        <w:rPr>
          <w:rFonts w:ascii="Arial" w:hAnsi="Arial" w:cs="Arial"/>
        </w:rPr>
        <w:t>(c)</w:t>
      </w:r>
      <w:r>
        <w:rPr>
          <w:rFonts w:ascii="Arial" w:hAnsi="Arial" w:cs="Arial"/>
        </w:rPr>
        <w:tab/>
        <w:t xml:space="preserve">Notwithstanding any provision herein to the contrary, to the extent the Board is performing any Plan-related functions, including the determination of whether a Participant has been </w:t>
      </w:r>
      <w:proofErr w:type="gramStart"/>
      <w:r>
        <w:rPr>
          <w:rFonts w:ascii="Arial" w:hAnsi="Arial" w:cs="Arial"/>
        </w:rPr>
        <w:t>Terminated</w:t>
      </w:r>
      <w:proofErr w:type="gramEnd"/>
      <w:r>
        <w:rPr>
          <w:rFonts w:ascii="Arial" w:hAnsi="Arial" w:cs="Arial"/>
        </w:rPr>
        <w:t xml:space="preserve"> for Cause, the Board shall have the same discretionary power and authority to administer the Plan as the Committee does under this Article III. </w:t>
      </w:r>
    </w:p>
    <w:p w:rsidR="00376768" w:rsidRDefault="00EC2B72">
      <w:pPr>
        <w:spacing w:before="160"/>
        <w:ind w:firstLine="720"/>
        <w:jc w:val="both"/>
        <w:rPr>
          <w:rFonts w:ascii="Arial" w:hAnsi="Arial" w:cs="Arial"/>
        </w:rPr>
      </w:pPr>
      <w:r>
        <w:rPr>
          <w:rFonts w:ascii="Arial" w:hAnsi="Arial" w:cs="Arial"/>
        </w:rPr>
        <w:t>(d)</w:t>
      </w:r>
      <w:r>
        <w:rPr>
          <w:rFonts w:ascii="Arial" w:hAnsi="Arial" w:cs="Arial"/>
        </w:rPr>
        <w:tab/>
        <w:t>No member of the Board or Committee and no Officer shall be liable for anything done or omitted to be done by such member or Officer, by any other member of the Board or Committee or by any other Officer in connection with the performance of duties under this Plan, except for such member’s or Officer’s own willful misconduct or as expressly provided by statute. For avoidance of doubt, nothing in this section is intended to limit the indemnification provisions applicable to Directors and Officers of the Company as they are entitled under Pennsylvania law.</w:t>
      </w:r>
    </w:p>
    <w:p w:rsidR="00376768" w:rsidRDefault="00EC2B72">
      <w:pPr>
        <w:spacing w:before="160"/>
        <w:ind w:firstLine="720"/>
        <w:jc w:val="both"/>
        <w:rPr>
          <w:rFonts w:ascii="Arial" w:hAnsi="Arial" w:cs="Arial"/>
        </w:rPr>
      </w:pPr>
      <w:r>
        <w:rPr>
          <w:rFonts w:ascii="Arial" w:hAnsi="Arial" w:cs="Arial"/>
        </w:rPr>
        <w:t>(e)</w:t>
      </w:r>
      <w:r>
        <w:rPr>
          <w:rFonts w:ascii="Arial" w:hAnsi="Arial" w:cs="Arial"/>
        </w:rPr>
        <w:tab/>
        <w:t xml:space="preserve">The Board and/or Committee may delegate authority to an Officer, Employee and/or Director to administer certain of their respective authority under this Plan, including granting and administering certain Awards under this Plan, subject to the right of the Board and/or the Committee to revoke its delegation at any time and to make such delegation on such terms and conditions as the Board and/or Committee determine in their respective discretion to be appropriate in accordance with, and as permitted by, applicable law or regulation. In each case where the Board and/or Committee has delegated authority under this Plan, such Officer, Employee and/or Director </w:t>
      </w:r>
      <w:proofErr w:type="spellStart"/>
      <w:r>
        <w:rPr>
          <w:rFonts w:ascii="Arial" w:hAnsi="Arial" w:cs="Arial"/>
        </w:rPr>
        <w:t>delegatee</w:t>
      </w:r>
      <w:proofErr w:type="spellEnd"/>
      <w:r>
        <w:rPr>
          <w:rFonts w:ascii="Arial" w:hAnsi="Arial" w:cs="Arial"/>
        </w:rPr>
        <w:t xml:space="preserve"> shall be deemed the “Committee” or “Board,” where applicable, in connection with fulfilling the functions delegated to such person under </w:t>
      </w:r>
      <w:r>
        <w:rPr>
          <w:rFonts w:ascii="Arial" w:hAnsi="Arial" w:cs="Arial"/>
        </w:rPr>
        <w:lastRenderedPageBreak/>
        <w:t>the Plan. Notwithstanding the foregoing, or anything contained in this Plan to the contrary, Qualified Performance-Based Awards must be granted and administered, to the extent necessary, by a committee that consists solely of two or more “outside directors” within the meaning of Section 162(m).</w:t>
      </w:r>
    </w:p>
    <w:p w:rsidR="00376768" w:rsidRDefault="00EC2B72">
      <w:pPr>
        <w:spacing w:before="160"/>
        <w:ind w:firstLine="720"/>
        <w:jc w:val="both"/>
        <w:rPr>
          <w:rFonts w:ascii="Arial" w:hAnsi="Arial" w:cs="Arial"/>
        </w:rPr>
      </w:pPr>
      <w:r>
        <w:rPr>
          <w:rFonts w:ascii="Arial" w:hAnsi="Arial" w:cs="Arial"/>
        </w:rPr>
        <w:t>(f)</w:t>
      </w:r>
      <w:r>
        <w:rPr>
          <w:rFonts w:ascii="Arial" w:hAnsi="Arial" w:cs="Arial"/>
        </w:rPr>
        <w:tab/>
        <w:t>Notwithstanding any other provision of this Plan, the Board or the Committee may impose such conditions on any Award (including, without limitation, the right of the Board or the Committee to limit the time of exercise to specified periods) as may be required to satisfy the requirements of Rule 16b-3 (or any successor rule) under the Exchange Act (“Rule 16b-3”) and/or Section 422 (or any successor provision) of the Code.</w:t>
      </w:r>
    </w:p>
    <w:p w:rsidR="00376768" w:rsidRDefault="00EC2B72">
      <w:pPr>
        <w:spacing w:before="160"/>
        <w:rPr>
          <w:rFonts w:ascii="Arial" w:hAnsi="Arial" w:cs="Arial"/>
          <w:u w:val="single"/>
        </w:rPr>
      </w:pPr>
      <w:r>
        <w:rPr>
          <w:rFonts w:ascii="Arial" w:hAnsi="Arial" w:cs="Arial"/>
        </w:rPr>
        <w:t>3.2</w:t>
      </w:r>
      <w:r>
        <w:rPr>
          <w:rFonts w:ascii="Arial" w:hAnsi="Arial" w:cs="Arial"/>
        </w:rPr>
        <w:tab/>
      </w:r>
      <w:r>
        <w:rPr>
          <w:rFonts w:ascii="Arial" w:hAnsi="Arial" w:cs="Arial"/>
          <w:u w:val="single"/>
        </w:rPr>
        <w:t>Powers of Committee</w:t>
      </w:r>
      <w:r>
        <w:rPr>
          <w:rFonts w:ascii="Arial" w:hAnsi="Arial" w:cs="Arial"/>
        </w:rPr>
        <w:t>.</w:t>
      </w:r>
    </w:p>
    <w:p w:rsidR="00376768" w:rsidRDefault="00EC2B72">
      <w:pPr>
        <w:spacing w:before="160"/>
        <w:ind w:firstLine="720"/>
        <w:jc w:val="both"/>
        <w:rPr>
          <w:rFonts w:ascii="Arial" w:hAnsi="Arial" w:cs="Arial"/>
        </w:rPr>
      </w:pPr>
      <w:r>
        <w:rPr>
          <w:rFonts w:ascii="Arial" w:hAnsi="Arial" w:cs="Arial"/>
        </w:rPr>
        <w:t>(a)</w:t>
      </w:r>
      <w:r>
        <w:rPr>
          <w:rFonts w:ascii="Arial" w:hAnsi="Arial" w:cs="Arial"/>
        </w:rPr>
        <w:tab/>
        <w:t>Subject to the provisions of the Plan, the Committee shall have authority, in its discretion, to determine those Key Personnel and Directors who shall receive Awards, the time or times when each such Award shall be made, the type of Award to be made, the number of shares to be subject to each Award and/or any other terms and conditions of the Award.</w:t>
      </w:r>
    </w:p>
    <w:p w:rsidR="00376768" w:rsidRDefault="00EC2B72">
      <w:pPr>
        <w:spacing w:before="160"/>
        <w:ind w:firstLine="720"/>
        <w:jc w:val="both"/>
        <w:rPr>
          <w:rFonts w:ascii="Arial" w:hAnsi="Arial" w:cs="Arial"/>
        </w:rPr>
      </w:pPr>
      <w:r>
        <w:rPr>
          <w:rFonts w:ascii="Arial" w:hAnsi="Arial" w:cs="Arial"/>
        </w:rPr>
        <w:t>(b)</w:t>
      </w:r>
      <w:r>
        <w:rPr>
          <w:rFonts w:ascii="Arial" w:hAnsi="Arial" w:cs="Arial"/>
        </w:rPr>
        <w:tab/>
        <w:t>The Committee shall determine the terms, restrictions and provisions of the agreement relating to each Award. The Committee may correct any defect or supply any omission or reconcile any inconsistency in the Plan, or in any Award Agreement, in such manner and to the extent the Committee shall determine in order to carry out the purposes and intent of the Plan.</w:t>
      </w:r>
    </w:p>
    <w:p w:rsidR="00376768" w:rsidRDefault="00EC2B72">
      <w:pPr>
        <w:spacing w:before="160"/>
        <w:ind w:firstLine="720"/>
        <w:jc w:val="both"/>
        <w:rPr>
          <w:rFonts w:ascii="Arial" w:hAnsi="Arial" w:cs="Arial"/>
        </w:rPr>
      </w:pPr>
      <w:r>
        <w:rPr>
          <w:rFonts w:ascii="Arial" w:hAnsi="Arial" w:cs="Arial"/>
        </w:rPr>
        <w:t>(c)</w:t>
      </w:r>
      <w:r>
        <w:rPr>
          <w:rFonts w:ascii="Arial" w:hAnsi="Arial" w:cs="Arial"/>
        </w:rPr>
        <w:tab/>
        <w:t>Notwithstanding any provision herein to the contrary, to the extent the Board is performing any Plan-related functions, the Board shall have the same discretionary power and authority to administer the Plan as the Committee does under this Article III.</w:t>
      </w:r>
    </w:p>
    <w:p w:rsidR="00376768" w:rsidRDefault="00EC2B72">
      <w:pPr>
        <w:spacing w:before="160"/>
        <w:rPr>
          <w:rFonts w:ascii="Arial" w:hAnsi="Arial" w:cs="Arial"/>
        </w:rPr>
      </w:pPr>
      <w:r>
        <w:rPr>
          <w:rFonts w:ascii="Arial" w:hAnsi="Arial" w:cs="Arial"/>
        </w:rPr>
        <w:t>3.3</w:t>
      </w:r>
      <w:r>
        <w:rPr>
          <w:rFonts w:ascii="Arial" w:hAnsi="Arial" w:cs="Arial"/>
        </w:rPr>
        <w:tab/>
      </w:r>
      <w:r>
        <w:rPr>
          <w:rFonts w:ascii="Arial" w:hAnsi="Arial" w:cs="Arial"/>
          <w:u w:val="single"/>
        </w:rPr>
        <w:t>Awards</w:t>
      </w:r>
      <w:r>
        <w:rPr>
          <w:rFonts w:ascii="Arial" w:hAnsi="Arial" w:cs="Arial"/>
        </w:rPr>
        <w:t xml:space="preserve">. </w:t>
      </w:r>
    </w:p>
    <w:p w:rsidR="00376768" w:rsidRDefault="00EC2B72">
      <w:pPr>
        <w:spacing w:before="160"/>
        <w:ind w:firstLine="720"/>
        <w:jc w:val="both"/>
        <w:rPr>
          <w:rFonts w:ascii="Arial" w:hAnsi="Arial" w:cs="Arial"/>
        </w:rPr>
      </w:pPr>
      <w:r>
        <w:rPr>
          <w:rFonts w:ascii="Arial" w:hAnsi="Arial" w:cs="Arial"/>
        </w:rPr>
        <w:t>(a)</w:t>
      </w:r>
      <w:r>
        <w:rPr>
          <w:rFonts w:ascii="Arial" w:hAnsi="Arial" w:cs="Arial"/>
        </w:rPr>
        <w:tab/>
        <w:t xml:space="preserve">Subject to the terms of this Plan, the Committee may grant any type of Award to any Participant it selects, but only an Employee may receive grants of Incentive Stock Options. Awards may be granted alone or in addition to, in tandem with, or (subject to the prohibition on </w:t>
      </w:r>
      <w:proofErr w:type="spellStart"/>
      <w:r>
        <w:rPr>
          <w:rFonts w:ascii="Arial" w:hAnsi="Arial" w:cs="Arial"/>
        </w:rPr>
        <w:t>repricing</w:t>
      </w:r>
      <w:proofErr w:type="spellEnd"/>
      <w:r>
        <w:rPr>
          <w:rFonts w:ascii="Arial" w:hAnsi="Arial" w:cs="Arial"/>
        </w:rPr>
        <w:t xml:space="preserve"> set forth below) in substitution for any other Award (or any other award granted under another plan of the Company or any Subsidiary). All Awards shall be subject to the terms and conditions of the Plan and to such other terms and conditions consistent with the Plan as the Committee deems appropriate. </w:t>
      </w:r>
    </w:p>
    <w:p w:rsidR="00376768" w:rsidRDefault="00EC2B72">
      <w:pPr>
        <w:spacing w:before="160"/>
        <w:ind w:firstLine="720"/>
        <w:jc w:val="both"/>
        <w:rPr>
          <w:rFonts w:ascii="Arial" w:hAnsi="Arial" w:cs="Arial"/>
        </w:rPr>
      </w:pPr>
      <w:r>
        <w:rPr>
          <w:rFonts w:ascii="Arial" w:hAnsi="Arial" w:cs="Arial"/>
        </w:rPr>
        <w:t>(b)</w:t>
      </w:r>
      <w:r>
        <w:rPr>
          <w:rFonts w:ascii="Arial" w:hAnsi="Arial" w:cs="Arial"/>
        </w:rPr>
        <w:tab/>
        <w:t>Notwithstanding anything in this Plan to the contrary, and except for the adjustments provided in Section 10.6 or in connection with a corporate transaction involving the Company (including, without limitation, any stock Dividend, distribution (whether in the form of cash, shares of Stock, other Company securities or other property), stock split, extraordinary cash Dividend, recapitalization, Change in Control, reorganization, merger, consolidation, split-up, spin-off, combination, repurchase or exchange of Stock or other Company securities, or similar transaction(s)), neither the Committee nor any other person may, without obtaining shareholder approval, (i) amend the terms of outstanding Options or SARs to reduce the exercise price of such outstanding Options or SARs; (ii) cancel outstanding Options or SARs in exchange for Options or SARs with an exercise price that is less than the exercise price of the original Options or SARs; or (iii) cancel outstanding Options or SARs with an exercise price above the current Stock price in exchange for cash or other securities. In addition, the Committee may not make a grant of an Option or SAR with a grant date that is effective prior to the date the Committee takes action to approve such Award.</w:t>
      </w:r>
    </w:p>
    <w:p w:rsidR="00376768" w:rsidRDefault="00EC2B72">
      <w:pPr>
        <w:spacing w:before="160"/>
        <w:jc w:val="both"/>
        <w:rPr>
          <w:rFonts w:ascii="Arial" w:hAnsi="Arial" w:cs="Arial"/>
        </w:rPr>
      </w:pPr>
      <w:r>
        <w:rPr>
          <w:rFonts w:ascii="Arial" w:hAnsi="Arial" w:cs="Arial"/>
        </w:rPr>
        <w:t>3.4</w:t>
      </w:r>
      <w:r>
        <w:rPr>
          <w:rFonts w:ascii="Arial" w:hAnsi="Arial" w:cs="Arial"/>
        </w:rPr>
        <w:tab/>
      </w:r>
      <w:r>
        <w:rPr>
          <w:rFonts w:ascii="Arial" w:hAnsi="Arial" w:cs="Arial"/>
          <w:u w:val="single"/>
        </w:rPr>
        <w:t>Eligibility for Awards</w:t>
      </w:r>
      <w:r>
        <w:rPr>
          <w:rFonts w:ascii="Arial" w:hAnsi="Arial" w:cs="Arial"/>
        </w:rPr>
        <w:t>. In selecting Participants and in determining the form and amount of the Award, the Committee may give consideration to such Participant’s functions and responsibilities, his or her present and potential contributions to the success of the Company, the value of his or her services to the Company, and other factors deemed relevant by the Committee, subject to the provisions of the Plan.</w:t>
      </w:r>
    </w:p>
    <w:p w:rsidR="00376768" w:rsidRDefault="00EC2B72">
      <w:pPr>
        <w:spacing w:before="160"/>
        <w:jc w:val="center"/>
        <w:rPr>
          <w:rFonts w:ascii="Arial" w:hAnsi="Arial" w:cs="Arial"/>
          <w:b/>
          <w:bCs/>
        </w:rPr>
      </w:pPr>
      <w:r>
        <w:rPr>
          <w:rFonts w:ascii="Arial" w:hAnsi="Arial" w:cs="Arial"/>
          <w:b/>
          <w:bCs/>
        </w:rPr>
        <w:t>ARTICLE IV</w:t>
      </w:r>
    </w:p>
    <w:p w:rsidR="00376768" w:rsidRDefault="00EC2B72">
      <w:pPr>
        <w:spacing w:before="160"/>
        <w:jc w:val="center"/>
        <w:rPr>
          <w:rFonts w:ascii="Arial" w:hAnsi="Arial" w:cs="Arial"/>
          <w:b/>
          <w:bCs/>
        </w:rPr>
      </w:pPr>
      <w:r>
        <w:rPr>
          <w:rFonts w:ascii="Arial" w:hAnsi="Arial" w:cs="Arial"/>
          <w:b/>
          <w:bCs/>
        </w:rPr>
        <w:t>STOCK OPTIONS</w:t>
      </w:r>
    </w:p>
    <w:p w:rsidR="00376768" w:rsidRDefault="00EC2B72">
      <w:pPr>
        <w:spacing w:before="160"/>
        <w:jc w:val="both"/>
        <w:rPr>
          <w:rFonts w:ascii="Arial" w:hAnsi="Arial" w:cs="Arial"/>
        </w:rPr>
      </w:pPr>
      <w:r>
        <w:rPr>
          <w:rFonts w:ascii="Arial" w:hAnsi="Arial" w:cs="Arial"/>
        </w:rPr>
        <w:t>4.1</w:t>
      </w:r>
      <w:r>
        <w:rPr>
          <w:rFonts w:ascii="Arial" w:hAnsi="Arial" w:cs="Arial"/>
        </w:rPr>
        <w:tab/>
      </w:r>
      <w:r>
        <w:rPr>
          <w:rFonts w:ascii="Arial" w:hAnsi="Arial" w:cs="Arial"/>
          <w:u w:val="single"/>
        </w:rPr>
        <w:t>Award of Options</w:t>
      </w:r>
      <w:r>
        <w:rPr>
          <w:rFonts w:ascii="Arial" w:hAnsi="Arial" w:cs="Arial"/>
        </w:rPr>
        <w:t>. Subject to the provisions of the Plan, the Committee may grant Options to Key Personnel and Directors; provided, however, that only an Employee who meets the definition of an “employee” under Section 3401(c) of the Code may receive grants of Incentive Stock Options. Each Option shall be designated in the Award Agreement as either an ISO or a NQSO.</w:t>
      </w:r>
    </w:p>
    <w:p w:rsidR="00376768" w:rsidRDefault="00EC2B72">
      <w:pPr>
        <w:spacing w:before="160"/>
        <w:rPr>
          <w:rFonts w:ascii="Arial" w:hAnsi="Arial" w:cs="Arial"/>
        </w:rPr>
      </w:pPr>
      <w:r>
        <w:rPr>
          <w:rFonts w:ascii="Arial" w:hAnsi="Arial" w:cs="Arial"/>
        </w:rPr>
        <w:t>4.2</w:t>
      </w:r>
      <w:r>
        <w:rPr>
          <w:rFonts w:ascii="Arial" w:hAnsi="Arial" w:cs="Arial"/>
        </w:rPr>
        <w:tab/>
      </w:r>
      <w:r>
        <w:rPr>
          <w:rFonts w:ascii="Arial" w:hAnsi="Arial" w:cs="Arial"/>
          <w:u w:val="single"/>
        </w:rPr>
        <w:t>Period of Option</w:t>
      </w:r>
      <w:r>
        <w:rPr>
          <w:rFonts w:ascii="Arial" w:hAnsi="Arial" w:cs="Arial"/>
        </w:rPr>
        <w:t xml:space="preserve">. </w:t>
      </w:r>
    </w:p>
    <w:p w:rsidR="00376768" w:rsidRDefault="00EC2B72">
      <w:pPr>
        <w:spacing w:before="160"/>
        <w:ind w:firstLine="720"/>
        <w:jc w:val="both"/>
        <w:rPr>
          <w:rFonts w:ascii="Arial" w:hAnsi="Arial" w:cs="Arial"/>
        </w:rPr>
      </w:pPr>
      <w:r>
        <w:rPr>
          <w:rFonts w:ascii="Arial" w:hAnsi="Arial" w:cs="Arial"/>
        </w:rPr>
        <w:t>(a)</w:t>
      </w:r>
      <w:r>
        <w:rPr>
          <w:rFonts w:ascii="Arial" w:hAnsi="Arial" w:cs="Arial"/>
        </w:rPr>
        <w:tab/>
        <w:t>Except as otherwise provided in a Stock Option Agreement or the Plan, an Option granted to Key Personnel shall be exercisable in cumulative installments in the following manner:</w:t>
      </w:r>
    </w:p>
    <w:p w:rsidR="00376768" w:rsidRDefault="00EC2B72">
      <w:pPr>
        <w:spacing w:before="160"/>
        <w:ind w:left="720" w:firstLine="720"/>
        <w:jc w:val="both"/>
        <w:rPr>
          <w:rFonts w:ascii="Arial" w:hAnsi="Arial" w:cs="Arial"/>
        </w:rPr>
      </w:pPr>
      <w:r>
        <w:rPr>
          <w:rFonts w:ascii="Arial" w:hAnsi="Arial" w:cs="Arial"/>
        </w:rPr>
        <w:lastRenderedPageBreak/>
        <w:t>(i)</w:t>
      </w:r>
      <w:r>
        <w:rPr>
          <w:rFonts w:ascii="Arial" w:hAnsi="Arial" w:cs="Arial"/>
        </w:rPr>
        <w:tab/>
        <w:t>The Participant may purchase up to one-fourth (1/4) of the total optioned shares at any time after one year from the date of grant and prior to the termination of the Option.</w:t>
      </w:r>
    </w:p>
    <w:p w:rsidR="00376768" w:rsidRDefault="00EC2B72">
      <w:pPr>
        <w:spacing w:before="160"/>
        <w:ind w:left="720" w:firstLine="720"/>
        <w:jc w:val="both"/>
        <w:rPr>
          <w:rFonts w:ascii="Arial" w:hAnsi="Arial" w:cs="Arial"/>
        </w:rPr>
      </w:pPr>
      <w:r>
        <w:rPr>
          <w:rFonts w:ascii="Arial" w:hAnsi="Arial" w:cs="Arial"/>
        </w:rPr>
        <w:t>(ii)</w:t>
      </w:r>
      <w:r>
        <w:rPr>
          <w:rFonts w:ascii="Arial" w:hAnsi="Arial" w:cs="Arial"/>
        </w:rPr>
        <w:tab/>
        <w:t>The Participant may purchase an additional one-fourth (1/4) of the total optioned shares at any time after two years from the date of grant and prior to the termination of the Option.</w:t>
      </w:r>
    </w:p>
    <w:p w:rsidR="00376768" w:rsidRDefault="00EC2B72">
      <w:pPr>
        <w:spacing w:before="160"/>
        <w:ind w:left="720" w:firstLine="720"/>
        <w:jc w:val="both"/>
        <w:rPr>
          <w:rFonts w:ascii="Arial" w:hAnsi="Arial" w:cs="Arial"/>
        </w:rPr>
      </w:pPr>
      <w:r>
        <w:rPr>
          <w:rFonts w:ascii="Arial" w:hAnsi="Arial" w:cs="Arial"/>
        </w:rPr>
        <w:t>(iii)</w:t>
      </w:r>
      <w:r>
        <w:rPr>
          <w:rFonts w:ascii="Arial" w:hAnsi="Arial" w:cs="Arial"/>
        </w:rPr>
        <w:tab/>
        <w:t>The Participant may purchase an additional one-fourth (1/4) of the total optioned shares at any time after three years from the date of grant and prior to the termination of the Option.</w:t>
      </w:r>
    </w:p>
    <w:p w:rsidR="00376768" w:rsidRDefault="00EC2B72">
      <w:pPr>
        <w:spacing w:before="160"/>
        <w:ind w:left="720" w:firstLine="720"/>
        <w:jc w:val="both"/>
        <w:rPr>
          <w:rFonts w:ascii="Arial" w:hAnsi="Arial" w:cs="Arial"/>
        </w:rPr>
      </w:pPr>
      <w:proofErr w:type="gramStart"/>
      <w:r>
        <w:rPr>
          <w:rFonts w:ascii="Arial" w:hAnsi="Arial" w:cs="Arial"/>
        </w:rPr>
        <w:t>(iv)</w:t>
      </w:r>
      <w:r>
        <w:rPr>
          <w:rFonts w:ascii="Arial" w:hAnsi="Arial" w:cs="Arial"/>
        </w:rPr>
        <w:tab/>
        <w:t>The</w:t>
      </w:r>
      <w:proofErr w:type="gramEnd"/>
      <w:r>
        <w:rPr>
          <w:rFonts w:ascii="Arial" w:hAnsi="Arial" w:cs="Arial"/>
        </w:rPr>
        <w:t xml:space="preserve"> Participant may purchase an additional one-fourth (1/4) of the total optioned shares at any time after four years from the date of grant and prior to the termination of the Option.</w:t>
      </w:r>
    </w:p>
    <w:p w:rsidR="00376768" w:rsidRDefault="00EC2B72">
      <w:pPr>
        <w:spacing w:before="160"/>
        <w:ind w:firstLine="720"/>
        <w:jc w:val="both"/>
        <w:rPr>
          <w:rFonts w:ascii="Arial" w:hAnsi="Arial" w:cs="Arial"/>
        </w:rPr>
      </w:pPr>
      <w:r>
        <w:rPr>
          <w:rFonts w:ascii="Arial" w:hAnsi="Arial" w:cs="Arial"/>
        </w:rPr>
        <w:t>(b)</w:t>
      </w:r>
      <w:r>
        <w:rPr>
          <w:rFonts w:ascii="Arial" w:hAnsi="Arial" w:cs="Arial"/>
        </w:rPr>
        <w:tab/>
        <w:t>The Committee may also establish, in the applicable Stock Option Agreement, any other period during which Options may be exercised, provided that the duration of an Option shall not be more than ten (10) years from the date of grant and, provided further, that the duration of an Option granted to a 10% Shareholder shall not be more than five (5) years from the date of grant in the case of ISOs.</w:t>
      </w:r>
    </w:p>
    <w:p w:rsidR="00376768" w:rsidRDefault="00EC2B72">
      <w:pPr>
        <w:spacing w:before="160"/>
        <w:jc w:val="both"/>
        <w:rPr>
          <w:rFonts w:ascii="Arial" w:hAnsi="Arial" w:cs="Arial"/>
        </w:rPr>
      </w:pPr>
      <w:r>
        <w:rPr>
          <w:rFonts w:ascii="Arial" w:hAnsi="Arial" w:cs="Arial"/>
        </w:rPr>
        <w:t>4.3</w:t>
      </w:r>
      <w:r>
        <w:rPr>
          <w:rFonts w:ascii="Arial" w:hAnsi="Arial" w:cs="Arial"/>
        </w:rPr>
        <w:tab/>
      </w:r>
      <w:r>
        <w:rPr>
          <w:rFonts w:ascii="Arial" w:hAnsi="Arial" w:cs="Arial"/>
          <w:u w:val="single"/>
        </w:rPr>
        <w:t>Stock Option Agreement</w:t>
      </w:r>
      <w:r>
        <w:rPr>
          <w:rFonts w:ascii="Arial" w:hAnsi="Arial" w:cs="Arial"/>
        </w:rPr>
        <w:t xml:space="preserve">. Each Option shall be evidenced by a Stock Option Agreement in such form and containing such terms and conditions as the Committee from time to time shall approve, except that the terms and conditions in the Stock Option Agreement shall be consistent with those set forth herein. The terms and conditions of Stock Option Agreements need not be identical. </w:t>
      </w:r>
    </w:p>
    <w:p w:rsidR="00376768" w:rsidRDefault="00EC2B72">
      <w:pPr>
        <w:spacing w:before="160"/>
        <w:rPr>
          <w:rFonts w:ascii="Arial" w:hAnsi="Arial" w:cs="Arial"/>
        </w:rPr>
      </w:pPr>
      <w:r>
        <w:rPr>
          <w:rFonts w:ascii="Arial" w:hAnsi="Arial" w:cs="Arial"/>
        </w:rPr>
        <w:t>4.4</w:t>
      </w:r>
      <w:r>
        <w:rPr>
          <w:rFonts w:ascii="Arial" w:hAnsi="Arial" w:cs="Arial"/>
        </w:rPr>
        <w:tab/>
      </w:r>
      <w:r>
        <w:rPr>
          <w:rFonts w:ascii="Arial" w:hAnsi="Arial" w:cs="Arial"/>
          <w:u w:val="single"/>
        </w:rPr>
        <w:t>Option Price and Exercise</w:t>
      </w:r>
      <w:r>
        <w:rPr>
          <w:rFonts w:ascii="Arial" w:hAnsi="Arial" w:cs="Arial"/>
        </w:rPr>
        <w:t>.</w:t>
      </w:r>
    </w:p>
    <w:p w:rsidR="00376768" w:rsidRDefault="00EC2B72">
      <w:pPr>
        <w:spacing w:before="160"/>
        <w:ind w:firstLine="720"/>
        <w:jc w:val="both"/>
        <w:rPr>
          <w:rFonts w:ascii="Arial" w:hAnsi="Arial" w:cs="Arial"/>
        </w:rPr>
      </w:pPr>
      <w:r>
        <w:rPr>
          <w:rFonts w:ascii="Arial" w:hAnsi="Arial" w:cs="Arial"/>
        </w:rPr>
        <w:t>(a)</w:t>
      </w:r>
      <w:r>
        <w:rPr>
          <w:rFonts w:ascii="Arial" w:hAnsi="Arial" w:cs="Arial"/>
        </w:rPr>
        <w:tab/>
        <w:t xml:space="preserve">The Option Price of Stock under each Option shall be determined by the Committee, provided that the Option Price may not be less than the Fair Market Value of the Stock on the date on which the Option is granted, and provided further that the Option Price of an Incentive Stock Option granted to a 10% Shareholder may not be less than 110% of the Fair Market Value of the Stock on the date on which the Option is granted, except in the case of Substitute Awards. </w:t>
      </w:r>
    </w:p>
    <w:p w:rsidR="00376768" w:rsidRDefault="00EC2B72">
      <w:pPr>
        <w:spacing w:before="160"/>
        <w:ind w:firstLine="720"/>
        <w:jc w:val="both"/>
        <w:rPr>
          <w:rFonts w:ascii="Arial" w:hAnsi="Arial" w:cs="Arial"/>
        </w:rPr>
      </w:pPr>
      <w:r>
        <w:rPr>
          <w:rFonts w:ascii="Arial" w:hAnsi="Arial" w:cs="Arial"/>
        </w:rPr>
        <w:t>(b)</w:t>
      </w:r>
      <w:r>
        <w:rPr>
          <w:rFonts w:ascii="Arial" w:hAnsi="Arial" w:cs="Arial"/>
        </w:rPr>
        <w:tab/>
        <w:t>Options may be exercised from time to time by giving written notice of exercise to the Company specifying the number of shares to be purchased. The notice of exercise shall be accompanied by (i) payment in full of the Option Price in cash, certified check, or other medium accepted by the Company, in its sole discretion, or (ii) a copy of irrevocable instructions to a broker to promptly deliver to the Company the amount of sale proceeds sufficient to cover the Option Price. An Option shall be deemed exercised on the date the Company receives the notice of exercise and all the requirements of this Section 4.4(b) have been fulfilled. An Option may provide that it shall be deemed to have been exercised at the close of business on the business day preceding the expiration date of the Option, or such other date as specified by the Committee, if at such time such Option has a positive value. Such deemed exercise shall be settled or paid in the same manner as a regular exercise thereof.</w:t>
      </w:r>
    </w:p>
    <w:p w:rsidR="00376768" w:rsidRDefault="00EC2B72">
      <w:pPr>
        <w:spacing w:before="160"/>
        <w:ind w:firstLine="720"/>
        <w:jc w:val="both"/>
        <w:rPr>
          <w:rFonts w:ascii="Arial" w:hAnsi="Arial" w:cs="Arial"/>
        </w:rPr>
      </w:pPr>
      <w:r>
        <w:rPr>
          <w:rFonts w:ascii="Arial" w:hAnsi="Arial" w:cs="Arial"/>
        </w:rPr>
        <w:t>(c)</w:t>
      </w:r>
      <w:r>
        <w:rPr>
          <w:rFonts w:ascii="Arial" w:hAnsi="Arial" w:cs="Arial"/>
        </w:rPr>
        <w:tab/>
        <w:t>If the aggregate Fair Market Value of the Stock subject to all Incentive Stock Options granted to a Participant (as determined on the date of grant of each such Option) that become exercisable during a calendar year exceeds the dollar limitation set forth in Section 422(d) of the Code, then such Incentive Stock Options shall be treated as Nonqualified Stock Options to the extent such limitation is exceeded.</w:t>
      </w:r>
    </w:p>
    <w:p w:rsidR="00376768" w:rsidRDefault="00EC2B72">
      <w:pPr>
        <w:spacing w:before="160"/>
        <w:jc w:val="both"/>
        <w:rPr>
          <w:rFonts w:ascii="Arial" w:hAnsi="Arial" w:cs="Arial"/>
        </w:rPr>
      </w:pPr>
      <w:r>
        <w:rPr>
          <w:rFonts w:ascii="Arial" w:hAnsi="Arial" w:cs="Arial"/>
        </w:rPr>
        <w:t>4.5</w:t>
      </w:r>
      <w:r>
        <w:rPr>
          <w:rFonts w:ascii="Arial" w:hAnsi="Arial" w:cs="Arial"/>
        </w:rPr>
        <w:tab/>
      </w:r>
      <w:r>
        <w:rPr>
          <w:rFonts w:ascii="Arial" w:hAnsi="Arial" w:cs="Arial"/>
          <w:u w:val="single"/>
        </w:rPr>
        <w:t>Treatment of Incentive Stock Options</w:t>
      </w:r>
      <w:r>
        <w:rPr>
          <w:rFonts w:ascii="Arial" w:hAnsi="Arial" w:cs="Arial"/>
        </w:rPr>
        <w:t xml:space="preserve">. In all other respects, the terms of any Incentive Stock Option should comply with the provisions of Section 422 of the Code, except to the extent the Committee determines otherwise. If an Option that is intended to be an Incentive Stock Option fails to meet the requirements thereof, the Option shall automatically be treated as a Nonqualified Stock Option to the extent of such failure. The aggregate Fair Market Value (determined as of the time the Option is granted) of the shares of Stock with respect to which Incentive Stock Options are exercisable for the first time by a Participant during any calendar year (under all option plans of the Company and of any “parent corporation” or subsidiary corporation (as such terms are defined in Sections 424(e) and (f) of the Code)) shall not exceed one hundred thousand dollars ($100,000); provided, however, that if such one hundred thousand dollars ($100,000) limit is exceeded, the excess ISOs shall be treated as NQSOs. For purposes of the preceding sentence, Incentive Stock Options will be taken into account in the order in which they are granted. </w:t>
      </w:r>
    </w:p>
    <w:p w:rsidR="00376768" w:rsidRDefault="00EC2B72">
      <w:pPr>
        <w:spacing w:before="160"/>
        <w:jc w:val="both"/>
        <w:rPr>
          <w:rFonts w:ascii="Arial" w:hAnsi="Arial" w:cs="Arial"/>
          <w:szCs w:val="20"/>
        </w:rPr>
      </w:pPr>
      <w:r>
        <w:rPr>
          <w:rFonts w:ascii="Arial" w:hAnsi="Arial" w:cs="Arial"/>
          <w:szCs w:val="20"/>
        </w:rPr>
        <w:t>4.6</w:t>
      </w:r>
      <w:r>
        <w:rPr>
          <w:rFonts w:ascii="Arial" w:hAnsi="Arial" w:cs="Arial"/>
          <w:szCs w:val="20"/>
        </w:rPr>
        <w:tab/>
      </w:r>
      <w:r>
        <w:rPr>
          <w:rFonts w:ascii="Arial" w:hAnsi="Arial" w:cs="Arial"/>
          <w:szCs w:val="20"/>
          <w:u w:val="single"/>
        </w:rPr>
        <w:t>Termination of Service</w:t>
      </w:r>
      <w:r>
        <w:rPr>
          <w:rFonts w:ascii="Arial" w:hAnsi="Arial" w:cs="Arial"/>
          <w:szCs w:val="20"/>
        </w:rPr>
        <w:t>.</w:t>
      </w:r>
    </w:p>
    <w:p w:rsidR="00376768" w:rsidRDefault="00EC2B72">
      <w:pPr>
        <w:spacing w:before="160"/>
        <w:ind w:firstLine="720"/>
        <w:jc w:val="both"/>
        <w:rPr>
          <w:rFonts w:ascii="Arial" w:hAnsi="Arial" w:cs="Arial"/>
          <w:szCs w:val="20"/>
        </w:rPr>
      </w:pPr>
      <w:r>
        <w:rPr>
          <w:rFonts w:ascii="Arial" w:hAnsi="Arial" w:cs="Arial"/>
          <w:szCs w:val="20"/>
        </w:rPr>
        <w:t>(a)</w:t>
      </w:r>
      <w:r>
        <w:rPr>
          <w:rFonts w:ascii="Arial" w:hAnsi="Arial" w:cs="Arial"/>
          <w:szCs w:val="20"/>
        </w:rPr>
        <w:tab/>
        <w:t xml:space="preserve">Except as otherwise provided in this Plan or in the applicable Stock Option Agreement or any severance or employment agreement, if the employment or other service of a Participant, other than as a Non-Employee Director, terminates for any reason other than death, Disability, Retirement, or due to a Termination for Cause, the Participant may exercise all unexercised and vested Options within 30 days of such termination, and such portion of the Option will expire at the end of such period. Any Options in which such Participant is not vested at the time of such Participant’s termination shall be immediately </w:t>
      </w:r>
      <w:proofErr w:type="gramStart"/>
      <w:r>
        <w:rPr>
          <w:rFonts w:ascii="Arial" w:hAnsi="Arial" w:cs="Arial"/>
          <w:szCs w:val="20"/>
        </w:rPr>
        <w:t>Forfeited</w:t>
      </w:r>
      <w:proofErr w:type="gramEnd"/>
      <w:r>
        <w:rPr>
          <w:rFonts w:ascii="Arial" w:hAnsi="Arial" w:cs="Arial"/>
          <w:szCs w:val="20"/>
        </w:rPr>
        <w:t xml:space="preserve">. In no event, however, may any Option be exercised after the expiration of ten (10) years </w:t>
      </w:r>
      <w:r>
        <w:rPr>
          <w:rFonts w:ascii="Arial" w:hAnsi="Arial" w:cs="Arial"/>
          <w:szCs w:val="20"/>
        </w:rPr>
        <w:lastRenderedPageBreak/>
        <w:t xml:space="preserve">from the date of grant of such Option (or five (5) years in the case of an ISO granted to a 10% Shareholder). In the event that such Participant is Terminated for Cause, all Options held by such Participant shall terminate immediately and may not thereafter be exercised. For purposes of this section, the employment or other service in respect to Options held by such a Participant shall be treated as continuing intact while the Participant is on authorized military leave, on leave pursuant to the Family Medical Leave Act, approved sick leave or other approved, bona fide leave of absence (such as temporary employment with the government) if the period of such leave does not exceed 90 days or, if longer, so long as the Participant’s right to reestablish such Participant’s service with the Company is guaranteed either by statute or by contract. Where the period of leave exceeds 90 days and where such Participant’s right to reestablish such Participant’s service is not guaranteed by statute or by contract, such Participant’s service, in the Committee’s sole discretion, shall be deemed to have terminated on the ninety-first day of such leave. </w:t>
      </w:r>
    </w:p>
    <w:p w:rsidR="00376768" w:rsidRDefault="00EC2B72">
      <w:pPr>
        <w:spacing w:before="160"/>
        <w:ind w:firstLine="720"/>
        <w:jc w:val="both"/>
        <w:rPr>
          <w:rFonts w:ascii="Arial" w:hAnsi="Arial" w:cs="Arial"/>
          <w:szCs w:val="20"/>
        </w:rPr>
      </w:pPr>
      <w:r>
        <w:rPr>
          <w:rFonts w:ascii="Arial" w:hAnsi="Arial" w:cs="Arial"/>
          <w:szCs w:val="20"/>
        </w:rPr>
        <w:t>(b)</w:t>
      </w:r>
      <w:r>
        <w:rPr>
          <w:rFonts w:ascii="Arial" w:hAnsi="Arial" w:cs="Arial"/>
          <w:szCs w:val="20"/>
        </w:rPr>
        <w:tab/>
        <w:t xml:space="preserve">Except as otherwise provided in the Stock Option Agreement, a Non-Employee Director whose service is terminated shall be entitled to exercise such Non-Employee Director’s Options, to the extent vested as of the date of such termination, until the expiration of the full term of the Option, unless the Non-Employee Director has been Terminated for Cause. In the event that a Non-Employee Director is Terminated for Cause, all Options held by such Director shall terminate immediately and may not thereafter be exercised. </w:t>
      </w:r>
    </w:p>
    <w:p w:rsidR="00376768" w:rsidRDefault="00EC2B72">
      <w:pPr>
        <w:spacing w:before="160"/>
        <w:jc w:val="both"/>
        <w:rPr>
          <w:rFonts w:ascii="Arial" w:hAnsi="Arial" w:cs="Arial"/>
          <w:szCs w:val="20"/>
        </w:rPr>
      </w:pPr>
      <w:r>
        <w:rPr>
          <w:rFonts w:ascii="Arial" w:hAnsi="Arial" w:cs="Arial"/>
          <w:szCs w:val="20"/>
        </w:rPr>
        <w:t>4.7</w:t>
      </w:r>
      <w:r>
        <w:rPr>
          <w:rFonts w:ascii="Arial" w:hAnsi="Arial" w:cs="Arial"/>
          <w:szCs w:val="20"/>
        </w:rPr>
        <w:tab/>
      </w:r>
      <w:r>
        <w:rPr>
          <w:rFonts w:ascii="Arial" w:hAnsi="Arial" w:cs="Arial"/>
          <w:szCs w:val="20"/>
          <w:u w:val="single"/>
        </w:rPr>
        <w:t>Death</w:t>
      </w:r>
      <w:r>
        <w:rPr>
          <w:rFonts w:ascii="Arial" w:hAnsi="Arial" w:cs="Arial"/>
          <w:szCs w:val="20"/>
        </w:rPr>
        <w:t xml:space="preserve">. Except as otherwise provided in the Plan or a Stock Option Agreement, during the twelve (12) month period following the Participant’s death, any or all of the unexercised and vested Options that the Participant was entitled to exercise immediately prior to such Participant’s death may be exercised by such Participant’s Personal Representative. Any Options in which such Participant is not vested at the time of such Participant’s death shall be immediately </w:t>
      </w:r>
      <w:proofErr w:type="gramStart"/>
      <w:r>
        <w:rPr>
          <w:rFonts w:ascii="Arial" w:hAnsi="Arial" w:cs="Arial"/>
          <w:szCs w:val="20"/>
        </w:rPr>
        <w:t>Forfeited</w:t>
      </w:r>
      <w:proofErr w:type="gramEnd"/>
      <w:r>
        <w:rPr>
          <w:rFonts w:ascii="Arial" w:hAnsi="Arial" w:cs="Arial"/>
          <w:szCs w:val="20"/>
        </w:rPr>
        <w:t>. In no event, however, may any such Option be exercised after the expiration of ten (10) years from the date of grant of such Option.</w:t>
      </w:r>
    </w:p>
    <w:p w:rsidR="00376768" w:rsidRDefault="00EC2B72">
      <w:pPr>
        <w:spacing w:before="160"/>
        <w:jc w:val="both"/>
        <w:rPr>
          <w:rFonts w:ascii="Arial" w:hAnsi="Arial" w:cs="Arial"/>
          <w:szCs w:val="20"/>
        </w:rPr>
      </w:pPr>
      <w:r>
        <w:rPr>
          <w:rFonts w:ascii="Arial" w:hAnsi="Arial" w:cs="Arial"/>
          <w:szCs w:val="20"/>
        </w:rPr>
        <w:t>4.8</w:t>
      </w:r>
      <w:r>
        <w:rPr>
          <w:rFonts w:ascii="Arial" w:hAnsi="Arial" w:cs="Arial"/>
          <w:szCs w:val="20"/>
        </w:rPr>
        <w:tab/>
      </w:r>
      <w:r>
        <w:rPr>
          <w:rFonts w:ascii="Arial" w:hAnsi="Arial" w:cs="Arial"/>
          <w:szCs w:val="20"/>
          <w:u w:val="single"/>
        </w:rPr>
        <w:t>Retirement or Disability</w:t>
      </w:r>
      <w:r>
        <w:rPr>
          <w:rFonts w:ascii="Arial" w:hAnsi="Arial" w:cs="Arial"/>
          <w:szCs w:val="20"/>
        </w:rPr>
        <w:t xml:space="preserve">. Except as otherwise provided in the Plan or a Stock Option Agreement or in any severance or employment agreement, if a Participant Retires, or suffers a Disability, at a time when such Participant is entitled to exercise an Option, then the Participant may exercise the Option, to the extent vested, at any time or times within three (3) years after such Participant’s termination of service because of such Retirement or Disability, and such vested portion of the Option will expire at the end of such period. Any Options in which such Participant is not vested at the time of the Participant’s Retirement or Disability, as the case may be, shall be immediately </w:t>
      </w:r>
      <w:proofErr w:type="gramStart"/>
      <w:r>
        <w:rPr>
          <w:rFonts w:ascii="Arial" w:hAnsi="Arial" w:cs="Arial"/>
          <w:szCs w:val="20"/>
        </w:rPr>
        <w:t>Forfeited</w:t>
      </w:r>
      <w:proofErr w:type="gramEnd"/>
      <w:r>
        <w:rPr>
          <w:rFonts w:ascii="Arial" w:hAnsi="Arial" w:cs="Arial"/>
          <w:szCs w:val="20"/>
        </w:rPr>
        <w:t xml:space="preserve">. In no event, however, may any Option be exercised after the expiration of ten (10) years from the date of grant of such Option (or five (5) years in the case of an ISO granted to a 10% Shareholder). </w:t>
      </w:r>
    </w:p>
    <w:p w:rsidR="00376768" w:rsidRDefault="00EC2B72">
      <w:pPr>
        <w:spacing w:before="160"/>
        <w:jc w:val="both"/>
        <w:rPr>
          <w:rFonts w:ascii="Arial" w:hAnsi="Arial" w:cs="Arial"/>
          <w:szCs w:val="20"/>
        </w:rPr>
      </w:pPr>
      <w:r>
        <w:rPr>
          <w:rFonts w:ascii="Arial" w:hAnsi="Arial" w:cs="Arial"/>
          <w:szCs w:val="20"/>
        </w:rPr>
        <w:t>4.9</w:t>
      </w:r>
      <w:r>
        <w:rPr>
          <w:rFonts w:ascii="Arial" w:hAnsi="Arial" w:cs="Arial"/>
          <w:szCs w:val="20"/>
        </w:rPr>
        <w:tab/>
      </w:r>
      <w:r>
        <w:rPr>
          <w:rFonts w:ascii="Arial" w:hAnsi="Arial" w:cs="Arial"/>
          <w:szCs w:val="20"/>
          <w:u w:val="single"/>
        </w:rPr>
        <w:t>Committee Discretion</w:t>
      </w:r>
      <w:r>
        <w:rPr>
          <w:rFonts w:ascii="Arial" w:hAnsi="Arial" w:cs="Arial"/>
          <w:szCs w:val="20"/>
        </w:rPr>
        <w:t>. For avoidance of doubt and not in limitation of the discretionary authority of the Committee under this Plan, the Committee shall have authority to determine whether or not a Participant (including a Non-Employee Director) has Retired, resigned or suffered a Disability, or has been Terminated for Cause, or is on an authorized leave of absence, and its determination shall be binding on all concerned. In the sole discretion of the Committee, a transfer of service to an affiliate of the Company other than a Subsidiary (the latter type of transfer not constituting a termination of service for purposes of the Plan) may be deemed to be a Retirement so as to entitle the Participant to exercise the Option within 90 days after such transfer.</w:t>
      </w:r>
    </w:p>
    <w:p w:rsidR="00376768" w:rsidRDefault="00EC2B72">
      <w:pPr>
        <w:spacing w:before="160"/>
        <w:jc w:val="both"/>
        <w:rPr>
          <w:rFonts w:ascii="Arial" w:hAnsi="Arial" w:cs="Arial"/>
          <w:szCs w:val="20"/>
        </w:rPr>
      </w:pPr>
      <w:r>
        <w:rPr>
          <w:rFonts w:ascii="Arial" w:hAnsi="Arial" w:cs="Arial"/>
          <w:szCs w:val="20"/>
        </w:rPr>
        <w:t>4.10</w:t>
      </w:r>
      <w:r>
        <w:rPr>
          <w:rFonts w:ascii="Arial" w:hAnsi="Arial" w:cs="Arial"/>
          <w:szCs w:val="20"/>
        </w:rPr>
        <w:tab/>
      </w:r>
      <w:r>
        <w:rPr>
          <w:rFonts w:ascii="Arial" w:hAnsi="Arial" w:cs="Arial"/>
          <w:szCs w:val="20"/>
          <w:u w:val="single"/>
        </w:rPr>
        <w:t>Shareholder Rights and Privileges</w:t>
      </w:r>
      <w:r>
        <w:rPr>
          <w:rFonts w:ascii="Arial" w:hAnsi="Arial" w:cs="Arial"/>
          <w:szCs w:val="20"/>
        </w:rPr>
        <w:t>. A Participant shall have no rights as a shareholder with respect to any Stock covered by an Option until the issuance of a stock certificate, or other evidence of ownership is issued, representing such Stock.</w:t>
      </w:r>
    </w:p>
    <w:p w:rsidR="00376768" w:rsidRDefault="00EC2B72">
      <w:pPr>
        <w:spacing w:before="160"/>
        <w:jc w:val="center"/>
        <w:rPr>
          <w:rFonts w:ascii="Arial" w:hAnsi="Arial" w:cs="Arial"/>
          <w:szCs w:val="20"/>
        </w:rPr>
      </w:pPr>
      <w:r>
        <w:rPr>
          <w:rFonts w:ascii="Arial" w:hAnsi="Arial" w:cs="Arial"/>
          <w:b/>
          <w:bCs/>
          <w:szCs w:val="20"/>
        </w:rPr>
        <w:t>ARTICLE V</w:t>
      </w:r>
    </w:p>
    <w:p w:rsidR="00376768" w:rsidRDefault="00EC2B72">
      <w:pPr>
        <w:spacing w:before="160"/>
        <w:jc w:val="center"/>
        <w:rPr>
          <w:rFonts w:ascii="Arial" w:hAnsi="Arial" w:cs="Arial"/>
          <w:szCs w:val="20"/>
        </w:rPr>
      </w:pPr>
      <w:r>
        <w:rPr>
          <w:rFonts w:ascii="Arial" w:hAnsi="Arial" w:cs="Arial"/>
          <w:b/>
          <w:bCs/>
          <w:szCs w:val="20"/>
        </w:rPr>
        <w:t xml:space="preserve">RESTRICTED STOCK AWARDS </w:t>
      </w:r>
      <w:r>
        <w:rPr>
          <w:rFonts w:ascii="Arial" w:hAnsi="Arial" w:cs="Arial"/>
          <w:b/>
          <w:bCs/>
          <w:szCs w:val="20"/>
        </w:rPr>
        <w:br/>
        <w:t>AND</w:t>
      </w:r>
      <w:r>
        <w:rPr>
          <w:rFonts w:ascii="Arial" w:hAnsi="Arial" w:cs="Arial"/>
          <w:b/>
          <w:bCs/>
          <w:szCs w:val="20"/>
        </w:rPr>
        <w:br/>
        <w:t>RESTRICTED STOCK UNIT AWARDS</w:t>
      </w:r>
    </w:p>
    <w:p w:rsidR="00376768" w:rsidRDefault="00EC2B72">
      <w:pPr>
        <w:spacing w:before="160"/>
        <w:jc w:val="both"/>
        <w:rPr>
          <w:rFonts w:ascii="Arial" w:hAnsi="Arial" w:cs="Arial"/>
          <w:szCs w:val="20"/>
        </w:rPr>
      </w:pPr>
      <w:r>
        <w:rPr>
          <w:rFonts w:ascii="Arial" w:hAnsi="Arial" w:cs="Arial"/>
          <w:szCs w:val="20"/>
        </w:rPr>
        <w:t>5.1</w:t>
      </w:r>
      <w:r>
        <w:rPr>
          <w:rFonts w:ascii="Arial" w:hAnsi="Arial" w:cs="Arial"/>
          <w:szCs w:val="20"/>
        </w:rPr>
        <w:tab/>
      </w:r>
      <w:r>
        <w:rPr>
          <w:rFonts w:ascii="Arial" w:hAnsi="Arial" w:cs="Arial"/>
          <w:szCs w:val="20"/>
          <w:u w:val="single"/>
        </w:rPr>
        <w:t>Grant of Restricted Stock Awards or Restricted Stock Unit Awards</w:t>
      </w:r>
      <w:r>
        <w:rPr>
          <w:rFonts w:ascii="Arial" w:hAnsi="Arial" w:cs="Arial"/>
          <w:szCs w:val="20"/>
        </w:rPr>
        <w:t>. Subject to the provisions of the Plan, the Committee may elect to grant Restricted Stock Awards or Restricted Stock Unit Awards to any Key Personnel and/or Director, including, but not limited to, grants derived from participation in another plan, program or arrangement established or maintained by the Company or any Subsidiary. Notwithstanding anything in this Plan to the contrary, the Committee, in its discretion, may determine that a Restricted Stock Award or Restricted Stock Unit Award may be subject to such terms, conditions and restrictions (including but not limited to restrictions on the sale of Stock), as set forth in the applicable Restricted Stock Agreement, and shall determine whether a Restricted Stock Unit Award is to be settled at vesting by the issuance of Stock or the payment of cash or other consideration.</w:t>
      </w:r>
    </w:p>
    <w:p w:rsidR="00376768" w:rsidRDefault="00EC2B72">
      <w:pPr>
        <w:spacing w:before="160"/>
        <w:jc w:val="both"/>
        <w:rPr>
          <w:rFonts w:ascii="Arial" w:hAnsi="Arial" w:cs="Arial"/>
          <w:szCs w:val="20"/>
        </w:rPr>
      </w:pPr>
      <w:r>
        <w:rPr>
          <w:rFonts w:ascii="Arial" w:hAnsi="Arial" w:cs="Arial"/>
          <w:szCs w:val="20"/>
        </w:rPr>
        <w:t>5.2</w:t>
      </w:r>
      <w:r>
        <w:rPr>
          <w:rFonts w:ascii="Arial" w:hAnsi="Arial" w:cs="Arial"/>
          <w:szCs w:val="20"/>
        </w:rPr>
        <w:tab/>
      </w:r>
      <w:r>
        <w:rPr>
          <w:rFonts w:ascii="Arial" w:hAnsi="Arial" w:cs="Arial"/>
          <w:szCs w:val="20"/>
          <w:u w:val="single"/>
        </w:rPr>
        <w:t>Vesting Requirements</w:t>
      </w:r>
      <w:r>
        <w:rPr>
          <w:rFonts w:ascii="Arial" w:hAnsi="Arial" w:cs="Arial"/>
          <w:szCs w:val="20"/>
        </w:rPr>
        <w:t xml:space="preserve">. The restrictions imposed on a Restricted Stock Award shall lapse, and a Restricted Stock Unit Award shall vest, in accordance with the vesting schedule specified by the Committee in the Restricted Stock Agreement, subject to Section 1.3(g) of this Plan. Such vesting requirements may be based on the continued service of </w:t>
      </w:r>
      <w:r>
        <w:rPr>
          <w:rFonts w:ascii="Arial" w:hAnsi="Arial" w:cs="Arial"/>
          <w:szCs w:val="20"/>
        </w:rPr>
        <w:lastRenderedPageBreak/>
        <w:t xml:space="preserve">the Participant with the Company or its affiliates (including any Subsidiary) for a specified time period (or periods), on the attainment of specified performance goals established by the Committee in its discretion, or such other terms and conditions established by the Committee. Except as otherwise provided in this Plan or the Restricted Stock Agreement, if the vesting requirements of a Restricted Stock Award or Restricted Stock Unit Award are not satisfied, the Award shall be Forfeited and the Stock subject to the Award shall be returned to the Company and eligible for reissuance under the Plan. </w:t>
      </w:r>
    </w:p>
    <w:p w:rsidR="00376768" w:rsidRDefault="00EC2B72">
      <w:pPr>
        <w:spacing w:before="160" w:after="100"/>
        <w:jc w:val="both"/>
        <w:rPr>
          <w:rFonts w:ascii="Arial" w:hAnsi="Arial" w:cs="Arial"/>
          <w:szCs w:val="20"/>
        </w:rPr>
      </w:pPr>
      <w:r>
        <w:rPr>
          <w:rFonts w:ascii="Arial" w:hAnsi="Arial" w:cs="Arial"/>
          <w:szCs w:val="20"/>
        </w:rPr>
        <w:t>5.3</w:t>
      </w:r>
      <w:r>
        <w:rPr>
          <w:rFonts w:ascii="Arial" w:hAnsi="Arial" w:cs="Arial"/>
          <w:szCs w:val="20"/>
        </w:rPr>
        <w:tab/>
      </w:r>
      <w:r>
        <w:rPr>
          <w:rFonts w:ascii="Arial" w:hAnsi="Arial" w:cs="Arial"/>
          <w:szCs w:val="20"/>
          <w:u w:val="single"/>
        </w:rPr>
        <w:t>Restrictions</w:t>
      </w:r>
      <w:r>
        <w:rPr>
          <w:rFonts w:ascii="Arial" w:hAnsi="Arial" w:cs="Arial"/>
          <w:szCs w:val="20"/>
        </w:rPr>
        <w:t>. A Restricted Stock Award and a Restricted Stock Unit Award may not be transferred, assigned or subject to any encumbrance, pledge or charge until all applicable restrictions are removed or have expired, unless otherwise permitted by the Committee. Failure to satisfy any applicable restrictions shall result in the Award being Forfeited and the Stock subject to the Award shall be returned to the Company and eligible for reissuance under the Plan. The Committee may require in a Restricted Stock Agreement that certificates representing the Restricted Stock Award bear a legend making appropriate reference to the restrictions imposed, and that certificates representing the Stock subject to such Restricted Stock Award will remain in the physical custody of the Company or an escrow holder (including the transfer agent for the Stock) until all restrictions are removed or have expired.</w:t>
      </w:r>
    </w:p>
    <w:p w:rsidR="00376768" w:rsidRDefault="00EC2B72">
      <w:pPr>
        <w:spacing w:before="160"/>
        <w:jc w:val="both"/>
        <w:rPr>
          <w:rFonts w:ascii="Arial" w:hAnsi="Arial" w:cs="Arial"/>
          <w:szCs w:val="20"/>
        </w:rPr>
      </w:pPr>
      <w:r>
        <w:rPr>
          <w:rFonts w:ascii="Arial" w:hAnsi="Arial" w:cs="Arial"/>
          <w:szCs w:val="20"/>
        </w:rPr>
        <w:t>5.4</w:t>
      </w:r>
      <w:r>
        <w:rPr>
          <w:rFonts w:ascii="Arial" w:hAnsi="Arial" w:cs="Arial"/>
          <w:szCs w:val="20"/>
        </w:rPr>
        <w:tab/>
      </w:r>
      <w:r>
        <w:rPr>
          <w:rFonts w:ascii="Arial" w:hAnsi="Arial" w:cs="Arial"/>
          <w:szCs w:val="20"/>
          <w:u w:val="single"/>
        </w:rPr>
        <w:t>Rights as a Shareholder</w:t>
      </w:r>
      <w:r>
        <w:rPr>
          <w:rFonts w:ascii="Arial" w:hAnsi="Arial" w:cs="Arial"/>
          <w:szCs w:val="20"/>
        </w:rPr>
        <w:t xml:space="preserve">. </w:t>
      </w:r>
    </w:p>
    <w:p w:rsidR="00376768" w:rsidRDefault="00EC2B72">
      <w:pPr>
        <w:spacing w:before="160"/>
        <w:ind w:firstLine="720"/>
        <w:jc w:val="both"/>
        <w:rPr>
          <w:rFonts w:ascii="Arial" w:hAnsi="Arial" w:cs="Arial"/>
          <w:szCs w:val="20"/>
        </w:rPr>
      </w:pPr>
      <w:r>
        <w:rPr>
          <w:rFonts w:ascii="Arial" w:hAnsi="Arial" w:cs="Arial"/>
          <w:szCs w:val="20"/>
        </w:rPr>
        <w:t>(a)</w:t>
      </w:r>
      <w:r>
        <w:rPr>
          <w:rFonts w:ascii="Arial" w:hAnsi="Arial" w:cs="Arial"/>
          <w:szCs w:val="20"/>
        </w:rPr>
        <w:tab/>
        <w:t>Subject to the foregoing provisions of this Article V and the applicable Restricted Stock Agreement, the holder of a Restricted Stock Award shall have all rights of a shareholder with respect to the Stock granted to the Participant under a Restricted Stock Award, including the right to vote the Stock and receive all Dividends (to the extent issued by the Company, subject to the limitations provided herein) and other distributions paid or made with respect to Restricted Stock Awards, except that (i) the Participant shall not be entitled to possession of the stock certificate (in the event paper certificates are issued) until the Restriction Period shall have expired, (ii) the Company shall retain custody of the Stock during the Restriction Period, (iii) the Participant may not sell, transfer, pledge, exchange, hypothecate or otherwise dispose of the Stock during the Restriction Period, and (iv) a breach of the terms and conditions established by the Committee pursuant to the Restricted Stock Agreement shall cause a Forfeiture of the applicable Award. Notwithstanding the foregoing, Dividends with respect to an unvested Restricted Stock Award will be withheld by the Company and credited to a Participant account; provided that any such Dividends shall vest only if and to the extent that the underlying Restricted Stock Award vests, as determined by the Committee. Any Dividends so withheld by the Committee and attributable to any particular share of Stock of a Restricted Stock Award shall be subject to the same restrictions on transferability as the share of the Restricted Stock Award with respect to which they were paid, and, if such shares are forfeited, the Participant shall have no right to such Dividends. For the avoidance of doubt, in no event shall Dividends with respect to a Restricted Stock Award be paid to a Participant unless and until the underlying Award vests.</w:t>
      </w:r>
    </w:p>
    <w:p w:rsidR="00376768" w:rsidRDefault="00EC2B72">
      <w:pPr>
        <w:spacing w:before="160"/>
        <w:ind w:firstLine="720"/>
        <w:jc w:val="both"/>
        <w:rPr>
          <w:rFonts w:ascii="Arial" w:hAnsi="Arial" w:cs="Arial"/>
          <w:szCs w:val="20"/>
        </w:rPr>
      </w:pPr>
      <w:r>
        <w:rPr>
          <w:rFonts w:ascii="Arial" w:hAnsi="Arial" w:cs="Arial"/>
          <w:szCs w:val="20"/>
        </w:rPr>
        <w:t>(b)</w:t>
      </w:r>
      <w:r>
        <w:rPr>
          <w:rFonts w:ascii="Arial" w:hAnsi="Arial" w:cs="Arial"/>
          <w:szCs w:val="20"/>
        </w:rPr>
        <w:tab/>
        <w:t xml:space="preserve">The Committee may provide in a Restricted Stock Agreement for a Restricted Stock Unit Award for the payment of Dividends or Dividend Equivalent Rights and distributions to the Participant at such times as paid to shareholders generally or at the times of vesting or other payment of the Award to the extent not inconsistent with Section 409A and Section 10.7; provided, however, that Dividend Equivalent Rights on Restricted Stock Unit Awards shall be deferred until and paid contingent upon the vesting of the Award. Any such Dividend Equivalent Rights on Restricted Stock Unit Awards shall be subject to the same restrictions on transferability as the shares of Stock underlying the Restricted Stock Unit Awards, and, if such shares are forfeited, the Participant shall have no right to such Dividend Equivalent Rights. For the avoidance of doubt, in no event shall Dividend Equivalent Rights with respect to a Restricted Stock Unit Award be paid to a Participant unless and until the underlying Restricted Stock Unit Award vests. </w:t>
      </w:r>
    </w:p>
    <w:p w:rsidR="00376768" w:rsidRDefault="00EC2B72">
      <w:pPr>
        <w:spacing w:before="160" w:after="100"/>
        <w:ind w:firstLine="720"/>
        <w:jc w:val="both"/>
        <w:rPr>
          <w:rFonts w:ascii="Arial" w:hAnsi="Arial" w:cs="Arial"/>
          <w:szCs w:val="20"/>
        </w:rPr>
      </w:pPr>
      <w:r>
        <w:rPr>
          <w:rFonts w:ascii="Arial" w:hAnsi="Arial" w:cs="Arial"/>
          <w:szCs w:val="20"/>
        </w:rPr>
        <w:t>5.5</w:t>
      </w:r>
      <w:r>
        <w:rPr>
          <w:rFonts w:ascii="Arial" w:hAnsi="Arial" w:cs="Arial"/>
          <w:szCs w:val="20"/>
        </w:rPr>
        <w:tab/>
      </w:r>
      <w:r>
        <w:rPr>
          <w:rFonts w:ascii="Arial" w:hAnsi="Arial" w:cs="Arial"/>
          <w:szCs w:val="20"/>
          <w:u w:val="single"/>
        </w:rPr>
        <w:t>Section 83(b) Election</w:t>
      </w:r>
      <w:r>
        <w:rPr>
          <w:rFonts w:ascii="Arial" w:hAnsi="Arial" w:cs="Arial"/>
          <w:szCs w:val="20"/>
        </w:rPr>
        <w:t>. If a Participant makes an election pursuant to Code Section 83(b) with respect to a Restricted Stock Award, the Participant shall file, within 30 days following the date of grant, a copy of such election with the Company and with the Internal Revenue Service in accordance with the regulations under Code Section 83. The Committee may provide in a Restricted Stock Agreement that the Restricted Stock Award is conditioned upon the Participant’s making or refraining from making an election with respect to the Award under Code Section 83(b).</w:t>
      </w:r>
    </w:p>
    <w:p w:rsidR="00376768" w:rsidRDefault="00EC2B72">
      <w:pPr>
        <w:spacing w:before="160"/>
        <w:jc w:val="center"/>
        <w:rPr>
          <w:rFonts w:ascii="Arial" w:hAnsi="Arial" w:cs="Arial"/>
          <w:szCs w:val="20"/>
        </w:rPr>
      </w:pPr>
      <w:r>
        <w:rPr>
          <w:rFonts w:ascii="Arial" w:hAnsi="Arial" w:cs="Arial"/>
          <w:b/>
          <w:bCs/>
          <w:szCs w:val="20"/>
        </w:rPr>
        <w:t>ARTICLE VI</w:t>
      </w:r>
    </w:p>
    <w:p w:rsidR="00376768" w:rsidRDefault="00EC2B72">
      <w:pPr>
        <w:spacing w:before="160"/>
        <w:jc w:val="center"/>
        <w:rPr>
          <w:rFonts w:ascii="Arial" w:hAnsi="Arial" w:cs="Arial"/>
          <w:szCs w:val="20"/>
        </w:rPr>
      </w:pPr>
      <w:r>
        <w:rPr>
          <w:rFonts w:ascii="Arial" w:hAnsi="Arial" w:cs="Arial"/>
          <w:b/>
          <w:bCs/>
          <w:szCs w:val="20"/>
        </w:rPr>
        <w:t>PERFORMANCE GRANTS</w:t>
      </w:r>
    </w:p>
    <w:p w:rsidR="00376768" w:rsidRDefault="00EC2B72">
      <w:pPr>
        <w:spacing w:before="160"/>
        <w:jc w:val="both"/>
        <w:rPr>
          <w:rFonts w:ascii="Arial" w:hAnsi="Arial" w:cs="Arial"/>
          <w:szCs w:val="20"/>
        </w:rPr>
      </w:pPr>
      <w:r>
        <w:rPr>
          <w:rFonts w:ascii="Arial" w:hAnsi="Arial" w:cs="Arial"/>
          <w:szCs w:val="20"/>
        </w:rPr>
        <w:t>6.1</w:t>
      </w:r>
      <w:r>
        <w:rPr>
          <w:rFonts w:ascii="Arial" w:hAnsi="Arial" w:cs="Arial"/>
          <w:szCs w:val="20"/>
        </w:rPr>
        <w:tab/>
      </w:r>
      <w:r>
        <w:rPr>
          <w:rFonts w:ascii="Arial" w:hAnsi="Arial" w:cs="Arial"/>
          <w:szCs w:val="20"/>
          <w:u w:val="single"/>
        </w:rPr>
        <w:t>Participation</w:t>
      </w:r>
      <w:r>
        <w:rPr>
          <w:rFonts w:ascii="Arial" w:hAnsi="Arial" w:cs="Arial"/>
          <w:szCs w:val="20"/>
        </w:rPr>
        <w:t xml:space="preserve">. Subject to the provisions of the Plan, the Committee may make Performance Grants to Key Personnel and Directors in accordance with the provisions of this Article VI. </w:t>
      </w:r>
    </w:p>
    <w:p w:rsidR="00376768" w:rsidRDefault="00EC2B72">
      <w:pPr>
        <w:spacing w:before="160"/>
        <w:jc w:val="both"/>
        <w:rPr>
          <w:rFonts w:ascii="Arial" w:hAnsi="Arial" w:cs="Arial"/>
          <w:szCs w:val="20"/>
        </w:rPr>
      </w:pPr>
      <w:r>
        <w:rPr>
          <w:rFonts w:ascii="Arial" w:hAnsi="Arial" w:cs="Arial"/>
          <w:szCs w:val="20"/>
        </w:rPr>
        <w:t>6.2</w:t>
      </w:r>
      <w:r>
        <w:rPr>
          <w:rFonts w:ascii="Arial" w:hAnsi="Arial" w:cs="Arial"/>
          <w:szCs w:val="20"/>
        </w:rPr>
        <w:tab/>
      </w:r>
      <w:r>
        <w:rPr>
          <w:rFonts w:ascii="Arial" w:hAnsi="Arial" w:cs="Arial"/>
          <w:szCs w:val="20"/>
          <w:u w:val="single"/>
        </w:rPr>
        <w:t>Grant</w:t>
      </w:r>
      <w:r>
        <w:rPr>
          <w:rFonts w:ascii="Arial" w:hAnsi="Arial" w:cs="Arial"/>
          <w:szCs w:val="20"/>
        </w:rPr>
        <w:t xml:space="preserve">. The Committee shall have sole and complete authority to determine the Key Personnel and Directors who shall receive a Performance Grant, which shall consist of a right that is (i) denominated in cash, Stock or any other form of Award issuable under the Plan (or any combination thereof), (ii) valued, as determined by the Committee, in accordance with the achievement of such performance goals during such performance periods as the Committee shall establish and (iii) payable at such time and in such form as the Committee shall determine. Unless otherwise determined by the Committee, any such Performance Grant shall be evidenced by a Performance Grant Agreement containing the terms of </w:t>
      </w:r>
      <w:r>
        <w:rPr>
          <w:rFonts w:ascii="Arial" w:hAnsi="Arial" w:cs="Arial"/>
          <w:szCs w:val="20"/>
        </w:rPr>
        <w:lastRenderedPageBreak/>
        <w:t xml:space="preserve">the Award, including, but not limited to, the performance criteria and such terms and conditions as may be determined, from time to time, by the Committee, in each case not inconsistent with this Plan. </w:t>
      </w:r>
    </w:p>
    <w:p w:rsidR="00376768" w:rsidRDefault="00EC2B72">
      <w:pPr>
        <w:spacing w:before="160"/>
        <w:jc w:val="both"/>
        <w:rPr>
          <w:rFonts w:ascii="Arial" w:hAnsi="Arial" w:cs="Arial"/>
          <w:szCs w:val="20"/>
        </w:rPr>
      </w:pPr>
      <w:r>
        <w:rPr>
          <w:rFonts w:ascii="Arial" w:hAnsi="Arial" w:cs="Arial"/>
          <w:szCs w:val="20"/>
        </w:rPr>
        <w:t>6.3</w:t>
      </w:r>
      <w:r>
        <w:rPr>
          <w:rFonts w:ascii="Arial" w:hAnsi="Arial" w:cs="Arial"/>
          <w:szCs w:val="20"/>
        </w:rPr>
        <w:tab/>
      </w:r>
      <w:r>
        <w:rPr>
          <w:rFonts w:ascii="Arial" w:hAnsi="Arial" w:cs="Arial"/>
          <w:szCs w:val="20"/>
          <w:u w:val="single"/>
        </w:rPr>
        <w:t>Terms and Conditions</w:t>
      </w:r>
      <w:r>
        <w:rPr>
          <w:rFonts w:ascii="Arial" w:hAnsi="Arial" w:cs="Arial"/>
          <w:szCs w:val="20"/>
        </w:rPr>
        <w:t xml:space="preserve">. </w:t>
      </w:r>
    </w:p>
    <w:p w:rsidR="00376768" w:rsidRDefault="00EC2B72">
      <w:pPr>
        <w:spacing w:before="160" w:after="100"/>
        <w:ind w:firstLine="720"/>
        <w:jc w:val="both"/>
        <w:rPr>
          <w:rFonts w:ascii="Arial" w:hAnsi="Arial" w:cs="Arial"/>
          <w:szCs w:val="20"/>
        </w:rPr>
      </w:pPr>
      <w:r>
        <w:rPr>
          <w:rFonts w:ascii="Arial" w:hAnsi="Arial" w:cs="Arial"/>
          <w:szCs w:val="20"/>
        </w:rPr>
        <w:t>(a)</w:t>
      </w:r>
      <w:r>
        <w:rPr>
          <w:rFonts w:ascii="Arial" w:hAnsi="Arial" w:cs="Arial"/>
          <w:szCs w:val="20"/>
        </w:rPr>
        <w:tab/>
        <w:t>For Awards intended to be performance-based compensation under Section 162(m) of the Code, Performance Grants shall be conditioned upon the achievement of pre-established goals relating to one or more of the following performance measures, as determined in writing by the Committee and subject to such modifications as specified by the Committee: cash flow; cash flow from operations; earnings (including, but not limited to, earnings before interest, taxes, depreciation and amortization or some variation thereof); earnings per share, diluted or basic; earnings per share from continuing operations; net asset turnover; inventory turnover; days sales outstanding on receivables; capital expenditures; debt; debt reduction; working capital (including as a percentage of sales); return on investment; return on sales; return on invested capital; net or gross sales; gross profit on sales; material gross profit (gross profit on material portion of sales); performance profit (operating income minus an allocated charge approximating the Company’s cost of capital, before or after tax); purchase variance; delivery variance; quality; customer satisfaction; comparable site sales; market share; economic value added; cost of capital; change in assets; expense reduction levels; productivity; delivery performance; safety record and/or performance; environmental record and/or performance; stock price; return on equity or capital employed; total or relative increases to shareholder return; return on capital; return on assets or net assets; revenue; income or net income; operating income or net operating income; operating income adjusted for management fees and depreciation and amortization; pre-tax income (including on an as-adjusted basis); operating profit or net operating profit; non-performing assets; asset sale targets; value of assets; employee retention/attrition rates; investments; regulatory compliance; satisfactory internal or external audits; improvement of financial ratings; value creation; gross margin, operating margin or profit margin; completion of acquisitions, business expansion, product diversification, new or expanded market penetration and other non-financial operating and management performance objectives, any combination of the foregoing, and such other business performance criteria as may, from time to time, be established by the Committee in the applicable Award Agreement. For the avoidance of doubt, the Committee may approve Qualified Performance-Based Awards under this Plan that are based upon the measures set forth above for Awards other than those that are intended to satisfy the qualified performance-based compensation exception under Section 162(m) of the Code.</w:t>
      </w:r>
    </w:p>
    <w:p w:rsidR="00376768" w:rsidRDefault="00EC2B72">
      <w:pPr>
        <w:spacing w:before="160"/>
        <w:ind w:firstLine="720"/>
        <w:jc w:val="both"/>
        <w:rPr>
          <w:rFonts w:ascii="Arial" w:hAnsi="Arial" w:cs="Arial"/>
          <w:szCs w:val="20"/>
        </w:rPr>
      </w:pPr>
      <w:r>
        <w:rPr>
          <w:rFonts w:ascii="Arial" w:hAnsi="Arial" w:cs="Arial"/>
          <w:szCs w:val="20"/>
        </w:rPr>
        <w:t>(b)</w:t>
      </w:r>
      <w:r>
        <w:rPr>
          <w:rFonts w:ascii="Arial" w:hAnsi="Arial" w:cs="Arial"/>
          <w:szCs w:val="20"/>
        </w:rPr>
        <w:tab/>
        <w:t xml:space="preserve">To the extent consistent with Section 162(m), the Committee may determine, at the time the performance goals are established to Qualified Performance-Based Awards, that certain adjustments shall apply, in whole or in part, in such manner as determined by the Committee, to exclude or include the effect of any of the following events that occur during a performance period: the impairment of tangible or intangible assets; litigation or claim judgments or settlements; the effect of changes in tax law, accounting principles or other such laws or provisions affecting reported results; business combinations, reorganizations and/or restructuring programs, including, but not limited to, reductions in force and early retirement incentives; currency fluctuations; and any unusual, infrequent or non-recurring items, including, but not limited to, such items described in management’s discussion and analysis of financial condition and results of operations or the financial statements and/or notes thereto appearing in the Company’s annual report to shareholders for the applicable period. </w:t>
      </w:r>
    </w:p>
    <w:p w:rsidR="00376768" w:rsidRDefault="00EC2B72">
      <w:pPr>
        <w:spacing w:before="160"/>
        <w:ind w:firstLine="720"/>
        <w:jc w:val="both"/>
        <w:rPr>
          <w:rFonts w:ascii="Arial" w:hAnsi="Arial" w:cs="Arial"/>
          <w:szCs w:val="20"/>
        </w:rPr>
      </w:pPr>
      <w:r>
        <w:rPr>
          <w:rFonts w:ascii="Arial" w:hAnsi="Arial" w:cs="Arial"/>
          <w:szCs w:val="20"/>
        </w:rPr>
        <w:t>(c)</w:t>
      </w:r>
      <w:r>
        <w:rPr>
          <w:rFonts w:ascii="Arial" w:hAnsi="Arial" w:cs="Arial"/>
          <w:szCs w:val="20"/>
        </w:rPr>
        <w:tab/>
        <w:t xml:space="preserve">Performance measures may be determined either individually, alternatively or in any combination, applied to either the Company as a whole or to a business unit or subsidiary entity thereof, either individually, alternatively or in any combination, and measured cumulatively over a period of years, on an absolute basis or relative to a pre-established target, to previous fiscal years’ results or to a designated comparison group, in each case as specified by the Committee. </w:t>
      </w:r>
    </w:p>
    <w:p w:rsidR="00376768" w:rsidRDefault="00EC2B72">
      <w:pPr>
        <w:spacing w:before="160"/>
        <w:jc w:val="both"/>
        <w:rPr>
          <w:rFonts w:ascii="Arial" w:hAnsi="Arial" w:cs="Arial"/>
          <w:szCs w:val="20"/>
        </w:rPr>
      </w:pPr>
      <w:r>
        <w:rPr>
          <w:rFonts w:ascii="Arial" w:hAnsi="Arial" w:cs="Arial"/>
          <w:szCs w:val="20"/>
        </w:rPr>
        <w:t>6.4</w:t>
      </w:r>
      <w:r>
        <w:rPr>
          <w:rFonts w:ascii="Arial" w:hAnsi="Arial" w:cs="Arial"/>
          <w:szCs w:val="20"/>
        </w:rPr>
        <w:tab/>
      </w:r>
      <w:proofErr w:type="spellStart"/>
      <w:r>
        <w:rPr>
          <w:rFonts w:ascii="Arial" w:hAnsi="Arial" w:cs="Arial"/>
          <w:szCs w:val="20"/>
          <w:u w:val="single"/>
        </w:rPr>
        <w:t>Preestablished</w:t>
      </w:r>
      <w:proofErr w:type="spellEnd"/>
      <w:r>
        <w:rPr>
          <w:rFonts w:ascii="Arial" w:hAnsi="Arial" w:cs="Arial"/>
          <w:szCs w:val="20"/>
          <w:u w:val="single"/>
        </w:rPr>
        <w:t xml:space="preserve"> Performance Goals</w:t>
      </w:r>
      <w:r>
        <w:rPr>
          <w:rFonts w:ascii="Arial" w:hAnsi="Arial" w:cs="Arial"/>
          <w:szCs w:val="20"/>
        </w:rPr>
        <w:t xml:space="preserve">. For Awards intended to be performance-based compensation under Section 162(m), performance goals relating to the performance measures set forth above shall be </w:t>
      </w:r>
      <w:proofErr w:type="spellStart"/>
      <w:r>
        <w:rPr>
          <w:rFonts w:ascii="Arial" w:hAnsi="Arial" w:cs="Arial"/>
          <w:szCs w:val="20"/>
        </w:rPr>
        <w:t>preestablished</w:t>
      </w:r>
      <w:proofErr w:type="spellEnd"/>
      <w:r>
        <w:rPr>
          <w:rFonts w:ascii="Arial" w:hAnsi="Arial" w:cs="Arial"/>
          <w:szCs w:val="20"/>
        </w:rPr>
        <w:t xml:space="preserve"> in writing by the Committee, and achievement thereof certified in writing prior to payment of the Award, as required by Section 162(m) and treasury regulations promulgated thereunder. All such performance goals shall be established in writing by the Committee no later than the earlier of (i) ninety (90) days after the beginning of the applicable performance period or (ii) the date on which 25% of the performance period has been completed, or within such other timeframe as may be required or permitted by Section 162(m) and treasury regulations promulgated thereunder. In addition to establishing minimum performance goals below which no compensation shall be payable pursuant to a Performance Grant, the Committee, in its sole discretion, may create a performance schedule under which an amount less than or more than the target award may be paid so long as the performance goals have been achieved. </w:t>
      </w:r>
    </w:p>
    <w:p w:rsidR="00376768" w:rsidRDefault="00EC2B72">
      <w:pPr>
        <w:spacing w:before="160"/>
        <w:jc w:val="both"/>
        <w:rPr>
          <w:rFonts w:ascii="Arial" w:hAnsi="Arial" w:cs="Arial"/>
          <w:szCs w:val="20"/>
        </w:rPr>
      </w:pPr>
      <w:r>
        <w:rPr>
          <w:rFonts w:ascii="Arial" w:hAnsi="Arial" w:cs="Arial"/>
          <w:szCs w:val="20"/>
        </w:rPr>
        <w:t>6.5</w:t>
      </w:r>
      <w:r>
        <w:rPr>
          <w:rFonts w:ascii="Arial" w:hAnsi="Arial" w:cs="Arial"/>
          <w:szCs w:val="20"/>
        </w:rPr>
        <w:tab/>
      </w:r>
      <w:r>
        <w:rPr>
          <w:rFonts w:ascii="Arial" w:hAnsi="Arial" w:cs="Arial"/>
          <w:szCs w:val="20"/>
          <w:u w:val="single"/>
        </w:rPr>
        <w:t>Additional Restrictions/Negative Discretion</w:t>
      </w:r>
      <w:r>
        <w:rPr>
          <w:rFonts w:ascii="Arial" w:hAnsi="Arial" w:cs="Arial"/>
          <w:szCs w:val="20"/>
        </w:rPr>
        <w:t xml:space="preserve">. The Committee, in its sole discretion, may also establish such additional restrictions or conditions that must be satisfied as a condition precedent to the payment of all or a portion of any Performance Grants. Such additional restrictions or conditions need not be performance-based and may include, among other things, the receipt by a Participant of a specified annual performance rating, the continued employment by the Participant and/or the achievement of specified performance goals by the Company, business unit or Participant. </w:t>
      </w:r>
      <w:r>
        <w:rPr>
          <w:rFonts w:ascii="Arial" w:hAnsi="Arial" w:cs="Arial"/>
          <w:szCs w:val="20"/>
        </w:rPr>
        <w:lastRenderedPageBreak/>
        <w:t>Furthermore, and notwithstanding any provision of this Plan to the contrary, the Committee, in its sole discretion, may retain the discretion to increase or reduce the amount of any Performance Grant payable to a Participant if it concludes that such increase or reduction is necessary or appropriate based upon: (i) an evaluation of such Participant’s performance; (ii) comparisons with compensation received by other similarly-situated individuals working within the Company’s industry; (iii) the Company’s financial results and conditions; or (iv) such other factors or conditions that the Committee deems relevant; provided, however, that the Committee shall not use its discretionary authority to increase any Award that is intended to be performance-based compensation under Section 162(m).</w:t>
      </w:r>
    </w:p>
    <w:p w:rsidR="00376768" w:rsidRDefault="00EC2B72">
      <w:pPr>
        <w:spacing w:before="160"/>
        <w:jc w:val="both"/>
        <w:rPr>
          <w:rFonts w:ascii="Arial" w:hAnsi="Arial" w:cs="Arial"/>
          <w:szCs w:val="20"/>
        </w:rPr>
      </w:pPr>
      <w:r>
        <w:rPr>
          <w:rFonts w:ascii="Arial" w:hAnsi="Arial" w:cs="Arial"/>
          <w:szCs w:val="20"/>
        </w:rPr>
        <w:t>6.6</w:t>
      </w:r>
      <w:r>
        <w:rPr>
          <w:rFonts w:ascii="Arial" w:hAnsi="Arial" w:cs="Arial"/>
          <w:szCs w:val="20"/>
        </w:rPr>
        <w:tab/>
      </w:r>
      <w:r>
        <w:rPr>
          <w:rFonts w:ascii="Arial" w:hAnsi="Arial" w:cs="Arial"/>
          <w:szCs w:val="20"/>
          <w:u w:val="single"/>
        </w:rPr>
        <w:t>Payment of Performance Awards</w:t>
      </w:r>
      <w:r>
        <w:rPr>
          <w:rFonts w:ascii="Arial" w:hAnsi="Arial" w:cs="Arial"/>
          <w:szCs w:val="20"/>
        </w:rPr>
        <w:t xml:space="preserve">. Payment of a Performance Grant (i) may be in cash, Stock (which may include Restricted Stock or Restricted Stock Units) or a combination thereof, as determined by the Committee in its sole discretion, (ii) may be made in a lump sum or in installments following the close of each performance period as provided by the Committee in the Performance Grant Agreement, and (iii) to the extent applicable, shall be based on the Fair Market Value of the Stock. </w:t>
      </w:r>
    </w:p>
    <w:p w:rsidR="00376768" w:rsidRDefault="00EC2B72">
      <w:pPr>
        <w:spacing w:before="160"/>
        <w:jc w:val="both"/>
        <w:rPr>
          <w:rFonts w:ascii="Arial" w:hAnsi="Arial" w:cs="Arial"/>
          <w:szCs w:val="20"/>
        </w:rPr>
      </w:pPr>
      <w:r>
        <w:rPr>
          <w:rFonts w:ascii="Arial" w:hAnsi="Arial" w:cs="Arial"/>
          <w:szCs w:val="20"/>
        </w:rPr>
        <w:t>6.7</w:t>
      </w:r>
      <w:r>
        <w:rPr>
          <w:rFonts w:ascii="Arial" w:hAnsi="Arial" w:cs="Arial"/>
          <w:szCs w:val="20"/>
        </w:rPr>
        <w:tab/>
      </w:r>
      <w:r>
        <w:rPr>
          <w:rFonts w:ascii="Arial" w:hAnsi="Arial" w:cs="Arial"/>
          <w:szCs w:val="20"/>
          <w:u w:val="single"/>
        </w:rPr>
        <w:t>Rights with Respect to Stock and Other Securities</w:t>
      </w:r>
      <w:r>
        <w:rPr>
          <w:rFonts w:ascii="Arial" w:hAnsi="Arial" w:cs="Arial"/>
          <w:szCs w:val="20"/>
        </w:rPr>
        <w:t xml:space="preserve">. Unless otherwise determined by the Committee in its discretion in a Performance Grant Agreement, a Participant to whom an Award is made under this Article (and any Person succeeding to such Participant’s rights pursuant to this Article) shall have no rights as a shareholder with respect to any Stock or as a holder with respect to other securities, if any, issuable pursuant to any such Award until the date a stock certificate evidencing such Stock or until the Participant’s ownership of such Stock shall have been entered into the books of the registrar in the case of </w:t>
      </w:r>
      <w:proofErr w:type="spellStart"/>
      <w:r>
        <w:rPr>
          <w:rFonts w:ascii="Arial" w:hAnsi="Arial" w:cs="Arial"/>
          <w:szCs w:val="20"/>
        </w:rPr>
        <w:t>uncertificated</w:t>
      </w:r>
      <w:proofErr w:type="spellEnd"/>
      <w:r>
        <w:rPr>
          <w:rFonts w:ascii="Arial" w:hAnsi="Arial" w:cs="Arial"/>
          <w:szCs w:val="20"/>
        </w:rPr>
        <w:t xml:space="preserve"> shares. Notwithstanding the foregoing, the Committee may provide for the payment of Dividend Equivalent Rights with respect to Performance Grants, payable </w:t>
      </w:r>
      <w:proofErr w:type="gramStart"/>
      <w:r>
        <w:rPr>
          <w:rFonts w:ascii="Arial" w:hAnsi="Arial" w:cs="Arial"/>
          <w:szCs w:val="20"/>
        </w:rPr>
        <w:t>either in Stock or cash; provided, however, that Dividend Equivalent Rights on Performance Grants shall be deferred until and</w:t>
      </w:r>
      <w:proofErr w:type="gramEnd"/>
      <w:r>
        <w:rPr>
          <w:rFonts w:ascii="Arial" w:hAnsi="Arial" w:cs="Arial"/>
          <w:szCs w:val="20"/>
        </w:rPr>
        <w:t xml:space="preserve"> paid contingent upon the achievement of the applicable performance goals. Any such Dividend Equivalent Rights on Performance Grants shall be subject to the same restrictions on transferability as the shares of Stock underlying the Performance Grants, and, if such shares are forfeited, the Participant shall have no right to such Dividend Equivalent Rights. For the avoidance of doubt, in no event shall Dividend Equivalent Rights with respect to a Performance Grant be paid to a Participant unless and until the underlying Performance Grant vests.</w:t>
      </w:r>
    </w:p>
    <w:p w:rsidR="00376768" w:rsidRDefault="00EC2B72">
      <w:pPr>
        <w:spacing w:before="160"/>
        <w:jc w:val="both"/>
        <w:rPr>
          <w:rFonts w:ascii="Arial" w:hAnsi="Arial" w:cs="Arial"/>
          <w:szCs w:val="20"/>
        </w:rPr>
      </w:pPr>
      <w:proofErr w:type="gramStart"/>
      <w:r>
        <w:rPr>
          <w:rFonts w:ascii="Arial" w:hAnsi="Arial" w:cs="Arial"/>
          <w:szCs w:val="20"/>
          <w:u w:val="single"/>
        </w:rPr>
        <w:t>Termination of a Participant</w:t>
      </w:r>
      <w:r>
        <w:rPr>
          <w:rFonts w:ascii="Arial" w:hAnsi="Arial" w:cs="Arial"/>
          <w:szCs w:val="20"/>
        </w:rPr>
        <w:t>.</w:t>
      </w:r>
      <w:proofErr w:type="gramEnd"/>
      <w:r>
        <w:rPr>
          <w:rFonts w:ascii="Arial" w:hAnsi="Arial" w:cs="Arial"/>
          <w:szCs w:val="20"/>
        </w:rPr>
        <w:t xml:space="preserve"> For all purposes under this Article VI, and unless otherwise determined by the Committee in a Performance Grant Agreement or an employment or severance agreement, Participants who have terminated their employment with the Company prior to the actual payment of an Award for any reason (including but not limited to death, Retirement or Disability) shall Forfeit any and all rights to payment under any Awards then outstanding under the terms of this Article and shall not be entitled to any payment for the performance period. </w:t>
      </w:r>
    </w:p>
    <w:p w:rsidR="00376768" w:rsidRDefault="00EC2B72">
      <w:pPr>
        <w:spacing w:before="160"/>
        <w:jc w:val="center"/>
        <w:rPr>
          <w:rFonts w:ascii="Arial" w:hAnsi="Arial" w:cs="Arial"/>
          <w:szCs w:val="20"/>
        </w:rPr>
      </w:pPr>
      <w:r>
        <w:rPr>
          <w:rFonts w:ascii="Arial" w:hAnsi="Arial" w:cs="Arial"/>
          <w:b/>
          <w:bCs/>
          <w:szCs w:val="20"/>
        </w:rPr>
        <w:t>ARTICLE VII</w:t>
      </w:r>
    </w:p>
    <w:p w:rsidR="00376768" w:rsidRDefault="00EC2B72">
      <w:pPr>
        <w:spacing w:before="160"/>
        <w:jc w:val="center"/>
        <w:rPr>
          <w:rFonts w:ascii="Arial" w:hAnsi="Arial" w:cs="Arial"/>
          <w:szCs w:val="20"/>
        </w:rPr>
      </w:pPr>
      <w:r>
        <w:rPr>
          <w:rFonts w:ascii="Arial" w:hAnsi="Arial" w:cs="Arial"/>
          <w:b/>
          <w:bCs/>
          <w:szCs w:val="20"/>
        </w:rPr>
        <w:t>STOCK APPRECIATION RIGHTS</w:t>
      </w:r>
    </w:p>
    <w:p w:rsidR="00376768" w:rsidRDefault="00EC2B72">
      <w:pPr>
        <w:spacing w:before="160"/>
        <w:ind w:firstLine="720"/>
        <w:jc w:val="both"/>
        <w:rPr>
          <w:rFonts w:ascii="Arial" w:hAnsi="Arial" w:cs="Arial"/>
          <w:szCs w:val="20"/>
        </w:rPr>
      </w:pPr>
      <w:r>
        <w:rPr>
          <w:rFonts w:ascii="Arial" w:hAnsi="Arial" w:cs="Arial"/>
          <w:szCs w:val="20"/>
        </w:rPr>
        <w:t>7.1</w:t>
      </w:r>
      <w:r>
        <w:rPr>
          <w:rFonts w:ascii="Arial" w:hAnsi="Arial" w:cs="Arial"/>
          <w:szCs w:val="20"/>
        </w:rPr>
        <w:tab/>
      </w:r>
      <w:r>
        <w:rPr>
          <w:rFonts w:ascii="Arial" w:hAnsi="Arial" w:cs="Arial"/>
          <w:szCs w:val="20"/>
          <w:u w:val="single"/>
        </w:rPr>
        <w:t>Grant of Stock Appreciation Rights</w:t>
      </w:r>
      <w:r>
        <w:rPr>
          <w:rFonts w:ascii="Arial" w:hAnsi="Arial" w:cs="Arial"/>
          <w:szCs w:val="20"/>
        </w:rPr>
        <w:t>. Subject to the terms of the Plan, the Committee may grant SARs to Key Personnel or Directors, either separately or in tandem with an Option. The Committee shall determine all terms and conditions of each SAR, including but not limited to:</w:t>
      </w:r>
    </w:p>
    <w:p w:rsidR="00376768" w:rsidRDefault="00EC2B72">
      <w:pPr>
        <w:spacing w:before="160"/>
        <w:ind w:firstLine="720"/>
        <w:jc w:val="both"/>
        <w:rPr>
          <w:rFonts w:ascii="Arial" w:hAnsi="Arial" w:cs="Arial"/>
          <w:szCs w:val="20"/>
        </w:rPr>
      </w:pPr>
      <w:r>
        <w:rPr>
          <w:rFonts w:ascii="Arial" w:hAnsi="Arial" w:cs="Arial"/>
          <w:szCs w:val="20"/>
        </w:rPr>
        <w:t>(a)</w:t>
      </w:r>
      <w:r>
        <w:rPr>
          <w:rFonts w:ascii="Arial" w:hAnsi="Arial" w:cs="Arial"/>
          <w:szCs w:val="20"/>
        </w:rPr>
        <w:tab/>
        <w:t>Whether the SAR is granted independently of an Option or in tandem with an Option;</w:t>
      </w:r>
    </w:p>
    <w:p w:rsidR="00376768" w:rsidRDefault="00EC2B72">
      <w:pPr>
        <w:spacing w:before="160"/>
        <w:ind w:firstLine="720"/>
        <w:jc w:val="both"/>
        <w:rPr>
          <w:rFonts w:ascii="Arial" w:hAnsi="Arial" w:cs="Arial"/>
          <w:szCs w:val="20"/>
        </w:rPr>
      </w:pPr>
      <w:r>
        <w:rPr>
          <w:rFonts w:ascii="Arial" w:hAnsi="Arial" w:cs="Arial"/>
          <w:szCs w:val="20"/>
        </w:rPr>
        <w:t>(b)</w:t>
      </w:r>
      <w:r>
        <w:rPr>
          <w:rFonts w:ascii="Arial" w:hAnsi="Arial" w:cs="Arial"/>
          <w:szCs w:val="20"/>
        </w:rPr>
        <w:tab/>
        <w:t>The number of Shares to which the SAR relates;</w:t>
      </w:r>
    </w:p>
    <w:p w:rsidR="00376768" w:rsidRDefault="00EC2B72">
      <w:pPr>
        <w:spacing w:before="160"/>
        <w:ind w:firstLine="720"/>
        <w:jc w:val="both"/>
        <w:rPr>
          <w:rFonts w:ascii="Arial" w:hAnsi="Arial" w:cs="Arial"/>
          <w:szCs w:val="20"/>
        </w:rPr>
      </w:pPr>
      <w:r>
        <w:rPr>
          <w:rFonts w:ascii="Arial" w:hAnsi="Arial" w:cs="Arial"/>
          <w:szCs w:val="20"/>
        </w:rPr>
        <w:t>(c)</w:t>
      </w:r>
      <w:r>
        <w:rPr>
          <w:rFonts w:ascii="Arial" w:hAnsi="Arial" w:cs="Arial"/>
          <w:szCs w:val="20"/>
        </w:rPr>
        <w:tab/>
        <w:t>The date of grant, which may not be prior to the date of the Committee’s approval of the grant;</w:t>
      </w:r>
    </w:p>
    <w:p w:rsidR="00376768" w:rsidRDefault="00EC2B72">
      <w:pPr>
        <w:spacing w:before="160"/>
        <w:ind w:firstLine="720"/>
        <w:jc w:val="both"/>
        <w:rPr>
          <w:rFonts w:ascii="Arial" w:hAnsi="Arial" w:cs="Arial"/>
          <w:szCs w:val="20"/>
        </w:rPr>
      </w:pPr>
      <w:r>
        <w:rPr>
          <w:rFonts w:ascii="Arial" w:hAnsi="Arial" w:cs="Arial"/>
          <w:szCs w:val="20"/>
        </w:rPr>
        <w:t>(d)</w:t>
      </w:r>
      <w:r>
        <w:rPr>
          <w:rFonts w:ascii="Arial" w:hAnsi="Arial" w:cs="Arial"/>
          <w:szCs w:val="20"/>
        </w:rPr>
        <w:tab/>
        <w:t>The grant price, provided that the grant price shall not be less than the Fair Market Value of a share of Stock as of the grant date of the SAR, except in the case of Substitute Awards;</w:t>
      </w:r>
    </w:p>
    <w:p w:rsidR="00376768" w:rsidRDefault="00EC2B72">
      <w:pPr>
        <w:spacing w:before="160"/>
        <w:ind w:firstLine="720"/>
        <w:jc w:val="both"/>
        <w:rPr>
          <w:rFonts w:ascii="Arial" w:hAnsi="Arial" w:cs="Arial"/>
          <w:szCs w:val="20"/>
        </w:rPr>
      </w:pPr>
      <w:r>
        <w:rPr>
          <w:rFonts w:ascii="Arial" w:hAnsi="Arial" w:cs="Arial"/>
          <w:szCs w:val="20"/>
        </w:rPr>
        <w:t>(e)</w:t>
      </w:r>
      <w:r>
        <w:rPr>
          <w:rFonts w:ascii="Arial" w:hAnsi="Arial" w:cs="Arial"/>
          <w:szCs w:val="20"/>
        </w:rPr>
        <w:tab/>
        <w:t xml:space="preserve">SARs shall vest in accordance with the vesting schedule specified by the Committee in the Award Agreement (and subject to the terms and conditions included therein), subject to the terms of this </w:t>
      </w:r>
      <w:proofErr w:type="gramStart"/>
      <w:r>
        <w:rPr>
          <w:rFonts w:ascii="Arial" w:hAnsi="Arial" w:cs="Arial"/>
          <w:szCs w:val="20"/>
        </w:rPr>
        <w:t>Plan ;</w:t>
      </w:r>
      <w:proofErr w:type="gramEnd"/>
    </w:p>
    <w:p w:rsidR="00376768" w:rsidRDefault="00EC2B72">
      <w:pPr>
        <w:spacing w:before="160"/>
        <w:ind w:firstLine="720"/>
        <w:jc w:val="both"/>
        <w:rPr>
          <w:rFonts w:ascii="Arial" w:hAnsi="Arial" w:cs="Arial"/>
          <w:szCs w:val="20"/>
        </w:rPr>
      </w:pPr>
      <w:r>
        <w:rPr>
          <w:rFonts w:ascii="Arial" w:hAnsi="Arial" w:cs="Arial"/>
          <w:szCs w:val="20"/>
        </w:rPr>
        <w:t>(f)</w:t>
      </w:r>
      <w:r>
        <w:rPr>
          <w:rFonts w:ascii="Arial" w:hAnsi="Arial" w:cs="Arial"/>
          <w:szCs w:val="20"/>
        </w:rPr>
        <w:tab/>
        <w:t>The term, provided that no SAR shall be exercisable later than the tenth (10th) anniversary of the date of its grant; and</w:t>
      </w:r>
    </w:p>
    <w:p w:rsidR="00376768" w:rsidRDefault="00EC2B72">
      <w:pPr>
        <w:spacing w:before="160"/>
        <w:ind w:firstLine="720"/>
        <w:jc w:val="both"/>
        <w:rPr>
          <w:rFonts w:ascii="Arial" w:hAnsi="Arial" w:cs="Arial"/>
          <w:szCs w:val="20"/>
        </w:rPr>
      </w:pPr>
      <w:r>
        <w:rPr>
          <w:rFonts w:ascii="Arial" w:hAnsi="Arial" w:cs="Arial"/>
          <w:szCs w:val="20"/>
        </w:rPr>
        <w:t>(g)</w:t>
      </w:r>
      <w:r>
        <w:rPr>
          <w:rFonts w:ascii="Arial" w:hAnsi="Arial" w:cs="Arial"/>
          <w:szCs w:val="20"/>
        </w:rPr>
        <w:tab/>
        <w:t>Whether the SAR will be settled in cash, Shares, or a combination thereof.</w:t>
      </w:r>
    </w:p>
    <w:p w:rsidR="00376768" w:rsidRDefault="00EC2B72">
      <w:pPr>
        <w:spacing w:before="160"/>
        <w:jc w:val="both"/>
        <w:rPr>
          <w:rFonts w:ascii="Arial" w:hAnsi="Arial" w:cs="Arial"/>
          <w:szCs w:val="20"/>
        </w:rPr>
      </w:pPr>
      <w:r>
        <w:rPr>
          <w:rFonts w:ascii="Arial" w:hAnsi="Arial" w:cs="Arial"/>
          <w:szCs w:val="20"/>
        </w:rPr>
        <w:t>7.2</w:t>
      </w:r>
      <w:r>
        <w:rPr>
          <w:rFonts w:ascii="Arial" w:hAnsi="Arial" w:cs="Arial"/>
          <w:szCs w:val="20"/>
        </w:rPr>
        <w:tab/>
      </w:r>
      <w:r>
        <w:rPr>
          <w:rFonts w:ascii="Arial" w:hAnsi="Arial" w:cs="Arial"/>
          <w:szCs w:val="20"/>
          <w:u w:val="single"/>
        </w:rPr>
        <w:t>Exercise of SARs</w:t>
      </w:r>
      <w:r>
        <w:rPr>
          <w:rFonts w:ascii="Arial" w:hAnsi="Arial" w:cs="Arial"/>
          <w:szCs w:val="20"/>
        </w:rPr>
        <w:t xml:space="preserve">. SARs may be exercised in accordance with such terms and conditions as the Committee, in its sole discretion, may specify. The Committee may (i) grant SARs that are subject to the achievement of one or more vesting conditions and </w:t>
      </w:r>
      <w:proofErr w:type="gramStart"/>
      <w:r>
        <w:rPr>
          <w:rFonts w:ascii="Arial" w:hAnsi="Arial" w:cs="Arial"/>
          <w:szCs w:val="20"/>
        </w:rPr>
        <w:t>(ii) accelerate</w:t>
      </w:r>
      <w:proofErr w:type="gramEnd"/>
      <w:r>
        <w:rPr>
          <w:rFonts w:ascii="Arial" w:hAnsi="Arial" w:cs="Arial"/>
          <w:szCs w:val="20"/>
        </w:rPr>
        <w:t xml:space="preserve"> the exercisability of outstanding SARs consistent with the provisions of the Plan. Tandem SARs shall be exercisable only while the Option to which the tandem SAR relates is exercisable. A SAR may provide that it shall be deemed to have been exercised at the close of business on the business day preceding the </w:t>
      </w:r>
      <w:r>
        <w:rPr>
          <w:rFonts w:ascii="Arial" w:hAnsi="Arial" w:cs="Arial"/>
          <w:szCs w:val="20"/>
        </w:rPr>
        <w:lastRenderedPageBreak/>
        <w:t>expiration date of the SAR, or such other date as specified by the Committee, if at such time such SAR has a positive value. Such deemed exercise shall be settled or paid in the same manner as a regular exercise thereof.</w:t>
      </w:r>
    </w:p>
    <w:p w:rsidR="00376768" w:rsidRDefault="00EC2B72">
      <w:pPr>
        <w:spacing w:before="160"/>
        <w:jc w:val="both"/>
        <w:rPr>
          <w:rFonts w:ascii="Arial" w:hAnsi="Arial" w:cs="Arial"/>
          <w:szCs w:val="20"/>
        </w:rPr>
      </w:pPr>
      <w:r>
        <w:rPr>
          <w:rFonts w:ascii="Arial" w:hAnsi="Arial" w:cs="Arial"/>
          <w:szCs w:val="20"/>
        </w:rPr>
        <w:t>7.3</w:t>
      </w:r>
      <w:r>
        <w:rPr>
          <w:rFonts w:ascii="Arial" w:hAnsi="Arial" w:cs="Arial"/>
          <w:szCs w:val="20"/>
        </w:rPr>
        <w:tab/>
      </w:r>
      <w:r>
        <w:rPr>
          <w:rFonts w:ascii="Arial" w:hAnsi="Arial" w:cs="Arial"/>
          <w:szCs w:val="20"/>
          <w:u w:val="single"/>
        </w:rPr>
        <w:t>Tandem SARs</w:t>
      </w:r>
      <w:r>
        <w:rPr>
          <w:rFonts w:ascii="Arial" w:hAnsi="Arial" w:cs="Arial"/>
          <w:szCs w:val="20"/>
        </w:rPr>
        <w:t>. Unless otherwise determined by the Committee, if a SAR is granted in relation to an Option, the SAR shall be exercisable or shall mature at the same time or times, on the same conditions and to the extent and in the proportion, that the related Option is exercisable and may be exercised or mature for all or part of the shares of Stock subject to the related Option. Upon exercise of any number of SARs, the number of shares of Stock subject to the related Option shall be reduced accordingly and such Option may not be exercised with respect to that number of shares of Stock. The exercise of any number of shares of Stock underlying an Option Award that relate to a SAR shall likewise result in an equivalent reduction in the number of shares of Stock covered by the related SAR.</w:t>
      </w:r>
    </w:p>
    <w:p w:rsidR="00376768" w:rsidRDefault="00EC2B72">
      <w:pPr>
        <w:spacing w:before="160"/>
        <w:jc w:val="both"/>
        <w:rPr>
          <w:rFonts w:ascii="Arial" w:hAnsi="Arial" w:cs="Arial"/>
          <w:szCs w:val="20"/>
        </w:rPr>
      </w:pPr>
      <w:r>
        <w:rPr>
          <w:rFonts w:ascii="Arial" w:hAnsi="Arial" w:cs="Arial"/>
          <w:szCs w:val="20"/>
        </w:rPr>
        <w:t>7.4</w:t>
      </w:r>
      <w:r>
        <w:rPr>
          <w:rFonts w:ascii="Arial" w:hAnsi="Arial" w:cs="Arial"/>
          <w:szCs w:val="20"/>
        </w:rPr>
        <w:tab/>
      </w:r>
      <w:r>
        <w:rPr>
          <w:rFonts w:ascii="Arial" w:hAnsi="Arial" w:cs="Arial"/>
          <w:szCs w:val="20"/>
          <w:u w:val="single"/>
        </w:rPr>
        <w:t>Payment of SARs</w:t>
      </w:r>
      <w:r>
        <w:rPr>
          <w:rFonts w:ascii="Arial" w:hAnsi="Arial" w:cs="Arial"/>
          <w:szCs w:val="20"/>
        </w:rPr>
        <w:t xml:space="preserve">. Upon exercise of the SAR, the holder shall be entitled to receive payment of an amount determined by multiplying: (i) the difference between the Fair Market Value of a share of Stock on the date of exercise over the base amount of the SAR as set by the Committee at the date of grant by (ii) the number of shares of Stock with respect to which the SAR is exercised. </w:t>
      </w:r>
    </w:p>
    <w:p w:rsidR="00376768" w:rsidRDefault="00EC2B72">
      <w:pPr>
        <w:spacing w:before="160"/>
        <w:jc w:val="both"/>
        <w:rPr>
          <w:rFonts w:ascii="Arial" w:hAnsi="Arial" w:cs="Arial"/>
          <w:szCs w:val="20"/>
        </w:rPr>
      </w:pPr>
      <w:r>
        <w:rPr>
          <w:rFonts w:ascii="Arial" w:hAnsi="Arial" w:cs="Arial"/>
          <w:szCs w:val="20"/>
        </w:rPr>
        <w:t>7.5</w:t>
      </w:r>
      <w:r>
        <w:rPr>
          <w:rFonts w:ascii="Arial" w:hAnsi="Arial" w:cs="Arial"/>
          <w:szCs w:val="20"/>
        </w:rPr>
        <w:tab/>
      </w:r>
      <w:r>
        <w:rPr>
          <w:rFonts w:ascii="Arial" w:hAnsi="Arial" w:cs="Arial"/>
          <w:szCs w:val="20"/>
          <w:u w:val="single"/>
        </w:rPr>
        <w:t>Shareholder Rights and Privileges</w:t>
      </w:r>
      <w:r>
        <w:rPr>
          <w:rFonts w:ascii="Arial" w:hAnsi="Arial" w:cs="Arial"/>
          <w:szCs w:val="20"/>
        </w:rPr>
        <w:t>. A Participant shall have no rights as a shareholder with respect to any Stock covered by an SAR until the issuance of a stock certificate, or other evidence of ownership is issued, representing such SAR.</w:t>
      </w:r>
    </w:p>
    <w:p w:rsidR="00376768" w:rsidRDefault="00EC2B72">
      <w:pPr>
        <w:spacing w:before="160"/>
        <w:jc w:val="center"/>
        <w:rPr>
          <w:rFonts w:ascii="Arial" w:hAnsi="Arial" w:cs="Arial"/>
          <w:szCs w:val="20"/>
        </w:rPr>
      </w:pPr>
      <w:r>
        <w:rPr>
          <w:rFonts w:ascii="Arial" w:hAnsi="Arial" w:cs="Arial"/>
          <w:b/>
          <w:bCs/>
          <w:szCs w:val="20"/>
        </w:rPr>
        <w:t>ARTICLE VIII</w:t>
      </w:r>
    </w:p>
    <w:p w:rsidR="00376768" w:rsidRDefault="00EC2B72">
      <w:pPr>
        <w:spacing w:before="160"/>
        <w:jc w:val="center"/>
        <w:rPr>
          <w:rFonts w:ascii="Arial" w:hAnsi="Arial" w:cs="Arial"/>
          <w:szCs w:val="20"/>
        </w:rPr>
      </w:pPr>
      <w:r>
        <w:rPr>
          <w:rFonts w:ascii="Arial" w:hAnsi="Arial" w:cs="Arial"/>
          <w:b/>
          <w:bCs/>
          <w:szCs w:val="20"/>
        </w:rPr>
        <w:t>OTHER AWARDS</w:t>
      </w:r>
    </w:p>
    <w:p w:rsidR="00376768" w:rsidRDefault="00EC2B72">
      <w:pPr>
        <w:spacing w:before="160" w:after="100"/>
        <w:jc w:val="both"/>
        <w:rPr>
          <w:rFonts w:ascii="Arial" w:hAnsi="Arial" w:cs="Arial"/>
          <w:szCs w:val="20"/>
        </w:rPr>
      </w:pPr>
      <w:r>
        <w:rPr>
          <w:rFonts w:ascii="Arial" w:hAnsi="Arial" w:cs="Arial"/>
          <w:szCs w:val="20"/>
        </w:rPr>
        <w:t>8.1</w:t>
      </w:r>
      <w:r>
        <w:rPr>
          <w:rFonts w:ascii="Arial" w:hAnsi="Arial" w:cs="Arial"/>
          <w:szCs w:val="20"/>
        </w:rPr>
        <w:tab/>
      </w:r>
      <w:r>
        <w:rPr>
          <w:rFonts w:ascii="Arial" w:hAnsi="Arial" w:cs="Arial"/>
          <w:szCs w:val="20"/>
          <w:u w:val="single"/>
        </w:rPr>
        <w:t>Other Awards</w:t>
      </w:r>
      <w:r>
        <w:rPr>
          <w:rFonts w:ascii="Arial" w:hAnsi="Arial" w:cs="Arial"/>
          <w:szCs w:val="20"/>
        </w:rPr>
        <w:t>. The Committee may, subject to limitations under applicable law, grant to Key Personnel and Directors such other Awards that may be denominated or payable in, valued in whole or in part by reference to, or otherwise based on, or related to, shares of Stock (including Dividends and Dividend Equivalent Rights) or factors that may influence the value of such shares, including, without limitation, convertible or exchangeable debt securities, other rights convertible or exchangeable into shares of Stock, purchase rights for shares of Stock, awards with value and payment contingent upon performance of the Company or specified Subsidiaries, affiliates or other business units thereof or any other factors designated by the Board, and Awards valued by reference to the book value of shares of Stock or the value of securities of, or the performance of specified Subsidiaries or affiliates or other business units of the Company; provided, however, that Dividends or Dividend Equivalent Rights on any such other Awards shall be deferred until and paid contingent upon the achievement of any applicable vesting condition. Any such Dividends or Dividend Equivalent Rights on such other Awards shall be subject to the same restrictions on transferability as the shares of Stock underlying the Awards, and, if such shares are forfeited, the Participant shall have no right to such Dividends or Dividend Equivalent Rights. For the avoidance of doubt, in no event shall Dividends or Dividend Equivalent Rights with respect to such other Award be paid to a Participant unless and until the underlying Award vests. The Board shall determine the terms and conditions of such Awards, which may include, but are not limited to:</w:t>
      </w:r>
    </w:p>
    <w:p w:rsidR="00376768" w:rsidRDefault="00EC2B72">
      <w:pPr>
        <w:spacing w:before="160"/>
        <w:ind w:firstLine="720"/>
        <w:jc w:val="both"/>
        <w:rPr>
          <w:rFonts w:ascii="Arial" w:hAnsi="Arial" w:cs="Arial"/>
          <w:szCs w:val="20"/>
        </w:rPr>
      </w:pPr>
      <w:r>
        <w:rPr>
          <w:rFonts w:ascii="Arial" w:hAnsi="Arial" w:cs="Arial"/>
          <w:szCs w:val="20"/>
        </w:rPr>
        <w:t>(a)</w:t>
      </w:r>
      <w:r>
        <w:rPr>
          <w:rFonts w:ascii="Arial" w:hAnsi="Arial" w:cs="Arial"/>
          <w:szCs w:val="20"/>
        </w:rPr>
        <w:tab/>
      </w:r>
      <w:r>
        <w:rPr>
          <w:rFonts w:ascii="Arial" w:hAnsi="Arial" w:cs="Arial"/>
          <w:szCs w:val="20"/>
          <w:u w:val="single"/>
        </w:rPr>
        <w:t>Stock Award</w:t>
      </w:r>
      <w:r>
        <w:rPr>
          <w:rFonts w:ascii="Arial" w:hAnsi="Arial" w:cs="Arial"/>
          <w:szCs w:val="20"/>
        </w:rPr>
        <w:t xml:space="preserve">. </w:t>
      </w:r>
      <w:proofErr w:type="gramStart"/>
      <w:r>
        <w:rPr>
          <w:rFonts w:ascii="Arial" w:hAnsi="Arial" w:cs="Arial"/>
          <w:szCs w:val="20"/>
        </w:rPr>
        <w:t>An unrestricted transfer of ownership of Stock.</w:t>
      </w:r>
      <w:proofErr w:type="gramEnd"/>
    </w:p>
    <w:p w:rsidR="00376768" w:rsidRDefault="00EC2B72">
      <w:pPr>
        <w:spacing w:before="160"/>
        <w:ind w:firstLine="720"/>
        <w:jc w:val="both"/>
        <w:rPr>
          <w:rFonts w:ascii="Arial" w:hAnsi="Arial" w:cs="Arial"/>
          <w:szCs w:val="20"/>
        </w:rPr>
      </w:pPr>
      <w:r>
        <w:rPr>
          <w:rFonts w:ascii="Arial" w:hAnsi="Arial" w:cs="Arial"/>
          <w:szCs w:val="20"/>
        </w:rPr>
        <w:t>(b)</w:t>
      </w:r>
      <w:r>
        <w:rPr>
          <w:rFonts w:ascii="Arial" w:hAnsi="Arial" w:cs="Arial"/>
          <w:szCs w:val="20"/>
        </w:rPr>
        <w:tab/>
      </w:r>
      <w:r>
        <w:rPr>
          <w:rFonts w:ascii="Arial" w:hAnsi="Arial" w:cs="Arial"/>
          <w:szCs w:val="20"/>
          <w:u w:val="single"/>
        </w:rPr>
        <w:t>Awards under Deferred Compensation or Similar Plans</w:t>
      </w:r>
      <w:r>
        <w:rPr>
          <w:rFonts w:ascii="Arial" w:hAnsi="Arial" w:cs="Arial"/>
          <w:szCs w:val="20"/>
        </w:rPr>
        <w:t>. The right to receive Stock or a fixed or variable share denominated unit granted under this Plan or any deferred compensation or similar plan established from time to time by the Company.</w:t>
      </w:r>
    </w:p>
    <w:p w:rsidR="00376768" w:rsidRDefault="00EC2B72">
      <w:pPr>
        <w:spacing w:before="160"/>
        <w:ind w:firstLine="720"/>
        <w:jc w:val="both"/>
        <w:rPr>
          <w:rFonts w:ascii="Arial" w:hAnsi="Arial" w:cs="Arial"/>
          <w:szCs w:val="20"/>
        </w:rPr>
      </w:pPr>
      <w:r>
        <w:rPr>
          <w:rFonts w:ascii="Arial" w:hAnsi="Arial" w:cs="Arial"/>
          <w:szCs w:val="20"/>
        </w:rPr>
        <w:t>(c)</w:t>
      </w:r>
      <w:r>
        <w:rPr>
          <w:rFonts w:ascii="Arial" w:hAnsi="Arial" w:cs="Arial"/>
          <w:szCs w:val="20"/>
        </w:rPr>
        <w:tab/>
      </w:r>
      <w:r>
        <w:rPr>
          <w:rFonts w:ascii="Arial" w:hAnsi="Arial" w:cs="Arial"/>
          <w:szCs w:val="20"/>
          <w:u w:val="single"/>
        </w:rPr>
        <w:t>Cash Award</w:t>
      </w:r>
      <w:r>
        <w:rPr>
          <w:rFonts w:ascii="Arial" w:hAnsi="Arial" w:cs="Arial"/>
          <w:szCs w:val="20"/>
        </w:rPr>
        <w:t xml:space="preserve">. An Award denominated in cash, as separate from, an element of or supplement to any other Award granted under this </w:t>
      </w:r>
      <w:proofErr w:type="gramStart"/>
      <w:r>
        <w:rPr>
          <w:rFonts w:ascii="Arial" w:hAnsi="Arial" w:cs="Arial"/>
          <w:szCs w:val="20"/>
        </w:rPr>
        <w:t>Plan, that</w:t>
      </w:r>
      <w:proofErr w:type="gramEnd"/>
      <w:r>
        <w:rPr>
          <w:rFonts w:ascii="Arial" w:hAnsi="Arial" w:cs="Arial"/>
          <w:szCs w:val="20"/>
        </w:rPr>
        <w:t xml:space="preserve"> may be subject to the achievement of performance goals during a performance period determined by the Committee, or that may be earned under a Company or Subsidiary bonus or incentive plan or program.</w:t>
      </w:r>
    </w:p>
    <w:p w:rsidR="00376768" w:rsidRDefault="00EC2B72">
      <w:pPr>
        <w:spacing w:before="160"/>
        <w:jc w:val="center"/>
        <w:rPr>
          <w:rFonts w:ascii="Arial" w:hAnsi="Arial" w:cs="Arial"/>
          <w:szCs w:val="20"/>
        </w:rPr>
      </w:pPr>
      <w:r>
        <w:rPr>
          <w:rFonts w:ascii="Arial" w:hAnsi="Arial" w:cs="Arial"/>
          <w:b/>
          <w:bCs/>
          <w:szCs w:val="20"/>
        </w:rPr>
        <w:t>ARTICLE IX</w:t>
      </w:r>
    </w:p>
    <w:p w:rsidR="00376768" w:rsidRDefault="00EC2B72">
      <w:pPr>
        <w:spacing w:before="160"/>
        <w:jc w:val="center"/>
        <w:rPr>
          <w:rFonts w:ascii="Arial" w:hAnsi="Arial" w:cs="Arial"/>
          <w:szCs w:val="20"/>
        </w:rPr>
      </w:pPr>
      <w:r>
        <w:rPr>
          <w:rFonts w:ascii="Arial" w:hAnsi="Arial" w:cs="Arial"/>
          <w:b/>
          <w:bCs/>
          <w:szCs w:val="20"/>
        </w:rPr>
        <w:t>NON-EMPLOYEE DIRECTOR AWARDS</w:t>
      </w:r>
    </w:p>
    <w:p w:rsidR="00376768" w:rsidRDefault="00EC2B72">
      <w:pPr>
        <w:spacing w:before="160"/>
        <w:jc w:val="both"/>
        <w:rPr>
          <w:rFonts w:ascii="Arial" w:hAnsi="Arial" w:cs="Arial"/>
          <w:szCs w:val="20"/>
        </w:rPr>
      </w:pPr>
      <w:r>
        <w:rPr>
          <w:rFonts w:ascii="Arial" w:hAnsi="Arial" w:cs="Arial"/>
          <w:szCs w:val="20"/>
        </w:rPr>
        <w:t>9.1</w:t>
      </w:r>
      <w:r>
        <w:rPr>
          <w:rFonts w:ascii="Arial" w:hAnsi="Arial" w:cs="Arial"/>
          <w:szCs w:val="20"/>
        </w:rPr>
        <w:tab/>
      </w:r>
      <w:r>
        <w:rPr>
          <w:rFonts w:ascii="Arial" w:hAnsi="Arial" w:cs="Arial"/>
          <w:szCs w:val="20"/>
          <w:u w:val="single"/>
        </w:rPr>
        <w:t>Limitation on Awards to Non-Employee Directors</w:t>
      </w:r>
      <w:r>
        <w:rPr>
          <w:rFonts w:ascii="Arial" w:hAnsi="Arial" w:cs="Arial"/>
          <w:szCs w:val="20"/>
        </w:rPr>
        <w:t>. Notwithstanding anything in this Plan to the contrary and subject to adjustment pursuant to Section 10.6 hereof, no Non-Employee Director may be granted, in any one fiscal year of the Company, Awards specifically granted under this Plan with an aggregate maximum value, calculated as of their respective grant dates, of more than $300,000.</w:t>
      </w:r>
    </w:p>
    <w:p w:rsidR="00376768" w:rsidRDefault="00EC2B72">
      <w:pPr>
        <w:spacing w:before="160"/>
        <w:jc w:val="center"/>
        <w:rPr>
          <w:rFonts w:ascii="Arial" w:hAnsi="Arial" w:cs="Arial"/>
          <w:szCs w:val="20"/>
        </w:rPr>
      </w:pPr>
      <w:r>
        <w:rPr>
          <w:rFonts w:ascii="Arial" w:hAnsi="Arial" w:cs="Arial"/>
          <w:b/>
          <w:bCs/>
          <w:szCs w:val="20"/>
        </w:rPr>
        <w:t>ARTICLE X</w:t>
      </w:r>
    </w:p>
    <w:p w:rsidR="00376768" w:rsidRDefault="00EC2B72">
      <w:pPr>
        <w:spacing w:before="160"/>
        <w:jc w:val="center"/>
        <w:rPr>
          <w:rFonts w:ascii="Arial" w:hAnsi="Arial" w:cs="Arial"/>
          <w:szCs w:val="20"/>
        </w:rPr>
      </w:pPr>
      <w:r>
        <w:rPr>
          <w:rFonts w:ascii="Arial" w:hAnsi="Arial" w:cs="Arial"/>
          <w:b/>
          <w:bCs/>
          <w:szCs w:val="20"/>
        </w:rPr>
        <w:t>MISCELLANEOUS PROVISIONS</w:t>
      </w:r>
    </w:p>
    <w:p w:rsidR="00376768" w:rsidRDefault="00EC2B72">
      <w:pPr>
        <w:spacing w:before="160"/>
        <w:jc w:val="both"/>
        <w:rPr>
          <w:rFonts w:ascii="Arial" w:hAnsi="Arial" w:cs="Arial"/>
          <w:szCs w:val="20"/>
        </w:rPr>
      </w:pPr>
      <w:r>
        <w:rPr>
          <w:rFonts w:ascii="Arial" w:hAnsi="Arial" w:cs="Arial"/>
          <w:szCs w:val="20"/>
        </w:rPr>
        <w:t>10.1</w:t>
      </w:r>
      <w:r>
        <w:rPr>
          <w:rFonts w:ascii="Arial" w:hAnsi="Arial" w:cs="Arial"/>
          <w:szCs w:val="20"/>
        </w:rPr>
        <w:tab/>
      </w:r>
      <w:r>
        <w:rPr>
          <w:rFonts w:ascii="Arial" w:hAnsi="Arial" w:cs="Arial"/>
          <w:szCs w:val="20"/>
          <w:u w:val="single"/>
        </w:rPr>
        <w:t>Non-transferability</w:t>
      </w:r>
      <w:r>
        <w:rPr>
          <w:rFonts w:ascii="Arial" w:hAnsi="Arial" w:cs="Arial"/>
          <w:szCs w:val="20"/>
        </w:rPr>
        <w:t xml:space="preserve">. No Award under the Plan shall be transferable by the Participant other than by will or the laws of descent and distribution; provided, however, that, if so determined by the Committee, a Participant may, in the manner </w:t>
      </w:r>
      <w:r>
        <w:rPr>
          <w:rFonts w:ascii="Arial" w:hAnsi="Arial" w:cs="Arial"/>
          <w:szCs w:val="20"/>
        </w:rPr>
        <w:lastRenderedPageBreak/>
        <w:t>established by the Committee, designate a beneficiary or beneficiaries to exercise the rights of the Participant, and to receive any property distributable, with respect to any Award upon the death of the Participant and the Committee may, in its sole discretion, permit the transfer or an Award to a Permitted Transferee subject to all the terms and conditions of the Award. Except as provided in Section 4.7, Options shall be exercisable during the Participant’s lifetime only by such Participant or such Participant’s Personal Representative. Any transfer contrary to this Section 10.1 will nullify the Award.</w:t>
      </w:r>
    </w:p>
    <w:p w:rsidR="00376768" w:rsidRDefault="00EC2B72">
      <w:pPr>
        <w:spacing w:before="160" w:after="100"/>
        <w:jc w:val="both"/>
        <w:rPr>
          <w:rFonts w:ascii="Arial" w:hAnsi="Arial" w:cs="Arial"/>
          <w:szCs w:val="20"/>
        </w:rPr>
      </w:pPr>
      <w:r>
        <w:rPr>
          <w:rFonts w:ascii="Arial" w:hAnsi="Arial" w:cs="Arial"/>
          <w:szCs w:val="20"/>
        </w:rPr>
        <w:t>10.2</w:t>
      </w:r>
      <w:r>
        <w:rPr>
          <w:rFonts w:ascii="Arial" w:hAnsi="Arial" w:cs="Arial"/>
          <w:szCs w:val="20"/>
        </w:rPr>
        <w:tab/>
      </w:r>
      <w:r>
        <w:rPr>
          <w:rFonts w:ascii="Arial" w:hAnsi="Arial" w:cs="Arial"/>
          <w:szCs w:val="20"/>
          <w:u w:val="single"/>
        </w:rPr>
        <w:t>Amendments</w:t>
      </w:r>
      <w:r>
        <w:rPr>
          <w:rFonts w:ascii="Arial" w:hAnsi="Arial" w:cs="Arial"/>
          <w:szCs w:val="20"/>
        </w:rPr>
        <w:t>. The Committee may at any time discontinue granting Awards under the Plan. The Committee may at any time amend the Plan or amend any outstanding Award Agreement (including, but not limited to, acceleration of the date of exercise or vesting of any Award and/ or payments under any Award) in accordance with the terms of the Plan and for the purpose of satisfying the requirements of any changes in applicable laws or regulations or for any other purpose which may at the time be permitted by law; provided that no such amendment shall be permissible if it would result in Rule 16b-3 under the Exchange Act becoming inapplicable to any Award or first require shareholder approval. Notwithstanding the foregoing or any provision of an Award to the contrary, the Committee may at any time (without the consent of any Participant) modify, amend or terminate any or all of the provisions of an Award to the extent necessary to conform the provisions of the Award with Section 162(m), Section 409A or any other provision of the Code or other applicable law, the regulations issued thereunder or an exception thereto, regardless of whether such modification, amendment or termination of the Award shall adversely affect the rights of a Participant.</w:t>
      </w:r>
    </w:p>
    <w:p w:rsidR="00376768" w:rsidRDefault="00EC2B72">
      <w:pPr>
        <w:spacing w:before="160"/>
        <w:jc w:val="both"/>
        <w:rPr>
          <w:rFonts w:ascii="Arial" w:hAnsi="Arial" w:cs="Arial"/>
          <w:szCs w:val="20"/>
        </w:rPr>
      </w:pPr>
      <w:r>
        <w:rPr>
          <w:rFonts w:ascii="Arial" w:hAnsi="Arial" w:cs="Arial"/>
          <w:szCs w:val="20"/>
        </w:rPr>
        <w:t>10.3</w:t>
      </w:r>
      <w:r>
        <w:rPr>
          <w:rFonts w:ascii="Arial" w:hAnsi="Arial" w:cs="Arial"/>
          <w:szCs w:val="20"/>
        </w:rPr>
        <w:tab/>
      </w:r>
      <w:r>
        <w:rPr>
          <w:rFonts w:ascii="Arial" w:hAnsi="Arial" w:cs="Arial"/>
          <w:szCs w:val="20"/>
          <w:u w:val="single"/>
        </w:rPr>
        <w:t>Termination</w:t>
      </w:r>
      <w:r>
        <w:rPr>
          <w:rFonts w:ascii="Arial" w:hAnsi="Arial" w:cs="Arial"/>
          <w:szCs w:val="20"/>
        </w:rPr>
        <w:t>. The Board may terminate the Plan at any time prior to its scheduled expiration date, but no such termination shall materially adversely affect the rights of any Participant under any Award theretofore granted in which such Participant has a vested interest without such Participant’s written consent.</w:t>
      </w:r>
    </w:p>
    <w:p w:rsidR="00376768" w:rsidRDefault="00EC2B72">
      <w:pPr>
        <w:spacing w:before="160"/>
        <w:jc w:val="both"/>
        <w:rPr>
          <w:rFonts w:ascii="Arial" w:hAnsi="Arial" w:cs="Arial"/>
          <w:szCs w:val="20"/>
        </w:rPr>
      </w:pPr>
      <w:r>
        <w:rPr>
          <w:rFonts w:ascii="Arial" w:hAnsi="Arial" w:cs="Arial"/>
          <w:szCs w:val="20"/>
        </w:rPr>
        <w:t>10.4</w:t>
      </w:r>
      <w:r>
        <w:rPr>
          <w:rFonts w:ascii="Arial" w:hAnsi="Arial" w:cs="Arial"/>
          <w:szCs w:val="20"/>
        </w:rPr>
        <w:tab/>
      </w:r>
      <w:r>
        <w:rPr>
          <w:rFonts w:ascii="Arial" w:hAnsi="Arial" w:cs="Arial"/>
          <w:szCs w:val="20"/>
          <w:u w:val="single"/>
        </w:rPr>
        <w:t>Non-uniform Determinations</w:t>
      </w:r>
      <w:r>
        <w:rPr>
          <w:rFonts w:ascii="Arial" w:hAnsi="Arial" w:cs="Arial"/>
          <w:szCs w:val="20"/>
        </w:rPr>
        <w:t>. The Committee’s determinations under the Plan, including without limitation (i) the determination of the Key Personnel and Directors to receive Awards, (ii) the form, amount and timing of such Awards, (iii) the terms and provisions of such Awards and (iv) the Award Agreements evidencing the same, need not be uniform and may be made by it selectively among Key Personnel and Directors who receive, or who are eligible to receive, Awards under the Plan, whether or not such Key Personnel or Directors are similarly situated.</w:t>
      </w:r>
    </w:p>
    <w:p w:rsidR="00376768" w:rsidRDefault="00EC2B72">
      <w:pPr>
        <w:spacing w:before="160"/>
        <w:jc w:val="both"/>
        <w:rPr>
          <w:rFonts w:ascii="Arial" w:hAnsi="Arial" w:cs="Arial"/>
          <w:szCs w:val="20"/>
        </w:rPr>
      </w:pPr>
      <w:r>
        <w:rPr>
          <w:rFonts w:ascii="Arial" w:hAnsi="Arial" w:cs="Arial"/>
          <w:szCs w:val="20"/>
        </w:rPr>
        <w:t>10.5</w:t>
      </w:r>
      <w:r>
        <w:rPr>
          <w:rFonts w:ascii="Arial" w:hAnsi="Arial" w:cs="Arial"/>
          <w:szCs w:val="20"/>
        </w:rPr>
        <w:tab/>
      </w:r>
      <w:r>
        <w:rPr>
          <w:rFonts w:ascii="Arial" w:hAnsi="Arial" w:cs="Arial"/>
          <w:szCs w:val="20"/>
          <w:u w:val="single"/>
        </w:rPr>
        <w:t>No Right to Employment/Service</w:t>
      </w:r>
      <w:r>
        <w:rPr>
          <w:rFonts w:ascii="Arial" w:hAnsi="Arial" w:cs="Arial"/>
          <w:szCs w:val="20"/>
        </w:rPr>
        <w:t>. Neither the action of the Board in establishing the Plan nor any action taken by the Committee, a Director or an Officer under the Plan, nor any provision of the Plan, shall be construed as giving to any person the right to be retained in the employ, or as an Officer or Director, of, or as an independent contractor or consultant to, the Company or any Subsidiary.</w:t>
      </w:r>
    </w:p>
    <w:p w:rsidR="00376768" w:rsidRDefault="00EC2B72">
      <w:pPr>
        <w:spacing w:before="160" w:after="100"/>
        <w:jc w:val="both"/>
        <w:rPr>
          <w:rFonts w:ascii="Arial" w:hAnsi="Arial" w:cs="Arial"/>
          <w:szCs w:val="20"/>
        </w:rPr>
      </w:pPr>
      <w:r>
        <w:rPr>
          <w:rFonts w:ascii="Arial" w:hAnsi="Arial" w:cs="Arial"/>
          <w:szCs w:val="20"/>
        </w:rPr>
        <w:t>10.6</w:t>
      </w:r>
      <w:r>
        <w:rPr>
          <w:rFonts w:ascii="Arial" w:hAnsi="Arial" w:cs="Arial"/>
          <w:szCs w:val="20"/>
        </w:rPr>
        <w:tab/>
      </w:r>
      <w:r>
        <w:rPr>
          <w:rFonts w:ascii="Arial" w:hAnsi="Arial" w:cs="Arial"/>
          <w:szCs w:val="20"/>
          <w:u w:val="single"/>
        </w:rPr>
        <w:t>Changes in Stock</w:t>
      </w:r>
      <w:r>
        <w:rPr>
          <w:rFonts w:ascii="Arial" w:hAnsi="Arial" w:cs="Arial"/>
          <w:szCs w:val="20"/>
        </w:rPr>
        <w:t xml:space="preserve">. (a) In the event of any Dividend (other than a regular cash Dividend) or other distribution (whether in the form of cash, Stock, other Company securities or other property), recapitalization, stock split, reverse stock split, reorganization, merger, consolidation, split-up, spin-off, combination, repurchase or exchange of Stock or other Company securities, issuance of warrants or other rights to purchase Stock or other Company securities or other similar corporate transaction in which the Company is the surviving corporation or other event that affects the Stock such that an adjustment is necessary in order to prevent dilution or enlargement of the benefits or potential benefits intended to be made available under this Plan, the number and kind of shares of Stock or securities of the Company to be subject to the Plan and to Awards then outstanding or to be awarded thereunder, the maximum number of shares of Stock or other securities which may be issued on the exercise of Options or SARs granted under the Plan, performance goals (if applicable), the Option Price, base price of SARs and other relevant provisions shall be appropriately adjusted by the Committee, whose determination shall be binding on all persons; provided, however, with respect to any Award subject to Section 162(m), Section 409A or Section 422 of the Code, any such adjustment shall be authorized only to the extent that such adjustment would not cause the Award to fail to comply with Section 162(m),Section 409A or Section 422 of the Code. </w:t>
      </w:r>
    </w:p>
    <w:p w:rsidR="00376768" w:rsidRDefault="00EC2B72">
      <w:pPr>
        <w:spacing w:before="160"/>
        <w:ind w:firstLine="720"/>
        <w:jc w:val="both"/>
        <w:rPr>
          <w:rFonts w:ascii="Arial" w:hAnsi="Arial" w:cs="Arial"/>
          <w:szCs w:val="20"/>
        </w:rPr>
      </w:pPr>
      <w:r>
        <w:rPr>
          <w:rFonts w:ascii="Arial" w:hAnsi="Arial" w:cs="Arial"/>
          <w:szCs w:val="20"/>
        </w:rPr>
        <w:t>(b)</w:t>
      </w:r>
      <w:r>
        <w:rPr>
          <w:rFonts w:ascii="Arial" w:hAnsi="Arial" w:cs="Arial"/>
          <w:szCs w:val="20"/>
        </w:rPr>
        <w:tab/>
        <w:t>In the event of a Change in Control, all outstanding Awards shall thereupon terminate, provided that the Committee may, prior to the effective date of any such transaction, (i) make all outstanding time-only vesting Awards immediately exercisable or vested unless assumed, or substantially equivalent rights are provided in substitution therefore by the acquiring or succeeding entity; (ii) make all performance-based Awards either vested (A) pro-rata at a target performance level based on the portion of the applicable performance period that has lapsed immediately prior to the consummation of the Change in Control and/or (B) based on actual performance as of the date of the Change in Control; or (iii) arrange to have the surviving entity grant to the Participants replacement awards (including cash) on terms which the Board shall determine to be fair and reasonable. In addition, for each Option or SAR with an Option Price or base price, as the case may be, greater than the consideration offered in connection with any such transaction or event, the Committee may in its sole discretion elect to cancel such Option or SAR without any payment to the person holding such Option or SAR.</w:t>
      </w:r>
    </w:p>
    <w:p w:rsidR="00376768" w:rsidRDefault="00EC2B72">
      <w:pPr>
        <w:spacing w:before="160"/>
        <w:jc w:val="both"/>
        <w:rPr>
          <w:rFonts w:ascii="Arial" w:hAnsi="Arial" w:cs="Arial"/>
          <w:szCs w:val="20"/>
        </w:rPr>
      </w:pPr>
      <w:r>
        <w:rPr>
          <w:rFonts w:ascii="Arial" w:hAnsi="Arial" w:cs="Arial"/>
          <w:szCs w:val="20"/>
        </w:rPr>
        <w:t>10.7</w:t>
      </w:r>
      <w:r>
        <w:rPr>
          <w:rFonts w:ascii="Arial" w:hAnsi="Arial" w:cs="Arial"/>
          <w:szCs w:val="20"/>
        </w:rPr>
        <w:tab/>
      </w:r>
      <w:r>
        <w:rPr>
          <w:rFonts w:ascii="Arial" w:hAnsi="Arial" w:cs="Arial"/>
          <w:szCs w:val="20"/>
          <w:u w:val="single"/>
        </w:rPr>
        <w:t>Compliance with Code Section 409A</w:t>
      </w:r>
      <w:r>
        <w:rPr>
          <w:rFonts w:ascii="Arial" w:hAnsi="Arial" w:cs="Arial"/>
          <w:szCs w:val="20"/>
        </w:rPr>
        <w:t xml:space="preserve">. Notwithstanding any provision of the Plan or an Award Agreement to the contrary, if any Award or benefit provided under this Plan is subject to the provisions of Section 409A, the provisions of </w:t>
      </w:r>
      <w:r>
        <w:rPr>
          <w:rFonts w:ascii="Arial" w:hAnsi="Arial" w:cs="Arial"/>
          <w:szCs w:val="20"/>
        </w:rPr>
        <w:lastRenderedPageBreak/>
        <w:t>the Plan and any applicable Award Agreement shall be administered, interpreted and construed in a manner necessary to comply with Section 409A or an exception thereto (or disregarded to the extent such provision cannot be so administered, interpreted or construed). The following provisions shall apply, as applicable:</w:t>
      </w:r>
    </w:p>
    <w:p w:rsidR="00376768" w:rsidRDefault="00EC2B72">
      <w:pPr>
        <w:spacing w:before="160"/>
        <w:ind w:left="720" w:firstLine="720"/>
        <w:jc w:val="both"/>
        <w:rPr>
          <w:rFonts w:ascii="Arial" w:hAnsi="Arial" w:cs="Arial"/>
          <w:szCs w:val="20"/>
        </w:rPr>
      </w:pPr>
      <w:r>
        <w:rPr>
          <w:rFonts w:ascii="Arial" w:hAnsi="Arial" w:cs="Arial"/>
          <w:szCs w:val="20"/>
        </w:rPr>
        <w:t>(i)</w:t>
      </w:r>
      <w:r>
        <w:rPr>
          <w:rFonts w:ascii="Arial" w:hAnsi="Arial" w:cs="Arial"/>
          <w:szCs w:val="20"/>
        </w:rPr>
        <w:tab/>
        <w:t xml:space="preserve">If a Participant is a Specified Employee and a payment subject to Section 409A (and not excepted therefrom) to the Participant is due as a result of the Participant’s Separation from Service, such payment shall be delayed for a period of six (6) months after the date the Participant Separates from Service (or, if earlier, the death of the Participant). Any payment that would otherwise have been due or owing during such six-month period will be paid immediately following the end of the six-month period in the month following the month containing the 6-month anniversary of the date of termination unless another compliant date is specified in the applicable Award Agreement. </w:t>
      </w:r>
    </w:p>
    <w:p w:rsidR="00376768" w:rsidRDefault="00EC2B72">
      <w:pPr>
        <w:spacing w:before="160"/>
        <w:ind w:left="720" w:firstLine="720"/>
        <w:jc w:val="both"/>
        <w:rPr>
          <w:rFonts w:ascii="Arial" w:hAnsi="Arial" w:cs="Arial"/>
          <w:szCs w:val="20"/>
        </w:rPr>
      </w:pPr>
      <w:r>
        <w:rPr>
          <w:rFonts w:ascii="Arial" w:hAnsi="Arial" w:cs="Arial"/>
          <w:szCs w:val="20"/>
        </w:rPr>
        <w:t>(ii)</w:t>
      </w:r>
      <w:r>
        <w:rPr>
          <w:rFonts w:ascii="Arial" w:hAnsi="Arial" w:cs="Arial"/>
          <w:szCs w:val="20"/>
        </w:rPr>
        <w:tab/>
        <w:t xml:space="preserve">For purposes of Section 409A, and to the extent applicable to any Award or benefit under the Plan, it is intended that distribution events qualify as permissible distribution events for purposes of Section 409A and shall be interpreted and construed accordingly. With respect to payments subject to Section 409A, the Company reserves the right to accelerate and/or defer any payment to the extent permitted and consistent with Section 409A. Whether a Participant has </w:t>
      </w:r>
      <w:proofErr w:type="gramStart"/>
      <w:r>
        <w:rPr>
          <w:rFonts w:ascii="Arial" w:hAnsi="Arial" w:cs="Arial"/>
          <w:szCs w:val="20"/>
        </w:rPr>
        <w:t>Separated</w:t>
      </w:r>
      <w:proofErr w:type="gramEnd"/>
      <w:r>
        <w:rPr>
          <w:rFonts w:ascii="Arial" w:hAnsi="Arial" w:cs="Arial"/>
          <w:szCs w:val="20"/>
        </w:rPr>
        <w:t xml:space="preserve"> from Service or employment will be determined based on all of the facts and circumstances and, to the extent applicable to any Award or benefit, in accordance with the guidance issued under Section 409A. </w:t>
      </w:r>
    </w:p>
    <w:p w:rsidR="00376768" w:rsidRDefault="00EC2B72">
      <w:pPr>
        <w:spacing w:before="160"/>
        <w:ind w:left="720" w:firstLine="720"/>
        <w:jc w:val="both"/>
        <w:rPr>
          <w:rFonts w:ascii="Arial" w:hAnsi="Arial" w:cs="Arial"/>
          <w:szCs w:val="20"/>
        </w:rPr>
      </w:pPr>
      <w:r>
        <w:rPr>
          <w:rFonts w:ascii="Arial" w:hAnsi="Arial" w:cs="Arial"/>
          <w:szCs w:val="20"/>
        </w:rPr>
        <w:t>(iii)</w:t>
      </w:r>
      <w:r>
        <w:rPr>
          <w:rFonts w:ascii="Arial" w:hAnsi="Arial" w:cs="Arial"/>
          <w:szCs w:val="20"/>
        </w:rPr>
        <w:tab/>
        <w:t xml:space="preserve">The Committee, in its discretion, may specify the conditions under which the payment of all or any portion of any Award may be deferred until a later date. Deferrals shall be for such periods or until the occurrence of such events, and upon such terms and conditions, as the Board shall determine in its discretion, in accordance with the provisions of Section 409A, the regulations and other binding guidance promulgated thereunder; provided, however, that no deferral shall be permitted with respect to Options and other stock rights subject to Section 409A. An election shall be made by filing an election with the Company (on a form provided by the Company) on or prior to December 31st of the calendar year immediately preceding the beginning of the calendar year (or other applicable service period) to which such election relates (or at such other date as may be specified by the Board to the extent consistent with Section 409A) and shall be irrevocable for such applicable calendar year (or other applicable service period). </w:t>
      </w:r>
    </w:p>
    <w:p w:rsidR="00376768" w:rsidRDefault="00EC2B72">
      <w:pPr>
        <w:spacing w:before="160"/>
        <w:ind w:left="720" w:firstLine="720"/>
        <w:jc w:val="both"/>
        <w:rPr>
          <w:rFonts w:ascii="Arial" w:hAnsi="Arial" w:cs="Arial"/>
          <w:szCs w:val="20"/>
        </w:rPr>
      </w:pPr>
      <w:r>
        <w:rPr>
          <w:rFonts w:ascii="Arial" w:hAnsi="Arial" w:cs="Arial"/>
          <w:szCs w:val="20"/>
        </w:rPr>
        <w:t>(iv)</w:t>
      </w:r>
      <w:r>
        <w:rPr>
          <w:rFonts w:ascii="Arial" w:hAnsi="Arial" w:cs="Arial"/>
          <w:szCs w:val="20"/>
        </w:rPr>
        <w:tab/>
        <w:t xml:space="preserve">The grant of Options and other Stock rights subject to Section 409A shall be granted under terms and conditions consistent with Treas. Reg. § 1.409A-1(b)(5) such that any such Award does not constitute a deferral of compensation under Section 409A. Accordingly, any such Award may be granted to Employees and other service providers of the Company or any Subsidiary and affiliates in which the Company has a controlling interest. In determining whether the Company has a controlling interest, the rules of Treas. Reg. § 1.414(c)-2(b)(2)(i) shall apply; provided that the language “at least 50 percent” shall be used instead of “at least 80 percent” in each place it appears; provided, further, where legitimate business reasons exist (within the meaning of Treas. Reg. § 1.409A-1(b)(5)(iii)(E)(i)), the language “at least 20 percent” shall be used instead of “at least 80 percent” in each place it appears. The rules of Treas. Reg. §§ 1.414(c)-3 and 1.414(c)-4 shall apply for purposes of determining ownership interests. </w:t>
      </w:r>
    </w:p>
    <w:p w:rsidR="00376768" w:rsidRDefault="00EC2B72">
      <w:pPr>
        <w:spacing w:before="160"/>
        <w:ind w:left="720" w:firstLine="720"/>
        <w:jc w:val="both"/>
        <w:rPr>
          <w:rFonts w:ascii="Arial" w:hAnsi="Arial" w:cs="Arial"/>
          <w:szCs w:val="20"/>
        </w:rPr>
      </w:pPr>
      <w:r>
        <w:rPr>
          <w:rFonts w:ascii="Arial" w:hAnsi="Arial" w:cs="Arial"/>
          <w:szCs w:val="20"/>
        </w:rPr>
        <w:t>(v)</w:t>
      </w:r>
      <w:r>
        <w:rPr>
          <w:rFonts w:ascii="Arial" w:hAnsi="Arial" w:cs="Arial"/>
          <w:szCs w:val="20"/>
        </w:rPr>
        <w:tab/>
        <w:t>In no event shall any member of the Board, the Committee or the Company or any Subsidiary (or their Employees, officers or directors) have any liability to any Participant (or any other Person) due to the failure of an Award to satisfy the requirements of Section 409A.</w:t>
      </w:r>
    </w:p>
    <w:p w:rsidR="00376768" w:rsidRDefault="00EC2B72">
      <w:pPr>
        <w:spacing w:before="160"/>
        <w:jc w:val="both"/>
        <w:rPr>
          <w:rFonts w:ascii="Arial" w:hAnsi="Arial" w:cs="Arial"/>
          <w:szCs w:val="20"/>
        </w:rPr>
      </w:pPr>
      <w:r>
        <w:rPr>
          <w:rFonts w:ascii="Arial" w:hAnsi="Arial" w:cs="Arial"/>
          <w:szCs w:val="20"/>
        </w:rPr>
        <w:t>10.8</w:t>
      </w:r>
      <w:r>
        <w:rPr>
          <w:rFonts w:ascii="Arial" w:hAnsi="Arial" w:cs="Arial"/>
          <w:szCs w:val="20"/>
        </w:rPr>
        <w:tab/>
      </w:r>
      <w:r>
        <w:rPr>
          <w:rFonts w:ascii="Arial" w:hAnsi="Arial" w:cs="Arial"/>
          <w:szCs w:val="20"/>
          <w:u w:val="single"/>
        </w:rPr>
        <w:t>Tax Withholding</w:t>
      </w:r>
      <w:r>
        <w:rPr>
          <w:rFonts w:ascii="Arial" w:hAnsi="Arial" w:cs="Arial"/>
          <w:szCs w:val="20"/>
        </w:rPr>
        <w:t xml:space="preserve">. Whenever Stock is to be delivered to a Participant pursuant to an Award granted hereunder, the Company may (i) require such Participant to remit to the Company an amount in cash sufficient to satisfy all federal, state and local tax withholding requirements related thereto, (ii) withhold such required withholding from compensation otherwise due to such Participant, (iii) do any combination of the foregoing, or (iv) employ any other acceptable method approved by the Company to facilitate the required withholding, provided such approach is permissible under applicable securities and other laws. Notwithstanding anything in this Plan to the contrary, the Committee may, in its discretion, permit a Participant (or any beneficiary or person entitled to act) to elect to pay a portion or all of the amount requested by the Company for such taxes with respect to such Award, at such time and in such manner as the Committee shall deem to be appropriate (including, but not limited to, by authorizing the Company to withhold, or agreeing to surrender to the Company on or about the date such tax liability is determinable, Stock, or property, other securities or property, or other forms of payment, or any combination thereof, owned by such person or a portion of such forms of payment that would otherwise be distributed, or have been distributed, as the case may be, pursuant to such Award to such person, having a market value equal to the amount of such taxes); provided, however, any broker-assisted cashless exercise shall comply with the requirements of Financial Accounting Standards Board, Accounting Standards Codification, Topic 718 (or any successor provision) and any withholding satisfied through a net-settlement shall be limited to the minimum statutory withholding requirements or as otherwise determined in the discretion of the Committee. No such arrangement shall be </w:t>
      </w:r>
      <w:r>
        <w:rPr>
          <w:rFonts w:ascii="Arial" w:hAnsi="Arial" w:cs="Arial"/>
          <w:szCs w:val="20"/>
        </w:rPr>
        <w:lastRenderedPageBreak/>
        <w:t xml:space="preserve">permitted that is an impermissible loan to executive officers or directors under Section 402 of Sarbanes-Oxley Act of 2002. </w:t>
      </w:r>
    </w:p>
    <w:p w:rsidR="00376768" w:rsidRDefault="00EC2B72">
      <w:pPr>
        <w:spacing w:before="160" w:after="100"/>
        <w:jc w:val="both"/>
        <w:rPr>
          <w:rFonts w:ascii="Arial" w:hAnsi="Arial" w:cs="Arial"/>
          <w:szCs w:val="20"/>
        </w:rPr>
      </w:pPr>
      <w:r>
        <w:rPr>
          <w:rFonts w:ascii="Arial" w:hAnsi="Arial" w:cs="Arial"/>
          <w:szCs w:val="20"/>
        </w:rPr>
        <w:t>10.9</w:t>
      </w:r>
      <w:r>
        <w:rPr>
          <w:rFonts w:ascii="Arial" w:hAnsi="Arial" w:cs="Arial"/>
          <w:szCs w:val="20"/>
        </w:rPr>
        <w:tab/>
      </w:r>
      <w:r>
        <w:rPr>
          <w:rFonts w:ascii="Arial" w:hAnsi="Arial" w:cs="Arial"/>
          <w:szCs w:val="20"/>
          <w:u w:val="single"/>
        </w:rPr>
        <w:t>Delivery of Shares</w:t>
      </w:r>
      <w:r>
        <w:rPr>
          <w:rFonts w:ascii="Arial" w:hAnsi="Arial" w:cs="Arial"/>
          <w:szCs w:val="20"/>
        </w:rPr>
        <w:t>. The Company shall not be obligated to deliver any Stock upon the grant, exercise or payment of an Award unless and until, in the opinion of the Company’s counsel, all applicable Federal, state and other laws and regulations have been complied with. In the event the outstanding Stock is at the time listed on any stock exchange, no delivery shall be made unless and until the shares to be delivered have been listed or authorized to be added to the list upon official notice of issuance on such exchange. No delivery shall be made until all other legal matters in connection with the issuance and delivery of Stock have been approved by the Company’s counsel. Without limiting the generality of the foregoing, the Company may require from the Participant or other person purchasing shares of Stock under the Plan such investment representation or such agreement, if any, as counsel for the Company may consider necessary in order to comply with the Securities Act of 1933, as amended, and the regulations thereunder, or any other applicable law. Certificates evidencing the shares may be required to bear a restrictive legend. A stop transfer order may be required to be placed with the transfer agent, and the Company may require that the Participant or such other person agree that any sale of the shares will be made only on one or more specified stock exchanges or in such other manner as permitted by the Committee.</w:t>
      </w:r>
    </w:p>
    <w:p w:rsidR="00376768" w:rsidRDefault="00EC2B72">
      <w:pPr>
        <w:spacing w:before="160"/>
        <w:jc w:val="both"/>
        <w:rPr>
          <w:rFonts w:ascii="Arial" w:hAnsi="Arial" w:cs="Arial"/>
          <w:szCs w:val="20"/>
        </w:rPr>
      </w:pPr>
      <w:r>
        <w:rPr>
          <w:rFonts w:ascii="Arial" w:hAnsi="Arial" w:cs="Arial"/>
          <w:szCs w:val="20"/>
        </w:rPr>
        <w:t>10.10</w:t>
      </w:r>
      <w:r>
        <w:rPr>
          <w:rFonts w:ascii="Arial" w:hAnsi="Arial" w:cs="Arial"/>
          <w:szCs w:val="20"/>
        </w:rPr>
        <w:tab/>
      </w:r>
      <w:r>
        <w:rPr>
          <w:rFonts w:ascii="Arial" w:hAnsi="Arial" w:cs="Arial"/>
          <w:szCs w:val="20"/>
          <w:u w:val="single"/>
        </w:rPr>
        <w:t>Status</w:t>
      </w:r>
      <w:r>
        <w:rPr>
          <w:rFonts w:ascii="Arial" w:hAnsi="Arial" w:cs="Arial"/>
          <w:szCs w:val="20"/>
        </w:rPr>
        <w:t>. A Participant’s status as Key Personnel or a Director shall be made exclusively by the Committee, for purposes of, and as evidenced by, participation in the Plan, and determined for each Award as of the date the Award is granted to the Participant, and such determination shall be final and conclusive absent manifest error.</w:t>
      </w:r>
    </w:p>
    <w:p w:rsidR="00376768" w:rsidRDefault="00EC2B72">
      <w:pPr>
        <w:spacing w:before="160"/>
        <w:jc w:val="both"/>
        <w:rPr>
          <w:rFonts w:ascii="Arial" w:hAnsi="Arial" w:cs="Arial"/>
          <w:szCs w:val="20"/>
        </w:rPr>
      </w:pPr>
      <w:r>
        <w:rPr>
          <w:rFonts w:ascii="Arial" w:hAnsi="Arial" w:cs="Arial"/>
          <w:szCs w:val="20"/>
        </w:rPr>
        <w:t>10.11</w:t>
      </w:r>
      <w:r>
        <w:rPr>
          <w:rFonts w:ascii="Arial" w:hAnsi="Arial" w:cs="Arial"/>
          <w:szCs w:val="20"/>
        </w:rPr>
        <w:tab/>
      </w:r>
      <w:r>
        <w:rPr>
          <w:rFonts w:ascii="Arial" w:hAnsi="Arial" w:cs="Arial"/>
          <w:szCs w:val="20"/>
          <w:u w:val="single"/>
        </w:rPr>
        <w:t>Unfunded</w:t>
      </w:r>
      <w:r>
        <w:rPr>
          <w:rFonts w:ascii="Arial" w:hAnsi="Arial" w:cs="Arial"/>
          <w:szCs w:val="20"/>
        </w:rPr>
        <w:t>. This Plan shall be unfunded. The Company shall not be required to establish any special or separate fund or to make any other segregation of assets to assure the payment of any Award under this Plan, and rights to the payment of Awards shall be no greater than the rights of the Company’s general creditors.</w:t>
      </w:r>
    </w:p>
    <w:p w:rsidR="00376768" w:rsidRDefault="00EC2B72">
      <w:pPr>
        <w:spacing w:before="160"/>
        <w:jc w:val="both"/>
        <w:rPr>
          <w:rFonts w:ascii="Arial" w:hAnsi="Arial" w:cs="Arial"/>
          <w:szCs w:val="20"/>
        </w:rPr>
      </w:pPr>
      <w:r>
        <w:rPr>
          <w:rFonts w:ascii="Arial" w:hAnsi="Arial" w:cs="Arial"/>
          <w:szCs w:val="20"/>
        </w:rPr>
        <w:t>10.12</w:t>
      </w:r>
      <w:r>
        <w:rPr>
          <w:rFonts w:ascii="Arial" w:hAnsi="Arial" w:cs="Arial"/>
          <w:szCs w:val="20"/>
        </w:rPr>
        <w:tab/>
      </w:r>
      <w:r>
        <w:rPr>
          <w:rFonts w:ascii="Arial" w:hAnsi="Arial" w:cs="Arial"/>
          <w:szCs w:val="20"/>
          <w:u w:val="single"/>
        </w:rPr>
        <w:t>Deferral of Awards</w:t>
      </w:r>
      <w:r>
        <w:rPr>
          <w:rFonts w:ascii="Arial" w:hAnsi="Arial" w:cs="Arial"/>
          <w:szCs w:val="20"/>
        </w:rPr>
        <w:t>. The Committee may establish one or more programs under the Plan to require or permit Participants the opportunity to elect to defer receipt of consideration upon the exercise of an Award, satisfaction of performance goals, or other event that absent the requirement or election would entitle the Participant to payment or receipt of shares of Stock or other consideration under an Award. The Committee may establish the election procedures, the timing of such elections, the mechanisms for payments of, and accrual of interest or other earnings, if any, on amounts, shares or other consideration so deferred, and such other terms, conditions, rules and procedures that the Committee deems advisable for the administration of any deferral program, provided that: (a) the Participant makes any permitted election by delivering to the Company written notice of such election, at such time and in such form as the Committee may from time to time prescribe in accordance with the deferral requirements of Section 409A; (b) such election is irrevocable; (c) such deferred payment will be made in accordance with the provisions of such deferred compensation plan; and (d) the terms of the deferred compensation plan and the election to defer under this Plan comply with Section 409A.</w:t>
      </w:r>
    </w:p>
    <w:p w:rsidR="00376768" w:rsidRDefault="00EC2B72">
      <w:pPr>
        <w:spacing w:before="160"/>
        <w:jc w:val="both"/>
        <w:rPr>
          <w:rFonts w:ascii="Arial" w:hAnsi="Arial" w:cs="Arial"/>
          <w:szCs w:val="20"/>
        </w:rPr>
      </w:pPr>
      <w:r>
        <w:rPr>
          <w:rFonts w:ascii="Arial" w:hAnsi="Arial" w:cs="Arial"/>
          <w:szCs w:val="20"/>
        </w:rPr>
        <w:t>10.13 </w:t>
      </w:r>
      <w:r>
        <w:rPr>
          <w:rFonts w:ascii="Arial" w:hAnsi="Arial" w:cs="Arial"/>
          <w:szCs w:val="20"/>
          <w:u w:val="single"/>
        </w:rPr>
        <w:t>Acceptance of Actions/Determinations</w:t>
      </w:r>
      <w:r>
        <w:rPr>
          <w:rFonts w:ascii="Arial" w:hAnsi="Arial" w:cs="Arial"/>
          <w:szCs w:val="20"/>
        </w:rPr>
        <w:t xml:space="preserve">. By accepting any Award or other benefit under this Plan, each Participant (and each person claiming under or through such Participant) shall be conclusively deemed to have indicated such Participant’s acceptance and ratification of, and consent to, any action taken or determinations made under this Plan by the Company, the Board or the Committee, and their respective </w:t>
      </w:r>
      <w:proofErr w:type="spellStart"/>
      <w:r>
        <w:rPr>
          <w:rFonts w:ascii="Arial" w:hAnsi="Arial" w:cs="Arial"/>
          <w:szCs w:val="20"/>
        </w:rPr>
        <w:t>delegatees</w:t>
      </w:r>
      <w:proofErr w:type="spellEnd"/>
      <w:r>
        <w:rPr>
          <w:rFonts w:ascii="Arial" w:hAnsi="Arial" w:cs="Arial"/>
          <w:szCs w:val="20"/>
        </w:rPr>
        <w:t>.</w:t>
      </w:r>
    </w:p>
    <w:p w:rsidR="00376768" w:rsidRDefault="00EC2B72">
      <w:pPr>
        <w:spacing w:before="160" w:after="100"/>
        <w:jc w:val="both"/>
        <w:rPr>
          <w:rFonts w:ascii="Arial" w:hAnsi="Arial" w:cs="Arial"/>
          <w:szCs w:val="20"/>
        </w:rPr>
      </w:pPr>
      <w:r>
        <w:rPr>
          <w:rFonts w:ascii="Arial" w:hAnsi="Arial" w:cs="Arial"/>
          <w:szCs w:val="20"/>
        </w:rPr>
        <w:t>10.14</w:t>
      </w:r>
      <w:r>
        <w:rPr>
          <w:rFonts w:ascii="Arial" w:hAnsi="Arial" w:cs="Arial"/>
          <w:szCs w:val="20"/>
        </w:rPr>
        <w:tab/>
      </w:r>
      <w:r>
        <w:rPr>
          <w:rFonts w:ascii="Arial" w:hAnsi="Arial" w:cs="Arial"/>
          <w:szCs w:val="20"/>
          <w:u w:val="single"/>
        </w:rPr>
        <w:t>Governing Law</w:t>
      </w:r>
      <w:r>
        <w:rPr>
          <w:rFonts w:ascii="Arial" w:hAnsi="Arial" w:cs="Arial"/>
          <w:szCs w:val="20"/>
        </w:rPr>
        <w:t>. The validity, construction, interpretation, administration and effect of this Plan, and of its rules and regulations, and rights relating to this Plan and to Awards granted under this Plan, shall be governed by the substantive laws of the Commonwealth of Pennsylvania without regard to its choice or conflicts of laws principles. If any provision of this Plan or any Award is held to be illegal or invalid for any reason, the illegality or invalidity shall not affect the remaining provisions of this Plan or any Award, but such provision shall be fully severable, and this Plan or Award, as applicable, shall be construed and enforced as if the illegal or invalid provision had never been included in this Plan or Award, as applicable.</w:t>
      </w:r>
    </w:p>
    <w:p w:rsidR="00376768" w:rsidRDefault="00EC2B72">
      <w:pPr>
        <w:spacing w:before="160" w:after="160"/>
        <w:jc w:val="both"/>
        <w:rPr>
          <w:rFonts w:ascii="Arial" w:hAnsi="Arial" w:cs="Arial"/>
          <w:szCs w:val="20"/>
        </w:rPr>
      </w:pPr>
      <w:r>
        <w:rPr>
          <w:rFonts w:ascii="Arial" w:hAnsi="Arial" w:cs="Arial"/>
          <w:szCs w:val="20"/>
        </w:rPr>
        <w:t>10.15</w:t>
      </w:r>
      <w:r>
        <w:rPr>
          <w:rFonts w:ascii="Arial" w:hAnsi="Arial" w:cs="Arial"/>
          <w:szCs w:val="20"/>
        </w:rPr>
        <w:tab/>
      </w:r>
      <w:r>
        <w:rPr>
          <w:rFonts w:ascii="Arial" w:hAnsi="Arial" w:cs="Arial"/>
          <w:szCs w:val="20"/>
          <w:u w:val="single"/>
        </w:rPr>
        <w:t>Non U.S. Participants</w:t>
      </w:r>
      <w:r>
        <w:rPr>
          <w:rFonts w:ascii="Arial" w:hAnsi="Arial" w:cs="Arial"/>
          <w:szCs w:val="20"/>
        </w:rPr>
        <w:t xml:space="preserve">. In order to facilitate the making of any grant or combination of grants under this Plan, the Committee may provide for such special terms for awards to Participants who are foreign nationals or who are employed by the Company or any Subsidiary outside of the United States of America or who provide services to the Company under an agreement with a foreign nation or agency, as the Committee may consider necessary or appropriate to accommodate differences in local law, tax policy or custom, to comply with applicable foreign laws or facilitate the offering and administration of this Plan in view of such foreign laws and/or to allow for tax-preferred treatment of awards. Moreover, the Committee may approve such supplements to or amendments, restatements, or alternative versions of this Plan (including, without limitation, sub-plans) and modify exercise procedures, and other terms and procedures, as it may consider necessary or appropriate for such purposes, without thereby affecting the terms of this Plan as in effect for any other purpose, and the Secretary or other appropriate officer of the Company may certify any such document as having been approved and adopted in the same manner as this Plan. No such special terms, supplements, amendments, </w:t>
      </w:r>
      <w:r>
        <w:rPr>
          <w:rFonts w:ascii="Arial" w:hAnsi="Arial" w:cs="Arial"/>
          <w:szCs w:val="20"/>
        </w:rPr>
        <w:lastRenderedPageBreak/>
        <w:t>restatements, sub-plans or modifications, however, will include any provisions that are inconsistent with the terms of this Plan as then in effect unless this Plan could have been amended to eliminate such inconsistency without further approval by the shareholders of the Company.</w:t>
      </w:r>
    </w:p>
    <w:p w:rsidR="00376768" w:rsidRDefault="00EC2B72">
      <w:pPr>
        <w:spacing w:before="160"/>
        <w:jc w:val="both"/>
        <w:rPr>
          <w:rFonts w:ascii="Arial" w:hAnsi="Arial" w:cs="Arial"/>
          <w:szCs w:val="20"/>
        </w:rPr>
      </w:pPr>
      <w:r>
        <w:rPr>
          <w:rFonts w:ascii="Arial" w:hAnsi="Arial" w:cs="Arial"/>
          <w:szCs w:val="20"/>
        </w:rPr>
        <w:t>10.16</w:t>
      </w:r>
      <w:r>
        <w:rPr>
          <w:rFonts w:ascii="Arial" w:hAnsi="Arial" w:cs="Arial"/>
          <w:szCs w:val="20"/>
        </w:rPr>
        <w:tab/>
      </w:r>
      <w:r>
        <w:rPr>
          <w:rFonts w:ascii="Arial" w:hAnsi="Arial" w:cs="Arial"/>
          <w:szCs w:val="20"/>
          <w:u w:val="single"/>
        </w:rPr>
        <w:t>Shareholder Rights and Privilege</w:t>
      </w:r>
      <w:r>
        <w:rPr>
          <w:rFonts w:ascii="Arial" w:hAnsi="Arial" w:cs="Arial"/>
          <w:szCs w:val="20"/>
        </w:rPr>
        <w:t xml:space="preserve">s. A Participant or Personal Representative shall have no rights as a shareholder with respect to any Stock covered by an Award unless and until shares of such Stock are issued (as evidenced by the appropriate entry on the books of the Company or of a duly authorized transfer agent of the Company). </w:t>
      </w:r>
    </w:p>
    <w:p w:rsidR="00376768" w:rsidRDefault="00EC2B72">
      <w:pPr>
        <w:spacing w:before="160"/>
        <w:jc w:val="both"/>
        <w:rPr>
          <w:rFonts w:ascii="Arial" w:hAnsi="Arial" w:cs="Arial"/>
          <w:szCs w:val="20"/>
        </w:rPr>
      </w:pPr>
      <w:r>
        <w:rPr>
          <w:rFonts w:ascii="Arial" w:hAnsi="Arial" w:cs="Arial"/>
          <w:szCs w:val="20"/>
        </w:rPr>
        <w:t>10.17</w:t>
      </w:r>
      <w:r>
        <w:rPr>
          <w:rFonts w:ascii="Arial" w:hAnsi="Arial" w:cs="Arial"/>
          <w:szCs w:val="20"/>
        </w:rPr>
        <w:tab/>
      </w:r>
      <w:r>
        <w:rPr>
          <w:rFonts w:ascii="Arial" w:hAnsi="Arial" w:cs="Arial"/>
          <w:szCs w:val="20"/>
          <w:u w:val="single"/>
        </w:rPr>
        <w:t>Fractional Shares</w:t>
      </w:r>
      <w:r>
        <w:rPr>
          <w:rFonts w:ascii="Arial" w:hAnsi="Arial" w:cs="Arial"/>
          <w:szCs w:val="20"/>
        </w:rPr>
        <w:t>. The Company will not be required to issue any fractional shares of Stock pursuant to this Plan. The Committee may provide for the elimination of fractions or for the settlement of fractions in cash.</w:t>
      </w:r>
    </w:p>
    <w:p w:rsidR="00376768" w:rsidRDefault="00EC2B72">
      <w:pPr>
        <w:spacing w:before="160"/>
        <w:jc w:val="both"/>
        <w:rPr>
          <w:rFonts w:ascii="Arial" w:hAnsi="Arial" w:cs="Arial"/>
          <w:szCs w:val="20"/>
        </w:rPr>
      </w:pPr>
      <w:r>
        <w:rPr>
          <w:rFonts w:ascii="Arial" w:hAnsi="Arial" w:cs="Arial"/>
          <w:szCs w:val="20"/>
        </w:rPr>
        <w:t>10.18</w:t>
      </w:r>
      <w:r>
        <w:rPr>
          <w:rFonts w:ascii="Arial" w:hAnsi="Arial" w:cs="Arial"/>
          <w:szCs w:val="20"/>
        </w:rPr>
        <w:tab/>
      </w:r>
      <w:r>
        <w:rPr>
          <w:rFonts w:ascii="Arial" w:hAnsi="Arial" w:cs="Arial"/>
          <w:szCs w:val="20"/>
          <w:u w:val="single"/>
        </w:rPr>
        <w:t>Enforceability</w:t>
      </w:r>
      <w:r>
        <w:rPr>
          <w:rFonts w:ascii="Arial" w:hAnsi="Arial" w:cs="Arial"/>
          <w:szCs w:val="20"/>
        </w:rPr>
        <w:t>. If any provision of this Plan is or becomes invalid, illegal or unenforceable in any jurisdiction, or would disqualify this Plan or any Award under any law deemed applicable by the Committee, such provision shall be construed or deemed amended or limited in scope to confirm to applicable laws or, in the discretion of the Committee, it shall be stricken and the remainder of this Plan shall remain in full force and effect.</w:t>
      </w:r>
    </w:p>
    <w:p w:rsidR="00376768" w:rsidRDefault="00EC2B72">
      <w:pPr>
        <w:spacing w:before="160"/>
        <w:jc w:val="both"/>
        <w:rPr>
          <w:rFonts w:ascii="Arial" w:hAnsi="Arial" w:cs="Arial"/>
          <w:szCs w:val="20"/>
        </w:rPr>
      </w:pPr>
      <w:r>
        <w:rPr>
          <w:rFonts w:ascii="Arial" w:hAnsi="Arial" w:cs="Arial"/>
          <w:szCs w:val="20"/>
        </w:rPr>
        <w:t>10.19</w:t>
      </w:r>
      <w:r>
        <w:rPr>
          <w:rFonts w:ascii="Arial" w:hAnsi="Arial" w:cs="Arial"/>
          <w:szCs w:val="20"/>
        </w:rPr>
        <w:tab/>
      </w:r>
      <w:r>
        <w:rPr>
          <w:rFonts w:ascii="Arial" w:hAnsi="Arial" w:cs="Arial"/>
          <w:szCs w:val="20"/>
          <w:u w:val="single"/>
        </w:rPr>
        <w:t>Recoupment</w:t>
      </w:r>
      <w:r>
        <w:rPr>
          <w:rFonts w:ascii="Arial" w:hAnsi="Arial" w:cs="Arial"/>
          <w:szCs w:val="20"/>
        </w:rPr>
        <w:t xml:space="preserve">. Notwithstanding any other provision in this Plan, any Awards made under this Plan shall be subject to recovery under any law, governmental regulation, stock exchange listing requirement or Company policy applicable to them, including any related deductions, recoupment and/or claw-back as may be required to be made pursuant to such law, government regulation, stock exchange listing requirement, or Company policy, as may be in effect from time to time, and which may operate to create additional rights for the Company with respect to Awards and recovery of amounts relating thereto. By accepting Awards under the Plan, Participants agree and acknowledge that they are obligated to cooperate with, and provide any and all assistance necessary to, the Company to recover or recoup any Award or amounts paid under the Plan subject to </w:t>
      </w:r>
      <w:proofErr w:type="spellStart"/>
      <w:r>
        <w:rPr>
          <w:rFonts w:ascii="Arial" w:hAnsi="Arial" w:cs="Arial"/>
          <w:szCs w:val="20"/>
        </w:rPr>
        <w:t>clawback</w:t>
      </w:r>
      <w:proofErr w:type="spellEnd"/>
      <w:r>
        <w:rPr>
          <w:rFonts w:ascii="Arial" w:hAnsi="Arial" w:cs="Arial"/>
          <w:szCs w:val="20"/>
        </w:rPr>
        <w:t xml:space="preserve"> pursuant to such law, government regulation, </w:t>
      </w:r>
      <w:proofErr w:type="gramStart"/>
      <w:r>
        <w:rPr>
          <w:rFonts w:ascii="Arial" w:hAnsi="Arial" w:cs="Arial"/>
          <w:szCs w:val="20"/>
        </w:rPr>
        <w:t>stock</w:t>
      </w:r>
      <w:proofErr w:type="gramEnd"/>
      <w:r>
        <w:rPr>
          <w:rFonts w:ascii="Arial" w:hAnsi="Arial" w:cs="Arial"/>
          <w:szCs w:val="20"/>
        </w:rPr>
        <w:t xml:space="preserve"> exchange listing requirement or Company policy. Such cooperation and assistance shall include, but is not limited to, executing, completing and submitting any documentation necessary to recover or recoup any Award or amounts paid under the Plan from a Participant’s accounts, or pending or future compensation or Awards.</w:t>
      </w:r>
    </w:p>
    <w:p w:rsidR="00EC2B72" w:rsidRDefault="00EC2B72">
      <w:pPr>
        <w:spacing w:before="160" w:after="100"/>
        <w:jc w:val="both"/>
        <w:rPr>
          <w:rFonts w:ascii="Arial" w:hAnsi="Arial" w:cs="Arial"/>
          <w:szCs w:val="20"/>
        </w:rPr>
      </w:pPr>
      <w:proofErr w:type="gramStart"/>
      <w:r>
        <w:rPr>
          <w:rFonts w:ascii="Arial" w:hAnsi="Arial" w:cs="Arial"/>
          <w:szCs w:val="20"/>
          <w:u w:val="single"/>
        </w:rPr>
        <w:t>Successors</w:t>
      </w:r>
      <w:r>
        <w:rPr>
          <w:rFonts w:ascii="Arial" w:hAnsi="Arial" w:cs="Arial"/>
          <w:szCs w:val="20"/>
        </w:rPr>
        <w:t>.</w:t>
      </w:r>
      <w:proofErr w:type="gramEnd"/>
      <w:r>
        <w:rPr>
          <w:rFonts w:ascii="Arial" w:hAnsi="Arial" w:cs="Arial"/>
          <w:szCs w:val="20"/>
        </w:rPr>
        <w:t xml:space="preserve"> All obligations of the Company under the Plan, with respect to Awards granted hereunder, shall be binding on any successor to the Company, whether the existence of such successor is the result of a direct or indirect purchase, merger, consolidation or otherwise, of all or substantially all of the business and/or assets of the Company.</w:t>
      </w:r>
    </w:p>
    <w:sectPr w:rsidR="00EC2B72">
      <w:footerReference w:type="default" r:id="rId12"/>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4D3" w:rsidRDefault="00FD34D3">
      <w:r>
        <w:separator/>
      </w:r>
    </w:p>
  </w:endnote>
  <w:endnote w:type="continuationSeparator" w:id="0">
    <w:p w:rsidR="00FD34D3" w:rsidRDefault="00FD3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0000400000000000000"/>
    <w:charset w:val="00"/>
    <w:family w:val="auto"/>
    <w:pitch w:val="variable"/>
    <w:sig w:usb0="00008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MS Mincho"/>
    <w:panose1 w:val="020B0609070205080204"/>
    <w:charset w:val="80"/>
    <w:family w:val="moder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768" w:rsidRDefault="00376768">
    <w:pPr>
      <w:pStyle w:val="Footer"/>
      <w:jc w:val="center"/>
    </w:pPr>
  </w:p>
  <w:p w:rsidR="00376768" w:rsidRDefault="003767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768" w:rsidRDefault="00EC2B72">
    <w:pPr>
      <w:pStyle w:val="Footer"/>
      <w:jc w:val="center"/>
    </w:pPr>
    <w:r>
      <w:fldChar w:fldCharType="begin"/>
    </w:r>
    <w:r>
      <w:instrText xml:space="preserve"> PAGE   \* MERGEFORMAT </w:instrText>
    </w:r>
    <w:r>
      <w:fldChar w:fldCharType="separate"/>
    </w:r>
    <w:r w:rsidR="00D87BB8">
      <w:rPr>
        <w:noProof/>
      </w:rPr>
      <w:t>i</w:t>
    </w:r>
    <w:r>
      <w:fldChar w:fldCharType="end"/>
    </w:r>
  </w:p>
  <w:p w:rsidR="00376768" w:rsidRDefault="003767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768" w:rsidRDefault="00EC2B72">
    <w:pPr>
      <w:pStyle w:val="Footer"/>
      <w:jc w:val="center"/>
    </w:pPr>
    <w:r>
      <w:rPr>
        <w:rStyle w:val="PageNumber"/>
      </w:rPr>
      <w:fldChar w:fldCharType="begin"/>
    </w:r>
    <w:r>
      <w:rPr>
        <w:rStyle w:val="PageNumber"/>
      </w:rPr>
      <w:instrText xml:space="preserve"> PAGE </w:instrText>
    </w:r>
    <w:r>
      <w:rPr>
        <w:rStyle w:val="PageNumber"/>
      </w:rPr>
      <w:fldChar w:fldCharType="separate"/>
    </w:r>
    <w:r w:rsidR="00D87BB8">
      <w:rPr>
        <w:rStyle w:val="PageNumber"/>
        <w:noProof/>
      </w:rPr>
      <w:t>70</w:t>
    </w:r>
    <w:r>
      <w:rPr>
        <w:rStyle w:val="PageNumber"/>
      </w:rPr>
      <w:fldChar w:fldCharType="end"/>
    </w:r>
  </w:p>
  <w:p w:rsidR="00376768" w:rsidRDefault="003767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4D3" w:rsidRDefault="00FD34D3">
      <w:r>
        <w:separator/>
      </w:r>
    </w:p>
  </w:footnote>
  <w:footnote w:type="continuationSeparator" w:id="0">
    <w:p w:rsidR="00FD34D3" w:rsidRDefault="00FD34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CF0"/>
    <w:rsid w:val="0004688E"/>
    <w:rsid w:val="0021275A"/>
    <w:rsid w:val="003549F8"/>
    <w:rsid w:val="00376768"/>
    <w:rsid w:val="00390411"/>
    <w:rsid w:val="004442E6"/>
    <w:rsid w:val="004C05D2"/>
    <w:rsid w:val="00526922"/>
    <w:rsid w:val="007F2D67"/>
    <w:rsid w:val="008A6517"/>
    <w:rsid w:val="00916C5A"/>
    <w:rsid w:val="009A5195"/>
    <w:rsid w:val="00D87BB8"/>
    <w:rsid w:val="00EA378C"/>
    <w:rsid w:val="00EC2B72"/>
    <w:rsid w:val="00F16CF0"/>
    <w:rsid w:val="00FD3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Mang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unhideWhenUsed/>
    <w:pPr>
      <w:tabs>
        <w:tab w:val="center" w:pos="4513"/>
        <w:tab w:val="right" w:pos="9026"/>
      </w:tabs>
    </w:pPr>
    <w:rPr>
      <w:rFonts w:cs="Mangal"/>
    </w:rPr>
  </w:style>
  <w:style w:type="character" w:customStyle="1" w:styleId="HeaderChar">
    <w:name w:val="Header Char"/>
    <w:basedOn w:val="DefaultParagraphFont"/>
    <w:semiHidden/>
    <w:rPr>
      <w:rFonts w:ascii="Times New Roman" w:eastAsia="Times New Roman" w:hAnsi="Times New Roman"/>
      <w:szCs w:val="24"/>
    </w:rPr>
  </w:style>
  <w:style w:type="paragraph" w:styleId="Footer">
    <w:name w:val="footer"/>
    <w:basedOn w:val="Normal"/>
    <w:semiHidden/>
    <w:unhideWhenUsed/>
    <w:pPr>
      <w:tabs>
        <w:tab w:val="center" w:pos="4513"/>
        <w:tab w:val="right" w:pos="9026"/>
      </w:tabs>
    </w:pPr>
    <w:rPr>
      <w:rFonts w:cs="Mangal"/>
    </w:rPr>
  </w:style>
  <w:style w:type="character" w:customStyle="1" w:styleId="FooterChar">
    <w:name w:val="Footer Char"/>
    <w:basedOn w:val="DefaultParagraphFont"/>
    <w:rPr>
      <w:rFonts w:ascii="Times New Roman" w:eastAsia="Times New Roman" w:hAnsi="Times New Roman"/>
      <w:szCs w:val="24"/>
    </w:r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Mang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unhideWhenUsed/>
    <w:pPr>
      <w:tabs>
        <w:tab w:val="center" w:pos="4513"/>
        <w:tab w:val="right" w:pos="9026"/>
      </w:tabs>
    </w:pPr>
    <w:rPr>
      <w:rFonts w:cs="Mangal"/>
    </w:rPr>
  </w:style>
  <w:style w:type="character" w:customStyle="1" w:styleId="HeaderChar">
    <w:name w:val="Header Char"/>
    <w:basedOn w:val="DefaultParagraphFont"/>
    <w:semiHidden/>
    <w:rPr>
      <w:rFonts w:ascii="Times New Roman" w:eastAsia="Times New Roman" w:hAnsi="Times New Roman"/>
      <w:szCs w:val="24"/>
    </w:rPr>
  </w:style>
  <w:style w:type="paragraph" w:styleId="Footer">
    <w:name w:val="footer"/>
    <w:basedOn w:val="Normal"/>
    <w:semiHidden/>
    <w:unhideWhenUsed/>
    <w:pPr>
      <w:tabs>
        <w:tab w:val="center" w:pos="4513"/>
        <w:tab w:val="right" w:pos="9026"/>
      </w:tabs>
    </w:pPr>
    <w:rPr>
      <w:rFonts w:cs="Mangal"/>
    </w:rPr>
  </w:style>
  <w:style w:type="character" w:customStyle="1" w:styleId="FooterChar">
    <w:name w:val="Footer Char"/>
    <w:basedOn w:val="DefaultParagraphFont"/>
    <w:rPr>
      <w:rFonts w:ascii="Times New Roman" w:eastAsia="Times New Roman" w:hAnsi="Times New Roman"/>
      <w:szCs w:val="24"/>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72</Pages>
  <Words>46865</Words>
  <Characters>267135</Characters>
  <Application>Microsoft Office Word</Application>
  <DocSecurity>0</DocSecurity>
  <Lines>2226</Lines>
  <Paragraphs>626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313374</CharactersWithSpaces>
  <SharedDoc>false</SharedDoc>
  <HLinks>
    <vt:vector size="6" baseType="variant">
      <vt:variant>
        <vt:i4>3997703</vt:i4>
      </vt:variant>
      <vt:variant>
        <vt:i4>1185</vt:i4>
      </vt:variant>
      <vt:variant>
        <vt:i4>1025</vt:i4>
      </vt:variant>
      <vt:variant>
        <vt:i4>1</vt:i4>
      </vt:variant>
      <vt:variant>
        <vt:lpwstr>fstr-def14a_052418img001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finservices</dc:creator>
  <cp:keywords/>
  <cp:lastModifiedBy>FINANACIAL USER</cp:lastModifiedBy>
  <cp:revision>15</cp:revision>
  <cp:lastPrinted>2018-04-13T14:13:00Z</cp:lastPrinted>
  <dcterms:created xsi:type="dcterms:W3CDTF">2018-04-13T12:45:00Z</dcterms:created>
  <dcterms:modified xsi:type="dcterms:W3CDTF">2018-04-13T14:14:00Z</dcterms:modified>
</cp:coreProperties>
</file>