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900" w:right="3820" w:hanging="3874"/>
        <w:spacing w:after="0" w:line="380" w:lineRule="auto"/>
        <w:tabs>
          <w:tab w:leader="none" w:pos="6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2025, there were 10,597,683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1"/>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6"/>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8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8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3"/>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479"/>
        </w:trPr>
        <w:tc>
          <w:tcPr>
            <w:tcW w:w="3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80"/>
        </w:trPr>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8"/>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5"/>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r>
      <w:tr>
        <w:trPr>
          <w:trHeight w:val="194"/>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64,978</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70,506</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161,605</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88,296</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June 30, 2025 and December 31,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2024, 11,115,779; shares outstanding at June 30, 2025 and December 31, 2024, 10,430,630 and 10,573,432,</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167,579</w:t>
            </w: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 at cost, 685,149 and 542,347 common stock shares at June 30, 2025 and December 31, 2024,</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178,316</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1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110,283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6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3"/>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r>
      <w:tr>
        <w:trPr>
          <w:trHeight w:val="194"/>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r>
      <w:tr>
        <w:trPr>
          <w:trHeight w:val="41"/>
        </w:trPr>
        <w:tc>
          <w:tcPr>
            <w:tcW w:w="6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cash flow hedges, net of tax expense of $0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75"/>
        </w:trPr>
        <w:tc>
          <w:tcPr>
            <w:tcW w:w="6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$0, $7, $0, and $11, respectively*</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L.B. Foster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8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r>
      <w:tr>
        <w:trPr>
          <w:trHeight w:val="220"/>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9"/>
                <w:szCs w:val="19"/>
                <w:color w:val="auto"/>
              </w:rPr>
            </w:pPr>
          </w:p>
        </w:tc>
      </w:tr>
      <w:tr>
        <w:trPr>
          <w:trHeight w:val="23"/>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and fixed asset exit costs (Note 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settlement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(100,617)</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132,572</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payment for Skratch acquisition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28,815</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9"/>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108,020</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32,931</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53,525</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47,330</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276,931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128,883</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70,080</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119,181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six months ended June 30, 2025 are not necessarily indicative of the results that may be expected for the year ending December 31, 2025. This Quarterly Report on Form 10-Q should be read in conjunction with the consolidated financial statements and footnotes thereto included in L.B. Foster Company’s Annual Report on Form 10-K for the year ended December 31, 2024. In this Quarterly Report on Form 10-Q, references to “we,” “us,” “our,” and the “Company” refer collectively to L.B. Foster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expects this ASU to only impact its disclosures with no impacts to its consolidated financial condition, results of operations, and cash flows.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 determines its operating segments based on how the Company's Chief Operating Decision Maker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two reportable segments: Rail, Technologies, and Services (“Rail”), and Infrastructure Solutions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w:t>
      </w:r>
    </w:p>
    <w:p>
      <w:pPr>
        <w:spacing w:after="0" w:line="1" w:lineRule="exact"/>
        <w:rPr>
          <w:sz w:val="20"/>
          <w:szCs w:val="20"/>
          <w:color w:val="auto"/>
        </w:rPr>
      </w:pPr>
    </w:p>
    <w:p>
      <w:pPr>
        <w:jc w:val="both"/>
        <w:ind w:firstLine="8"/>
        <w:spacing w:after="0" w:line="255"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income - net”, which are managed on a consolidated basis, are not allocated to the operating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200" w:lineRule="exact"/>
        <w:rPr>
          <w:sz w:val="20"/>
          <w:szCs w:val="20"/>
          <w:color w:val="auto"/>
        </w:rPr>
      </w:pPr>
    </w:p>
    <w:p>
      <w:pPr>
        <w:spacing w:after="0" w:line="33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(110,283)</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Purchased services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administrative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48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corporate expenses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generally include contractor services, insurance expenditures, rental expense, and legal services.</w:t>
      </w: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General administrative costs generally include office supplies, utilities, advertising, bad debt expense, depreciation and restructuring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Six Months Ended</w:t>
      </w:r>
    </w:p>
    <w:p>
      <w:pPr>
        <w:spacing w:after="0" w:line="4"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241,350</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Purchased services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administrative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48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corporate expenses - net</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generally include contractor services, insurance expenditures, rental expense, and legal services.</w:t>
      </w:r>
    </w:p>
    <w:p>
      <w:pPr>
        <w:spacing w:after="0" w:line="1" w:lineRule="exact"/>
        <w:rPr>
          <w:rFonts w:ascii="Times New Roman" w:cs="Times New Roman" w:eastAsia="Times New Roman" w:hAnsi="Times New Roman"/>
          <w:sz w:val="22"/>
          <w:szCs w:val="22"/>
          <w:i w:val="1"/>
          <w:iCs w:val="1"/>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General administrative costs generally include office supplies, utilities, advertising, bad debt expense, depreciation and restructuring expenditures.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sold a former joint venture facility located in Magnolia, Texas, generating a $3,477 gain on sale recorded in “Gain on sale of former joint venture facility” which is included as a component of corporate operating income.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reportable depreciation and amortization and expenditures for long-lived assets to the Company’s consolidated totals are as follows for the periods presented:</w:t>
      </w:r>
    </w:p>
    <w:p>
      <w:pPr>
        <w:spacing w:after="0" w:line="21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4980"/>
        <w:spacing w:after="0"/>
        <w:rPr>
          <w:sz w:val="20"/>
          <w:szCs w:val="20"/>
          <w:color w:val="auto"/>
        </w:rPr>
      </w:pPr>
      <w:r>
        <w:rPr>
          <w:rFonts w:ascii="Times New Roman" w:cs="Times New Roman" w:eastAsia="Times New Roman" w:hAnsi="Times New Roman"/>
          <w:sz w:val="14"/>
          <w:szCs w:val="14"/>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Expenditures for Long-</w:t>
            </w:r>
          </w:p>
        </w:tc>
        <w:tc>
          <w:tcPr>
            <w:tcW w:w="80" w:type="dxa"/>
            <w:vAlign w:val="bottom"/>
          </w:tcPr>
          <w:p>
            <w:pPr>
              <w:spacing w:after="0"/>
              <w:rPr>
                <w:sz w:val="11"/>
                <w:szCs w:val="11"/>
                <w:color w:val="auto"/>
              </w:rPr>
            </w:pP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Lived Assets</w:t>
            </w:r>
          </w:p>
        </w:tc>
        <w:tc>
          <w:tcPr>
            <w:tcW w:w="16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3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Six Months Ended</w:t>
      </w:r>
    </w:p>
    <w:p>
      <w:pPr>
        <w:spacing w:after="0" w:line="4"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Expenditures for Long-</w:t>
            </w:r>
          </w:p>
        </w:tc>
        <w:tc>
          <w:tcPr>
            <w:tcW w:w="80" w:type="dxa"/>
            <w:vAlign w:val="bottom"/>
          </w:tcPr>
          <w:p>
            <w:pPr>
              <w:spacing w:after="0"/>
              <w:rPr>
                <w:sz w:val="12"/>
                <w:szCs w:val="12"/>
                <w:color w:val="auto"/>
              </w:rPr>
            </w:pPr>
          </w:p>
        </w:tc>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Lived Assets</w:t>
            </w:r>
          </w:p>
        </w:tc>
        <w:tc>
          <w:tcPr>
            <w:tcW w:w="1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assets by reportable segment for the following periods: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June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156,055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158,859</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134,564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123,755</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290,619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282,614</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51,936</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349,925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21, 2022, the Company acquired the stock of Skratch Enterprises Ltd. for $7,402, which was inclusive of deferred payments withheld by the Company of $1,228, to be paid over the next five years or utilized to satisfy post-closing working capital adjustments or indemnity claims under the purchase agreement. During the second quarter of 2025, the Company made a deferred acquisition payment of $782.</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2025, the Company announced the discontinuation of its Automation and Materials Handling product line (“AMH Exit”) which was reported in the Technology Services and Solutions business unit within the Rail segment. The decision to exit was due to the Company's initiatives to scale back businesses in the United Kingdom. The Company expects to complete any remaining customer obligations by the end of 2025. This product line had net sales of $813 and $1,100 for the three months ended June 30, 2025 and 2024, respectively, and $1,220 and $3,324 for the six months ended June 30, 2025 and 2024, respectively. The Company has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 The Company does not expect to incur additional material exit costs in the remainder of 2025.</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has been completed as of December 31, 2024 and no additional costs are expected to be incurred under this program. As of December 31, 2024, the Company's restructuring liability was $687, which has been paid out as of June 30, 2025.</w:t>
      </w: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liability balance and utilization for restructuring actions, which are primarily related to severance costs through June 30,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Personnel and other exit costs associated with AMH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Restructuring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Liability</w:t>
      </w:r>
    </w:p>
    <w:p>
      <w:pPr>
        <w:spacing w:after="0" w:line="30" w:lineRule="exact"/>
        <w:rPr>
          <w:sz w:val="20"/>
          <w:szCs w:val="20"/>
          <w:color w:val="auto"/>
        </w:rPr>
      </w:pPr>
    </w:p>
    <w:p>
      <w:pPr>
        <w:ind w:left="900" w:hanging="89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975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0"/>
          <w:szCs w:val="20"/>
          <w:color w:val="auto"/>
        </w:rPr>
      </w:pPr>
    </w:p>
    <w:p>
      <w:pPr>
        <w:ind w:left="900" w:hanging="89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797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7975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80" w:space="720"/>
            <w:col w:w="1240"/>
          </w:cols>
          <w:pgMar w:left="320" w:top="117" w:right="339" w:bottom="1440" w:gutter="0" w:footer="0" w:header="0"/>
          <w:type w:val="continuous"/>
        </w:sectPr>
      </w:pP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Infrastructure. The Bedford, PA based operations supporting the product line expect to complete any remaining customer obligations in 2025. For the three months ended June 30, 2025 and 2024, net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the product line were $498 and $1,157, respectively and for the six months ended June 30, 2025 and 2024 were $999 and $1,967, respectively. The Company does not expect to incur additional material exit costs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80" w:type="dxa"/>
            <w:vAlign w:val="bottom"/>
          </w:tcPr>
          <w:p>
            <w:pPr>
              <w:spacing w:after="0"/>
              <w:rPr>
                <w:sz w:val="13"/>
                <w:szCs w:val="13"/>
                <w:color w:val="auto"/>
              </w:rPr>
            </w:pPr>
          </w:p>
        </w:tc>
      </w:tr>
      <w:tr>
        <w:trPr>
          <w:trHeight w:val="193"/>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94"/>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109,361</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31,459</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r>
      <w:tr>
        <w:trPr>
          <w:trHeight w:val="22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168,217</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55,041</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2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96,899</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241,350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265,116</w:t>
            </w:r>
          </w:p>
        </w:tc>
      </w:tr>
      <w:tr>
        <w:trPr>
          <w:trHeight w:val="21"/>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10"/>
          </w:tcPr>
          <w:p>
            <w:pPr>
              <w:jc w:val="center"/>
              <w:ind w:left="697"/>
              <w:spacing w:after="0"/>
              <w:rPr>
                <w:sz w:val="20"/>
                <w:szCs w:val="20"/>
                <w:color w:val="auto"/>
              </w:rPr>
            </w:pPr>
            <w:r>
              <w:rPr>
                <w:rFonts w:ascii="Times New Roman" w:cs="Times New Roman" w:eastAsia="Times New Roman" w:hAnsi="Times New Roman"/>
                <w:sz w:val="14"/>
                <w:szCs w:val="14"/>
                <w:color w:val="auto"/>
              </w:rPr>
              <w:t>Three Months Ended June 30, 2025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Infrastructure Solutions</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107,358</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10"/>
          </w:tcPr>
          <w:p>
            <w:pPr>
              <w:jc w:val="center"/>
              <w:ind w:left="697"/>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Infrastructure Solutions</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105,050</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10"/>
          </w:tcPr>
          <w:p>
            <w:pPr>
              <w:jc w:val="center"/>
              <w:ind w:left="717"/>
              <w:spacing w:after="0"/>
              <w:rPr>
                <w:sz w:val="20"/>
                <w:szCs w:val="20"/>
                <w:color w:val="auto"/>
              </w:rPr>
            </w:pPr>
            <w:r>
              <w:rPr>
                <w:rFonts w:ascii="Times New Roman" w:cs="Times New Roman" w:eastAsia="Times New Roman" w:hAnsi="Times New Roman"/>
                <w:sz w:val="14"/>
                <w:szCs w:val="14"/>
                <w:color w:val="auto"/>
              </w:rPr>
              <w:t>Six Months Ended June 30, 2025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Infrastructure Solutions</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2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180,910</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60,440</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129,988</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10"/>
          </w:tcPr>
          <w:p>
            <w:pPr>
              <w:jc w:val="center"/>
              <w:ind w:left="697"/>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ind w:left="4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Infrastructure Solutions</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2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360" w:type="dxa"/>
            <w:vAlign w:val="bottom"/>
            <w:tcBorders>
              <w:top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135,462</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200,246</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Revenue under these long-term agreements may also be recognized using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During the three and six months ended June 30, 2025 and 2024, reductions to net sales stemming from changes in actual and expected values of certain commercial contracts and settlements of such contracts were $1,647 and $1,477, respectively. The Company’s estimates related to these long-term agreements are further described in “Note 3. Revenue” of the Notes to the Company’s Consolidated Financial Statements contained in its Annual Report on Form 10-K for the year ended December 31,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5"/>
          </w:tcPr>
          <w:p>
            <w:pPr>
              <w:jc w:val="center"/>
              <w:ind w:left="419"/>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6"/>
        </w:trPr>
        <w:tc>
          <w:tcPr>
            <w:tcW w:w="50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jc w:val="center"/>
              <w:ind w:left="399"/>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Three Months Ended June 30,</w:t>
            </w:r>
          </w:p>
        </w:tc>
      </w:tr>
      <w:tr>
        <w:trPr>
          <w:trHeight w:val="196"/>
        </w:trPr>
        <w:tc>
          <w:tcPr>
            <w:tcW w:w="50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ind w:right="56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auto"/>
            </w:tcBorders>
          </w:tcPr>
          <w:p>
            <w:pPr>
              <w:spacing w:after="0"/>
              <w:rPr>
                <w:sz w:val="17"/>
                <w:szCs w:val="17"/>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bottom w:val="single" w:sz="8" w:color="auto"/>
            </w:tcBorders>
          </w:tcPr>
          <w:p>
            <w:pPr>
              <w:spacing w:after="0"/>
              <w:rPr>
                <w:sz w:val="19"/>
                <w:szCs w:val="19"/>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25.4 %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680"/>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5"/>
          </w:tcPr>
          <w:p>
            <w:pPr>
              <w:jc w:val="center"/>
              <w:ind w:left="439"/>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3"/>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5"/>
          </w:tcPr>
          <w:p>
            <w:pPr>
              <w:jc w:val="center"/>
              <w:ind w:left="439"/>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95"/>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top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r>
      <w:tr>
        <w:trPr>
          <w:trHeight w:val="23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7"/>
              </w:rPr>
              <w:t>10.3 %</w:t>
            </w:r>
          </w:p>
        </w:tc>
        <w:tc>
          <w:tcPr>
            <w:tcW w:w="40" w:type="dxa"/>
            <w:vAlign w:val="bottom"/>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9"/>
                <w:szCs w:val="19"/>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7"/>
              </w:rPr>
              <w:t>24.5 %</w:t>
            </w:r>
          </w:p>
        </w:tc>
        <w:tc>
          <w:tcPr>
            <w:tcW w:w="40" w:type="dxa"/>
            <w:vAlign w:val="bottom"/>
            <w:tcBorders>
              <w:left w:val="single" w:sz="8" w:color="auto"/>
            </w:tcBorders>
          </w:tcPr>
          <w:p>
            <w:pPr>
              <w:spacing w:after="0"/>
              <w:rPr>
                <w:sz w:val="21"/>
                <w:szCs w:val="2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4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4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00" w:type="dxa"/>
            <w:vAlign w:val="bottom"/>
            <w:vMerge w:val="continue"/>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5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4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4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540" w:type="dxa"/>
            <w:vAlign w:val="bottom"/>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52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approximately $269,929 of remaining performance obligations, which is also referred to as backlog. Approximately 7.9% of the June 30, 2025 backlog was related to projects that are anticipated to extend beyond June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includes the impacts of current economic conditions, including but not limited to concerns related to inflation, tariffs, labor markets, supply chains, and changes in trade policy. However, these factors can be unpredictable and are subject to change. No interim goodwill impairment test was required as a result of the evaluation of qualitative factors as of June 30, 2025. However, future impairment charges could result if future projections diverge unfavorably from current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June 30, 2025</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6"/>
                <w:szCs w:val="16"/>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were an expense of $327 and $134 for the three months ended June 30, 2025 and 2024, respectively, and an expense of $518 and $529 for the six months ended June 30, 2025 and 2024, respectively. The changes in reserves for uncollectible accounts are net of recoveries of previous write-offs of $337 for the six months ended June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960" w:hanging="96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1,127</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(337)</w:t>
      </w:r>
    </w:p>
    <w:p>
      <w:pPr>
        <w:spacing w:after="0" w:line="31" w:lineRule="exact"/>
        <w:rPr>
          <w:sz w:val="20"/>
          <w:szCs w:val="20"/>
          <w:color w:val="auto"/>
        </w:rPr>
      </w:pPr>
    </w:p>
    <w:p>
      <w:pPr>
        <w:ind w:left="960" w:hanging="960"/>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tbl>
      <w:tblPr>
        <w:tblLayout w:type="fixed"/>
        <w:tblInd w:w="0" w:type="dxa"/>
        <w:tblCellMar>
          <w:top w:w="0" w:type="dxa"/>
          <w:left w:w="0" w:type="dxa"/>
          <w:bottom w:w="0" w:type="dxa"/>
          <w:right w:w="0" w:type="dxa"/>
        </w:tblCellMar>
      </w:tblPr>
      <w:tr>
        <w:trPr>
          <w:trHeight w:val="149"/>
        </w:trPr>
        <w:tc>
          <w:tcPr>
            <w:tcW w:w="8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70,506</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includes two financial covenants: (a) Maximum Gross Leverage Ratio, defined as the Company’s Consolidated Indebtedness divided by the Company’s Consolidated EBITDA,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Company was in compliance with the covenants in the Credit Agreement, as amended, and had outstanding letters of credit of approximately $891.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w w:val="92"/>
              </w:rPr>
              <w:t>2024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common share: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earnings per common share - adjusted weighted</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recorded an income tax expense of $3,444 and $346, respectively, on pre-tax income of $6,283 and $3,163, respectively, for an effective income tax rate of 54.8% and 10.9%, respectively. For the six months ended June 30, 2025 and 2024, the Company recorded an income tax expense of $2,813 and $635, respectively, on pre-tax income of $3,535 and $7,857, respectively, for an effective income tax rate of 79.6% and 8.1%, respectively. The Company's effective income tax rate for the three and six months ended June 30, 2025 differed from the federal statutory rate of 21% primarily due to the impact of pre-tax losses in the United Kingdom, for which no income tax benefit was recognized due to a valuation allowance. Changes in pre-tax income projections, combined with the seasonal nature of our businesses, also impact the effective income tax rate each quarter.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OBBBA includes various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its impact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$1,277 and $1,314 for the three months ended June 30, 2025 and 2024, respectively, and $2,111 and $2,347 for the six months ended June 30, 2025 and 2024, respectively, related to restricted stock awards and performance unit awards. As of June 30, 2025, unrecognized compensation expense for awards that the Company expects to vest approximated $7,488. The Company will recognize this unrecognized compensation expense over a weighted average 1.9 years through February 20, 2028.</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2025, the shareholders approved the new 2025 Equity and Incentive Compensation Plan (the “Equity and Incentive Compensation Plan”). As of June 30, 2025, the Company had stock awards issued pursuant to the Equity and Incentive Compensation Plan and its predecessor, the 2006 Omnibus Incentive Compensation Plan (the “Omnibus Plan”). No stock options are outstanding under the Omnibus Plan or the Equity and Incentive Compensation Plan and, as such, there was no stock-based compensation expense related to stock options recorded for the three months ended June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Restricted Stock Awards and Fully-Vested Stock</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for service on the Board into deferred stock units. Under the terms of the 2025 Equity and Incentive Compensation Plan, a non-employee Board member may elect to receive fully vested stock in lieu of quarterly cash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Performance-Based Stock and Share Units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deferred stock units, and performance-based stock and share unit activity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Restricted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7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72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534,521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118,473</w:t>
            </w:r>
          </w:p>
        </w:tc>
        <w:tc>
          <w:tcPr>
            <w:tcW w:w="100" w:type="dxa"/>
            <w:vAlign w:val="bottom"/>
          </w:tcPr>
          <w:p>
            <w:pPr>
              <w:spacing w:after="0"/>
              <w:rPr>
                <w:sz w:val="17"/>
                <w:szCs w:val="17"/>
                <w:color w:val="auto"/>
              </w:rPr>
            </w:pPr>
          </w:p>
        </w:tc>
        <w:tc>
          <w:tcPr>
            <w:tcW w:w="1260" w:type="dxa"/>
            <w:vAlign w:val="bottom"/>
          </w:tcPr>
          <w:p>
            <w:pPr>
              <w:ind w:left="600"/>
              <w:spacing w:after="0" w:line="203" w:lineRule="exact"/>
              <w:rPr>
                <w:sz w:val="20"/>
                <w:szCs w:val="20"/>
                <w:color w:val="auto"/>
              </w:rPr>
            </w:pPr>
            <w:r>
              <w:rPr>
                <w:rFonts w:ascii="Times New Roman" w:cs="Times New Roman" w:eastAsia="Times New Roman" w:hAnsi="Times New Roman"/>
                <w:sz w:val="18"/>
                <w:szCs w:val="18"/>
                <w:color w:val="auto"/>
              </w:rPr>
              <w:t>127,033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(88,641)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(45,524)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527,389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August 12, 2022 interest rate swap expired on March 1, 2025. The August 31, 2022 interest rate swap expires on August 13, 2026. The fair value of the interest rate swaps are based on market-observable forward interest rates and represents the estimated amount that the Company would pay to terminate the agreements. As such, the swap agreements are classified as Level 2 within the fair value hierarchy. As of June 30, 2025 and December 31, 2024,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recognized interest income of $56 and $340, respectively, from interest rate swaps. For the six months ended June 30, 2025 and 2024, the Company recognized interest income of $274 and $677 respectively, from interest rate swaps.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 During the fourth quarter of 2024, the Company completed the termination of the US DB Plan. In January 2025, the Company entered into an insurance buy-in contract with a third party insurer which resulted in an exchange of plan assets of the UK DB Plan for an annuity that covers our future projected benefit obligations. The Company expects the buy out of the plan and transfer of future benefit obligations of plan participants to be completed in early 2026. The Company does not expect to make any further contributions to the UK DB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2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3"/>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4"/>
        </w:trPr>
        <w:tc>
          <w:tcPr>
            <w:tcW w:w="59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tbl>
      <w:tblPr>
        <w:tblLayout w:type="fixed"/>
        <w:tblInd w:w="0" w:type="dxa"/>
        <w:tblCellMar>
          <w:top w:w="0" w:type="dxa"/>
          <w:left w:w="0" w:type="dxa"/>
          <w:bottom w:w="0" w:type="dxa"/>
          <w:right w:w="0" w:type="dxa"/>
        </w:tblCellMar>
      </w:tblPr>
      <w:tr>
        <w:trPr>
          <w:trHeight w:val="145"/>
        </w:trPr>
        <w:tc>
          <w:tcPr>
            <w:tcW w:w="3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20" w:type="dxa"/>
            <w:vAlign w:val="bottom"/>
            <w:gridSpan w:val="4"/>
          </w:tcPr>
          <w:p>
            <w:pPr>
              <w:jc w:val="right"/>
              <w:ind w:right="136"/>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4"/>
          </w:tcPr>
          <w:p>
            <w:pPr>
              <w:jc w:val="right"/>
              <w:ind w:right="674"/>
              <w:spacing w:after="0" w:line="145" w:lineRule="exact"/>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5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1,111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1,041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5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33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Union Pacific Railroad (“UPRR”) Concrete Tie Matter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13, 2019, the Company and its subsidiary, CXT Incorporated (“CXT”), entered into a Settlement Agreement (the “Settlement Agreement”) with</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UPRR to resolve the then-pending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 Under the Settlement Agreement, the Company and CXT agreed to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As of December 31, 2024 the UPRR Settlement Agreement has been fully paid and UPRR's purchase obligations under this Agreement have been satisfied.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June 30, 2025 and December 31, 2024, the Company maintained reserves of $1,614 and $1,796, respectively, for all of its environmental liabilities.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June 30, 2025.</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possible loss or range of loss, either individually or in the aggregate, as appropriate, if such an estimate can be made, or discloses that an estimate cannot be made. Based on the Company’s assessment as of June 30, 2025, no such disclosures were considered necessary.</w:t>
      </w: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tariffs or trade wars, inflation,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of tariffs; our ability to effectuate our strategy, including cost reduction initiatives, and our ability to effectively integrate acquired businesses or to divest businesses, and to realize anticipated synergies and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as well as our ability to reestablish effective disclosure controls and procedures; any change in policy or other change due to the results of the UK’s 2024 parliamentary election and the U.S. 2024 Presidential election that could affect UK or U.S. business conditions; other geopolitical conditions, including the ongoing conflicts between Russia and Ukraine, conflicts in the Middle East, and increasing tensions between China and Taiwan; a lack of or delay in state or federal funding for infrastructure projects; an increase in manufacturing or material costs, including volatility in steel prices;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2024, or as updated and/or amended by our other current or periodic filings with the Securities and Exchange Commission.</w:t>
      </w:r>
    </w:p>
    <w:p>
      <w:pPr>
        <w:spacing w:after="0" w:line="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 Exits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the Company announced the discontinuation of its Automation and Materials Handling product line (“AMH Exit”) which was reported in the Technology Services and Solutions business unit within the Rail segment. AMH had net sales of $813 and $1,100 for the three months ended June 30, 2025 and 2024, respectively, and $1,220 and $3,324 for the six months ended June 30, 2025 and 2024, respectively. The Company expects to complete any remaining customer obligations by the end of 2025. The Company has incurred a total of $1,351 in exit costs associated with the AMH Exit, which included $655 in inventory and fixed asset write-downs, $507 in personnel expenses, and $189 in other exit costs. Exit costs of $1,085 were recorded in “Cost of goods sold” and $266 were recorded in “Selling and administrative expenses” within our Rail segment.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Infrastructure. The Bedford, PA based operations supporting the product line expects to complete any remaining customer obligations in 2025. The product line had net sales of $498 and $1,157 for the three months ended June 30, 2025 and 2024, respectively, and $999 and $1,967 for the six months ended June 30,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Second Quarter 2025 Compared to Second Quarter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143,558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30,900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30,513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bps</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22,382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24,818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bps</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bps</w:t>
            </w:r>
          </w:p>
        </w:tc>
        <w:tc>
          <w:tcPr>
            <w:tcW w:w="0" w:type="dxa"/>
            <w:vAlign w:val="bottom"/>
          </w:tcPr>
          <w:p>
            <w:pPr>
              <w:spacing w:after="0"/>
              <w:rPr>
                <w:sz w:val="1"/>
                <w:szCs w:val="1"/>
                <w:color w:val="auto"/>
              </w:rPr>
            </w:pP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June 30, 2025 increased $2,762, or 2.0%, over the prior year quarter. The increase was driven by strong sales growth in the Infrastructure segment, which improved $12,383, or 22.4%, over the prior year quarter. Partially offsetting these improvements were sales volumes declines in the Rail segment which declined $9,621, or 11.2%, from the prior year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June 30, 2025 increased $387, or 1.3%, from the prior year quarter. The improvement in gross profit was due to higher sales volume partially offset by $1,085 of costs related to the AMH Exit. Gross profit margins declined 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basis points to 21.5% due to the absence of the $815 gain realized on the sale of an ancillary property in the prior year quarter coupled with the AMH Exit costs incurred in the current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June 30, 2025 decreased $2,436, or 9.8%, from the prior year quarter, due primarily to lower personnel costs and professional services expenditures which decreased $941 and $473, respectively. Selling and administrative expenses for the 2025 second quarter includes $266 in AMH Exit costs and the prior year quarter includes $751 in legal costs associated with a resolved legal matter. Selling and administrative expenses as a percentage of net sales decreased to 15.6% in the current quarter compared to the prior year quarter.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was flat to the prior year quarter. The Company's outstanding debt balance was $81,628 as of June 30, 2025, compared to $87,173 as of June 30,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June 30, 2025 was 54.8%, compared to 10.9% in the prior year quarter. The Company's effective income tax rate for the three months ended June 30, 2025 differed from the statutory rate of 21% primarily due to the impact of pre-tax losses in the United Kingdom, for which no income tax benefit was recognized due to a valuation allowance.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three months ended June 30, 2025 was $2,885, or $0.27 per diluted share, compared to net income in the prior year quarter of $2,847, or $0.26 per diluted share. Net income for the three months ended June 30, 2025 was driven by lower selling and administrative expenses offset by higher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 vs. 2024</w:t>
            </w:r>
          </w:p>
        </w:tc>
        <w:tc>
          <w:tcPr>
            <w:tcW w:w="12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75,973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(9,621)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17,875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(100)bps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(150)bps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Rail segment net sales for the three months ended June 30, 2025 decreased $9,621, or 11.2%, from the prior year quarter. The decline was primarily driven by $8,753, or 15.5%, in lower volumes in the Rail Products business, coupled with lower volumes in our Technology Services and Solutions business which declined $3,861, or 32.6%, due to scaling back initiatives in our UK business and softness in the UK market. Partially offsetting these declines was an increase of $2,993, or 17.2%, in Global Friction Management sales.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Rail segment gross profit for the three months ended June 30, 2025 decreased $2,743, or 15.3%, from the prior year quarter, and gross profit margins declined by 100 basis points to 19.9%. The decline in gross profit was due to lower sales volumes and $1,085 of costs associated with the AMH Exit.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Rail segment operating income for the three months ended June 30, 2025 decreased $1,754 from the prior year quarter due primarily to lower gross profit partially offset by a decline in selling and administrative expenses. During the three months ended June 30, 2025, AMH Exit costs reduced operating income by $1,351.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 Rail segment had new orders of $114,345, a decrease of $2,651, driven primarily by Technology Services and Solutions as the Company scales back initiatives in our UK business and due to the timing of Global Friction Management orders. Partially offsetting these declines was a 3.1% increase in Rail Products orders. Backlog as of June 30, 2025, was $130,709, a $15,915, or 13.9%, increase over the prior year. The increase in backlog was due to Rail Products and Global Friction Management, partially offset by a decrease in Technology Services and Solutions.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2025 vs. 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67,585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15,768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12,638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6,766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Infrastructure segment net sales for the three months ended June 30, 2025, increased $12,383 or 22.4%, over the prior year quarter. Sales increased due to strong growth in Precast Concrete Products, which increased $12,224, or 36.0%, over the prior year quarter. The Steel Products business unit net sales increased $159, or 0.7%, due to sales volume growth in the Protective Coatings business which was partially offset by declines in the bridge forms product line and the exit of the bridge grid deck product line.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Infrastructure segment gross profit for the three months ended June 30, 2025 increased $3,130, or 24.8%, and gross profit margins expanded 40 basis points to 23.3%, compared to 22.9% over the prior year quarter, primarily driven by higher sales volumes in Precast Concrete Products and Protective Coatings businesses over the prior year quarter. Gross profit for the second quarter of 2024 includes a $815 gain realized on the sale of an ancillary property, which was not included in the second quarter of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Infrastructure segment operating income for the three months ended June 30, 2025 was favorable by $3,143 compared to the prior year quarter due to improvements in 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Infrastructure had new orders of $61,411, an increase of $7,414, over the prior year quarter. The increase in new orders is due to our Precast Concrete Products business unit which increased 26.7% over the prior year quarter, which was partially offset by the Steel Products business unit which decreased 16.7% from the prior year quarter. Backlog as of June 30, 2025, was $139,220, an increase of $4,209, or 3.1% over the prior year quarter, driven by both business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(18.8)%</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(37.7)%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 - net for the three months ended June 30, 2025 was $2,835 compared to $4,552 for the three months ended June 30, 2024. Corporate executive management costs decreased from the prior year quarter primarily due to a decrease of $751 in corporate legal costs associated with a resolved legal matter and a decrease in professional service expenditures of $473.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Six Months 2025 Compared to First Six Months 2024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241,350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51,051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56,689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bps</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43,334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47,688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bps</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bps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the six months ended June 30, 2025 decreased $23,766, or 9.0%, from the prior year period. The decrease in net sales was driven by a decrease of $38,229, or 22.7%, in the Rail segment, partially offset by a $14,463, or 14.9%, increase in the Infrastructure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six months ended June 30, 2025 decreased $5,638, or 9.9%, from the prior year period and gross profit margins declined 20 basis points to 21.2%. The decline in gross profit and gross profit margin is due to lower sales volumes associated with the Rail segment, AMH Exit restructuring costs of $1,085 and the $815 gain on the sale of ancillary property realized in the prior year period.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six months ended June 30, 2025 decreased $4,354, or 9.1%, from the prior year period, due primarily to a decrease of $1,777 in personnel costs, $751 in legal fees, $783 in professional services expenditures, and reduced travel and insurance costs. Partially offsetting this decline were $266 of costs associated with the AMH Exit. Selling and administrative expenses as a percentage of net sales was unchanged compared to the prior year period at 18.0%.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increased $15 for the six months ended June 30, 2025 compared to the prior year period. The Company's outstanding debt balance was $81,628 as of June 30, 2025, compared to $87,173 as of June 30,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six months ended June 30, 2025 was 79.6%, compared to 8.1% in the prior year period. The Company's effective income tax rate for the six months ended June 30, 2025 differed from the statutory rate of 21% primarily due to the impact of pre-tax losses in the United Kingdom for which no income tax benefit was recognized due to a valuation allowance.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 for the six months ended June 30, 2025 was $775, or $0.07 per diluted share, compared to net income in the prior year period of $7,283, or $0.66 per diluted share. The lower net income for the six months ended June 30, 2025 was primarily driven by a decrease in gross profit and an increase in income tax expense offset in part by a decrease in selling and administrative expenses. Also, net income for the six months ended June 30, 2024 included the $3,477 gain on the sale of the former joint venture facility in Magnolia, Texas.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8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2025 vs. 2024</w:t>
            </w:r>
          </w:p>
        </w:tc>
        <w:tc>
          <w:tcPr>
            <w:tcW w:w="12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129,988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168,217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(38,229)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36,446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(80)bps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12,279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(8,388)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(430)bps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Rail segment net sales for the six months ended June 30, 2025 decreased $38,229, or 22.7 %, from the prior year period. The decrease was primarily due to the decline in the Rail Products business unit which declined $32,472, or 29.7%, due to the timing of large orders in the Rail Distribution product line and an exceptionally strong prior year period. Technology Services and Solutions' net sales decreased $10,292, or 37.6%, due to the Company scaling back initiatives in the United Kingdom and softness in the domestic markets served. The Global Friction Management business unit's net sales improved $4,535, or 14.4%, due to improved demand in domestic markets served.</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Rail segment gross profit for the six months ended June 30, 2025 decreased $9,285, or 25.5%, from the prior year period, and gross profit margins declined 80 basis points to 20.9%. The Rail Products and Technology Services and Solutions business units' gross profit declined $6,029 and $6,041, respectively, due to lower volumes. The Technology Services and Solutions business unit gross profit decline was due in part to $1,085 of restructuring costs associated with the AMH Exit. Partially offsetting these declines was an improvement in the Global Friction Management gross profit of $2,785, due to higher volumes.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Rail segment operating income for the six months ended June 30, 2025 decreased $8,388 from the prior year period. The decrease was driven by a decline in gross profit associated with lower sales volumes and $266 of costs associated with AMH Exit, partially offset by lower selling and administrative expenses.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new orders were $197,597, a decrease of $3,140 from the prior year period. The decrease was due to declines in the Technology Services and Solutions business unit of 27.6% as the Company scales back initiatives in the United Kingdom. Partially offsetting these declines was a 7.3% increase in new orders in our Global Friction Management business unit while Rail Product orders were flat compared to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2025 vs. 2024</w:t>
            </w:r>
          </w:p>
        </w:tc>
        <w:tc>
          <w:tcPr>
            <w:tcW w:w="12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111,362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96,899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14,463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20,243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bps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Infrastructure segment net sales for the six months ended June 30, 2025 increased $14,463, or 14.9%, over the prior year period. The increase in net sales was attributable to the Precast Concrete Products business unit which increased $19,337, or 35.1%, over the prior year period which was partially offset by the Steel Products business unit which decrease $4,874, or 11.6%, from the prior year period due to declines in the bridge forms product line and the exit of the bridge grid deck product line.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Infrastructure segment gross profit for the six months ended June 30, 2025 increased $3,647, or 18.0%, due primarily to strength in the Precast Concrete Products business. Gross profit margins of 21.5% increased 60 basis points over the prior year period due primarily to favorable business mix in the Steel Products business unit. Gross profit for the six months ended June 30, 2024 includes the $815 gain on sale of ancillary property.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Infrastructure segment operating income for the six months ended June 30, 2025 was favorable $4,087 compared to the prior year period due to improvements in gross profit and a decrease in selling and administrative expenses.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Infrastructure segment had new orders of $127,223, an increase of $24,582, over the prior year period. The increase is due to our Precast Concrete Products business unit which increased by 23.5% over the prior year period, and our Steel Products business unit which increased 25.0% over the prior year period due to new order strength in our Protective Coatings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Unallocated corporate expense - net for the six months ended June 30, 2025 was $4,458 compared to the six months ended June 30, 2024 which was $4,376. The increase was due to the $3,477 gain on the sale of the former joint venture facility in Magnolia, Texas recorded in the six months ended June 30, 2024. This was partially offset by a decrease in corporate executive management costs of $2,344 due to a decrease in professional service expenditures and lower travel and insurance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The revolving credit facility provides for a total commitment of up to $150,000, of which $68,138 was available for borrowing as of June 30, 2025, subject to covenant restrictions. The Company’s primary needs for liquidity relate to working capital requirements for operations, capital expenditures, debt service obligations, tax obligations, outstanding purchase obligations, acquisitions, restructuring payments, and to support the share repurchase program. The Company’s total debt, including finance leases, was $81,628 and $46,940 as of June 30, 2025 and December 31, 2024,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June 30,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8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June 30, 2025</w:t>
            </w:r>
          </w:p>
        </w:tc>
        <w:tc>
          <w:tcPr>
            <w:tcW w:w="74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0"/>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68,138</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were in compliance with all covenants of the Credit Agreement and have $72,324 available funding capacity, subject to covenant restrictions.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business mix, commercial terms,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June 30, 2025,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six months ended June 30, 2025 and 2024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23"/>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net cash used in operating activities was $15,734, compared to cash used in operating activities of $26,398 during the prior year period. For the six months ended June 30, 2025, net income and adjustments to reconcile net income from operating activities provided $12,553, compared to $12,178 in the prior year period. Working capital and other assets and liabilities were a use of $28,287 in the current period, compared to a use of $38,576 in the prior year quarter. The increase in operating cash flow for the six months ended June 30, 2025 versus the six months ended June 30, 2024 was largely driven by lower working capital needs this year related to lower Rail volumes. Changes in payment timing can impact accounts receivable in any given quarter due to the seasonality of our businesses.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for the six months ended June 30, 2025 and 2024 were $5,248 and $4,766, respectively. Capital expenditures in both periods primarily relate to general plant and operational improvements throughout the Company, as well as organic growth initiatives including investments in our new Precast Concrete facility in Lake County, Florida. During the six months ended June 30, 2024, the Company divested the facility and land of its former joint venture in Magnolia, Texas and the fixed assets associated with the Bridge Exit generating a cash inflow of $3,881.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the Company had an increase in outstanding debt of $32,340 compared to a $31,955 increase during the six months ended June 30, 2024. Additionally, debt issuance costs of $706 were incurred during the six months ended June 30, 2025 related to the June 27, 2025 Fifth Amended and Restated Credit Agreement. During the six months ended June 30, 2025, the Company also made a $782 deferred payment related to the June 2022 acquisition of Skratch Enterprises Ltd. This payment was deferred at the date of the acquisition in accordance with the purchase agreement and was made during the second quarter of 2025. The increase in debt for the six months ended June 30, 2025 was driven by an increase in cash needed for treasury stock acquisitions, debt issuance costs, and the Skratch deferred acquisition payment and the absence of the cash inflow from the sale of the former joint venture in Magnolia, Texas from the prior year period.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The Company repurchased 113,169 shares for $3,123 under this program through February 2025. Since the program's inception and continuing through February 2025, the Company repurchased a total of 547,679 shares of its stock for $12,241 under the program.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2025, the Company's Board of Directors approved a new authorization to repurchase up to $40,000 of the Company's common stock in open market transactions and/or 10b5-1 trading plans through February 29, 2028. As of June 30, 2025, the Company repurchased 163,762 shares of its stock for $3,316 under this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both programs, the Company repurchased a total of 276,931 shares for $6,439 during the six months ended June 30, 2025. From February 2023 through June 30, 2025, the Company repurchased a total of 711,441 shares of its stock for $15,557 under both programs.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$4,186 in cash and cash equivalents and $68,138 of availability under its revolving credit facility, subject to covenant restrictions. As of June 30, 2025, approximately $2,890 of the Company’s cash and cash equivalents were held in non-domestic bank accounts.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now complete UPRR Settlement Agreement, and service indebtedness. The Company views its short and long-term liquidity as being dependent on its results of operations, changes in working capital needs, and its borrowing capacity.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please refer to Note 7 of the Notes to Condensed Consolidated Financial Statements contained in this Quarterly Report on Form 10-Q.</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 The August 12, 2022 interest rate swap expired on March 1, 2025. The August 31, 2022 interest rate swap expires on August 13,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260" w:type="dxa"/>
            <w:vAlign w:val="bottom"/>
          </w:tcPr>
          <w:p>
            <w:pPr>
              <w:spacing w:after="0"/>
              <w:rPr>
                <w:sz w:val="11"/>
                <w:szCs w:val="11"/>
                <w:color w:val="auto"/>
              </w:rPr>
            </w:pPr>
          </w:p>
        </w:tc>
        <w:tc>
          <w:tcPr>
            <w:tcW w:w="1000" w:type="dxa"/>
            <w:vAlign w:val="bottom"/>
          </w:tcPr>
          <w:p>
            <w:pPr>
              <w:jc w:val="right"/>
              <w:ind w:right="297"/>
              <w:spacing w:after="0" w:line="133" w:lineRule="exact"/>
              <w:rPr>
                <w:sz w:val="20"/>
                <w:szCs w:val="20"/>
                <w:color w:val="auto"/>
              </w:rPr>
            </w:pPr>
            <w:r>
              <w:rPr>
                <w:rFonts w:ascii="Times New Roman" w:cs="Times New Roman" w:eastAsia="Times New Roman" w:hAnsi="Times New Roman"/>
                <w:sz w:val="14"/>
                <w:szCs w:val="14"/>
                <w:color w:val="auto"/>
              </w:rPr>
              <w:t>June 30,</w:t>
            </w:r>
          </w:p>
        </w:tc>
      </w:tr>
      <w:tr>
        <w:trPr>
          <w:trHeight w:val="193"/>
        </w:trPr>
        <w:tc>
          <w:tcPr>
            <w:tcW w:w="7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114,794</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135,011</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269,929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lower levels of backlog throughout the year. Backlog increased by $20,124 over the prior year quarter due to increases throughout our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June 30, 2025,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w:t>
      </w:r>
    </w:p>
    <w:p>
      <w:pPr>
        <w:spacing w:after="0" w:line="5" w:lineRule="exact"/>
        <w:rPr>
          <w:sz w:val="20"/>
          <w:szCs w:val="20"/>
          <w:color w:val="auto"/>
        </w:rPr>
      </w:pPr>
    </w:p>
    <w:p>
      <w:pPr>
        <w:ind w:firstLine="8"/>
        <w:spacing w:after="0" w:line="260"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management, including the Chief Executive Officer, Chief Financial Officer, or person performing such functions, as appropriate to allow timely decisions regarding disclosure.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quarter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June 30, 2025 were as follows:</w:t>
      </w:r>
    </w:p>
    <w:p>
      <w:pPr>
        <w:spacing w:after="0" w:line="342" w:lineRule="exact"/>
        <w:rPr>
          <w:sz w:val="20"/>
          <w:szCs w:val="20"/>
          <w:color w:val="auto"/>
        </w:rPr>
      </w:pPr>
    </w:p>
    <w:p>
      <w:pPr>
        <w:jc w:val="right"/>
        <w:spacing w:after="0"/>
        <w:tabs>
          <w:tab w:leader="none" w:pos="128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(a)</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7820" w:space="26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37,136</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36,684</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During the current period, 8,288 shares were withheld by the Company to pay taxes upon vesting of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June 30,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gridSpan w:val="14"/>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gridSpan w:val="3"/>
          </w:tcPr>
          <w:p>
            <w:pPr>
              <w:spacing w:after="0"/>
              <w:rPr>
                <w:sz w:val="17"/>
                <w:szCs w:val="17"/>
                <w:color w:val="auto"/>
              </w:rPr>
            </w:pPr>
          </w:p>
        </w:tc>
        <w:tc>
          <w:tcPr>
            <w:tcW w:w="5100" w:type="dxa"/>
            <w:vAlign w:val="bottom"/>
            <w:gridSpan w:val="10"/>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9820" w:type="dxa"/>
            <w:vAlign w:val="bottom"/>
            <w:gridSpan w:val="15"/>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Fifth Amended and Restated Credit Agreement dated June 27, 2025, between Registrant and PNC Bank, Bank of America, N.A.,</w:t>
              </w:r>
            </w:hyperlink>
          </w:p>
        </w:tc>
      </w:tr>
      <w:tr>
        <w:trPr>
          <w:trHeight w:val="155"/>
        </w:trPr>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7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Citizens Bank, N.A., Wells Fargo Bank, National Association, and Dollar Bank, N.A. (incorporated herein by reference to Exhibit 10.1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7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to the Company's Current Report on Form 8-K, filed by the Company on June 27, 2025).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9820" w:type="dxa"/>
            <w:vAlign w:val="bottom"/>
            <w:gridSpan w:val="15"/>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2025 Equity and Incentive Compensation Plan (incorporated herein by reference to Exhibit 99.1 to the Company's Registration</w:t>
              </w:r>
            </w:hyperlink>
          </w:p>
        </w:tc>
      </w:tr>
      <w:tr>
        <w:trPr>
          <w:trHeight w:val="156"/>
        </w:trPr>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Statement on Form S-8, filed by the Company on May 22, 2025, File Number 333-287501).**</w:t>
              </w:r>
            </w:hyperlink>
          </w:p>
        </w:tc>
        <w:tc>
          <w:tcPr>
            <w:tcW w:w="20" w:type="dxa"/>
            <w:vAlign w:val="bottom"/>
          </w:tcPr>
          <w:p>
            <w:pPr>
              <w:spacing w:after="0"/>
              <w:rPr>
                <w:sz w:val="13"/>
                <w:szCs w:val="13"/>
                <w:color w:val="auto"/>
              </w:rPr>
            </w:pPr>
          </w:p>
        </w:tc>
      </w:tr>
      <w:tr>
        <w:trPr>
          <w:trHeight w:val="49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4"/>
                <w:szCs w:val="24"/>
                <w:color w:val="auto"/>
              </w:rPr>
            </w:pPr>
          </w:p>
        </w:tc>
        <w:tc>
          <w:tcPr>
            <w:tcW w:w="44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of 2025 Director Restricted Stock Award Agreement **</w:t>
            </w:r>
          </w:p>
        </w:tc>
        <w:tc>
          <w:tcPr>
            <w:tcW w:w="2340" w:type="dxa"/>
            <w:vAlign w:val="bottom"/>
            <w:tcBorders>
              <w:top w:val="single" w:sz="8" w:color="0000FF"/>
            </w:tcBorders>
            <w:gridSpan w:val="5"/>
          </w:tcPr>
          <w:p>
            <w:pPr>
              <w:spacing w:after="0"/>
              <w:rPr>
                <w:sz w:val="24"/>
                <w:szCs w:val="24"/>
                <w:color w:val="auto"/>
              </w:rPr>
            </w:pPr>
          </w:p>
        </w:tc>
        <w:tc>
          <w:tcPr>
            <w:tcW w:w="3020" w:type="dxa"/>
            <w:vAlign w:val="bottom"/>
            <w:gridSpan w:val="6"/>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of 2025 Long Term Incentive Plan Restricted Stock Agreement**</w:t>
            </w:r>
          </w:p>
        </w:tc>
        <w:tc>
          <w:tcPr>
            <w:tcW w:w="4640" w:type="dxa"/>
            <w:vAlign w:val="bottom"/>
            <w:gridSpan w:val="9"/>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2025 Performance Share Unit Agreement**</w:t>
            </w: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4"/>
                <w:szCs w:val="24"/>
                <w:color w:val="auto"/>
              </w:rPr>
            </w:pPr>
          </w:p>
        </w:tc>
        <w:tc>
          <w:tcPr>
            <w:tcW w:w="6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80" w:type="dxa"/>
            <w:vAlign w:val="bottom"/>
            <w:gridSpan w:val="5"/>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780" w:type="dxa"/>
            <w:vAlign w:val="bottom"/>
            <w:gridSpan w:val="8"/>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420" w:type="dxa"/>
            <w:vAlign w:val="bottom"/>
            <w:gridSpan w:val="2"/>
          </w:tcPr>
          <w:p>
            <w:pPr>
              <w:spacing w:after="0" w:line="20" w:lineRule="exact"/>
              <w:rPr>
                <w:sz w:val="1"/>
                <w:szCs w:val="1"/>
                <w:color w:val="auto"/>
              </w:rPr>
            </w:pPr>
          </w:p>
        </w:tc>
        <w:tc>
          <w:tcPr>
            <w:tcW w:w="8860" w:type="dxa"/>
            <w:vAlign w:val="bottom"/>
            <w:gridSpan w:val="11"/>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46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0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9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p>
      <w:pPr>
        <w:spacing w:after="0" w:line="27" w:lineRule="exact"/>
        <w:rPr>
          <w:sz w:val="20"/>
          <w:szCs w:val="20"/>
          <w:color w:val="auto"/>
        </w:rPr>
      </w:pPr>
    </w:p>
    <w:p>
      <w:pPr>
        <w:ind w:left="5540" w:right="3520" w:hanging="4582"/>
        <w:spacing w:after="0" w:line="887" w:lineRule="auto"/>
        <w:tabs>
          <w:tab w:leader="none" w:pos="11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represents a management contract or compensatory plan, contract, or arrangement.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86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6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August 11, 2025</w:t>
            </w:r>
          </w:p>
        </w:tc>
        <w:tc>
          <w:tcPr>
            <w:tcW w:w="5860" w:type="dxa"/>
            <w:vAlign w:val="bottom"/>
            <w:gridSpan w:val="3"/>
          </w:tcPr>
          <w:p>
            <w:pPr>
              <w:ind w:left="298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0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86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86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60" w:type="dxa"/>
            <w:vAlign w:val="bottom"/>
            <w:gridSpan w:val="3"/>
          </w:tcPr>
          <w:p>
            <w:pPr>
              <w:ind w:left="298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(Section 6 Of The 2025 Equity and Incentive Compensation Plan)</w:t>
      </w:r>
    </w:p>
    <w:p>
      <w:pPr>
        <w:spacing w:after="0" w:line="231"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This Restricted Stock Agreement set forth below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is dated as of </w:t>
      </w:r>
      <w:r>
        <w:rPr>
          <w:rFonts w:ascii="Times New Roman" w:cs="Times New Roman" w:eastAsia="Times New Roman" w:hAnsi="Times New Roman"/>
          <w:sz w:val="22"/>
          <w:szCs w:val="22"/>
          <w:b w:val="1"/>
          <w:bCs w:val="1"/>
          <w:color w:val="auto"/>
        </w:rPr>
        <w:t>May 22, 2025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and is between L. B. Foster Company, a Pennsylvania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Shareholder</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Company has established its 2025 Equity and Incentive Compensation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advance the interests of the Company and its Shareholders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7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15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intending to be legally bound hereby, agree as follows: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Section 1. Issuance of Stock</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and pursuant to all terms and conditions stated in this Agreement and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of the Issue Date, the Company hereby grants to </w:t>
      </w:r>
      <w:r>
        <w:rPr>
          <w:rFonts w:ascii="Times New Roman" w:cs="Times New Roman" w:eastAsia="Times New Roman" w:hAnsi="Times New Roman"/>
          <w:sz w:val="22"/>
          <w:szCs w:val="22"/>
          <w:b w:val="1"/>
          <w:bCs w:val="1"/>
          <w:color w:val="auto"/>
        </w:rPr>
        <w:t>Shareholder [# OF RESTRICTED SHARES]</w:t>
      </w:r>
      <w:r>
        <w:rPr>
          <w:rFonts w:ascii="Times New Roman" w:cs="Times New Roman" w:eastAsia="Times New Roman" w:hAnsi="Times New Roman"/>
          <w:sz w:val="22"/>
          <w:szCs w:val="22"/>
          <w:color w:val="auto"/>
        </w:rPr>
        <w:t xml:space="preserve"> shares of Company common stock, par value $0.01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pursuant to Section 6 of the Plan. For purposes of this Agreement,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shall include all of the shares of Common Stock issued to Shareholder pursuant to this Agreement or issued with respect to such shares of Common Stock, including, but not limited to, shares of Company capital stock issued by way of a stock dividend or stock split or in connection with a combination of shares, recapitalization, merger, consolidation or other reorganization.</w:t>
      </w:r>
    </w:p>
    <w:p>
      <w:pPr>
        <w:spacing w:after="0" w:line="17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Vesting; Rights; Obligations; and Restrictions on Transfer.</w:t>
      </w:r>
    </w:p>
    <w:p>
      <w:pPr>
        <w:spacing w:after="0" w:line="224" w:lineRule="exact"/>
        <w:rPr>
          <w:sz w:val="20"/>
          <w:szCs w:val="20"/>
          <w:color w:val="auto"/>
        </w:rPr>
      </w:pPr>
    </w:p>
    <w:p>
      <w:pPr>
        <w:jc w:val="both"/>
        <w:ind w:firstLine="1304"/>
        <w:spacing w:after="0" w:line="251" w:lineRule="auto"/>
        <w:tabs>
          <w:tab w:leader="none" w:pos="17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Shares may be sold, transferred, pledged, hypothecated, or otherwise encumbered or disposed of until they have vested in accordance with the terms of this Section 2. Except as set forth in this Section 2, effective at the close of business on the date Shareholder ceases to be a Director for any reason other than as set forth in this Agreement, any Shares that are not vested in accordance with this Section 2, and any dividends accrued pursuant to Section 2(c) below, shall be automatically forfeited without any further obligation on the part of the Company. Shareholder hereby assigns and transfers any forfeited Shares and the stock certificate(s) or other evidence of ownership representing such Shares to the Company.</w:t>
      </w:r>
    </w:p>
    <w:p>
      <w:pPr>
        <w:spacing w:after="0" w:line="181" w:lineRule="exact"/>
        <w:rPr>
          <w:rFonts w:ascii="Times New Roman" w:cs="Times New Roman" w:eastAsia="Times New Roman" w:hAnsi="Times New Roman"/>
          <w:sz w:val="22"/>
          <w:szCs w:val="22"/>
          <w:color w:val="auto"/>
        </w:rPr>
      </w:pPr>
    </w:p>
    <w:p>
      <w:pPr>
        <w:ind w:right="20" w:firstLine="1304"/>
        <w:spacing w:after="0" w:line="271" w:lineRule="auto"/>
        <w:tabs>
          <w:tab w:leader="none" w:pos="178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Shares will vest 100% at the end of the approximate one-year period beginning on the Issue Date and ending on the date of the next regular annual meeting of</w:t>
      </w:r>
    </w:p>
    <w:p>
      <w:pPr>
        <w:sectPr>
          <w:pgSz w:w="11900" w:h="16838" w:orient="portrait"/>
          <w:cols w:equalWidth="0" w:num="1">
            <w:col w:w="11240"/>
          </w:cols>
          <w:pgMar w:left="320" w:top="1418" w:right="339" w:bottom="1440" w:gutter="0" w:footer="0" w:header="0"/>
        </w:sectPr>
      </w:pPr>
    </w:p>
    <w:bookmarkStart w:id="35" w:name="page36"/>
    <w:bookmarkEnd w:id="35"/>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the Company’s shareholders, provided that this approximate one-year period may not be less than 50 weeks per Section 3(e) of the Plan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subject to Shareholder’s continued service as a Director of the Company until such Vesting Date. However, any unvested Shares shall immediately vest in full upon the occurrence of the following events if such event(s) occur(s) prior to the Vesting Date: (i) Shareholder experiences a Separation from Service as a Director due to Shareholder’s death or Disability; or (ii) Retirement of Shareholder.</w:t>
      </w:r>
    </w:p>
    <w:p>
      <w:pPr>
        <w:spacing w:after="0" w:line="179" w:lineRule="exact"/>
        <w:rPr>
          <w:sz w:val="20"/>
          <w:szCs w:val="20"/>
          <w:color w:val="auto"/>
        </w:rPr>
      </w:pPr>
    </w:p>
    <w:p>
      <w:pPr>
        <w:jc w:val="both"/>
        <w:ind w:firstLine="1304"/>
        <w:spacing w:after="0" w:line="250" w:lineRule="auto"/>
        <w:tabs>
          <w:tab w:leader="none" w:pos="1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foregoing provisions of this Section 2 and the provisions of the Plan, Shareholder shall have all rights of a shareholder with respect to the Shares, including the right to vote the Shares and to receive dividends,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until such time as the Shares, or portion thereof, shall have vested, the Company shall accrue on its books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records for the benefit of the Shareholder an amount equal to the dividend payment that would otherwise have been received on the Shares but for this Agreement to accrue the dividend payments. Dividends accrued for the benefit of the Shareholder shall be payable in cash, as the Shares vest with payment to be made by the Company, or its agent, within ten (10) business days after vesting.</w:t>
      </w:r>
    </w:p>
    <w:p>
      <w:pPr>
        <w:spacing w:after="0" w:line="18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if any, representing unvested Shares will bear the following or similar legend:</w:t>
      </w:r>
    </w:p>
    <w:p>
      <w:pPr>
        <w:spacing w:after="0" w:line="220" w:lineRule="exact"/>
        <w:rPr>
          <w:sz w:val="20"/>
          <w:szCs w:val="20"/>
          <w:color w:val="auto"/>
        </w:rPr>
      </w:pPr>
    </w:p>
    <w:p>
      <w:pPr>
        <w:jc w:val="both"/>
        <w:ind w:left="1060" w:right="900"/>
        <w:spacing w:after="0" w:line="256" w:lineRule="auto"/>
        <w:rPr>
          <w:sz w:val="20"/>
          <w:szCs w:val="20"/>
          <w:color w:val="auto"/>
        </w:rPr>
      </w:pPr>
      <w:r>
        <w:rPr>
          <w:rFonts w:ascii="Times New Roman" w:cs="Times New Roman" w:eastAsia="Times New Roman" w:hAnsi="Times New Roman"/>
          <w:sz w:val="22"/>
          <w:szCs w:val="22"/>
          <w:color w:val="auto"/>
        </w:rPr>
        <w:t>“The securities represented by this certificate are subject to forfeiture and restrictions on transfer as set forth in the Restricted Stock Agreement between the issuer and the initial holder of these shares. A copy of that document may be obtained by the holder without charge at the issuer’s principal place of business or upon written request.”</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Section 3. Investment Representation. </w:t>
      </w:r>
      <w:r>
        <w:rPr>
          <w:rFonts w:ascii="Times New Roman" w:cs="Times New Roman" w:eastAsia="Times New Roman" w:hAnsi="Times New Roman"/>
          <w:sz w:val="21"/>
          <w:szCs w:val="21"/>
          <w:color w:val="auto"/>
        </w:rPr>
        <w:t>Shareholder hereby acknowledges that the Shares cannot be sold, transferred,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pledged or hypothecated in the absence of an effective registration statement for the Shares under the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applicable state securities laws or an applicable exemption from the registration requirements of the Securities Act and any applicable state securities laws or as otherwise provided herein or in the Plan. Shareholder also agrees that the Shares which Shareholder acquires pursuant to this Agreement will not be sold or otherwise disposed of in any manner which would constitute a violation of any applicable securities laws, whether federal or state.</w:t>
      </w:r>
    </w:p>
    <w:p>
      <w:pPr>
        <w:spacing w:after="0" w:line="16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Section 4. Book Entry Account</w:t>
      </w:r>
      <w:r>
        <w:rPr>
          <w:rFonts w:ascii="Times New Roman" w:cs="Times New Roman" w:eastAsia="Times New Roman" w:hAnsi="Times New Roman"/>
          <w:sz w:val="22"/>
          <w:szCs w:val="22"/>
          <w:color w:val="auto"/>
        </w:rPr>
        <w:t>. At the discretion of the Company, certificates for the Shares may not be issued. In lieu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certificates, the Company may establish a book entry account for the Shares, until vested, in the name of the Shareholder with the Company’s transfer agent for its Common Stock.</w:t>
      </w:r>
    </w:p>
    <w:p>
      <w:pPr>
        <w:spacing w:after="0" w:line="16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Income Taxes.</w:t>
      </w:r>
    </w:p>
    <w:p>
      <w:pPr>
        <w:spacing w:after="0" w:line="224" w:lineRule="exact"/>
        <w:rPr>
          <w:sz w:val="20"/>
          <w:szCs w:val="20"/>
          <w:color w:val="auto"/>
        </w:rPr>
      </w:pPr>
    </w:p>
    <w:p>
      <w:pPr>
        <w:jc w:val="both"/>
        <w:ind w:firstLine="1304"/>
        <w:spacing w:after="0" w:line="257" w:lineRule="auto"/>
        <w:tabs>
          <w:tab w:leader="none" w:pos="177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 acknowledges that, if Shareholder is a Pennsylvania resident, Shareholder is responsible for any and all applicable income and other taxes, as well as any social insurance contributions and other deductions or withholdings required by applicable law,</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from this Award, including federal, FICA, state, and local taxes applicable to Shareholder (such taxes, the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Shareholder further acknowledges that the Company (a) makes no representations or undertakings regarding the Tax-Related Items in connection with any aspect of the Award, including, but not limited to, the grant, vesting, or delivery of Shares under the Award, the subsequent sale of Shares acquired pursuant to the Award, and the receipt of any dividends, and (b) does not commit to and is under no obligation to structure the terms of the grant or any aspect of the Award to reduce or eliminate Shareholder’s liability for Tax-Related Items.</w:t>
      </w:r>
    </w:p>
    <w:p>
      <w:pPr>
        <w:spacing w:after="0" w:line="181" w:lineRule="exact"/>
        <w:rPr>
          <w:sz w:val="20"/>
          <w:szCs w:val="20"/>
          <w:color w:val="auto"/>
        </w:rPr>
      </w:pPr>
    </w:p>
    <w:p>
      <w:pPr>
        <w:jc w:val="both"/>
        <w:ind w:firstLine="1304"/>
        <w:spacing w:after="0" w:line="265" w:lineRule="auto"/>
        <w:tabs>
          <w:tab w:leader="none" w:pos="188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Shareholder is not a Pennsylvania resident, Shareholder acknowledges that any issuance of Shares to Shareholder pursuant to this Award shall be subject to any applicable tax withholding requirements. The Company shall automatically, not later than the date as of which the transfer of Shares pursuant to this Award becomes a taxable event for federal income tax or other applicable withholding tax purposes, cause the required minimum federal, state, local, non-U.S., or other taxes required by law to be withheld on account of such taxable event to be satisfied by withholding from Shares to be issued to Shareholder a number of Shares with an aggregate Fair Market Value that would satisfy such minimum withholding obligation.</w:t>
      </w:r>
    </w:p>
    <w:p>
      <w:pPr>
        <w:spacing w:after="0" w:line="168" w:lineRule="exact"/>
        <w:rPr>
          <w:rFonts w:ascii="Times New Roman" w:cs="Times New Roman" w:eastAsia="Times New Roman" w:hAnsi="Times New Roman"/>
          <w:sz w:val="21"/>
          <w:szCs w:val="21"/>
          <w:color w:val="auto"/>
        </w:rPr>
      </w:pPr>
    </w:p>
    <w:p>
      <w:pPr>
        <w:ind w:firstLine="1304"/>
        <w:spacing w:after="0" w:line="271" w:lineRule="auto"/>
        <w:tabs>
          <w:tab w:leader="none" w:pos="188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 agrees further to notify the Company promptly if Shareholder files an election pursuant to Section 83(b)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with respect to any Shares.</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6. No Right to Continued Service. </w:t>
      </w:r>
      <w:r>
        <w:rPr>
          <w:rFonts w:ascii="Times New Roman" w:cs="Times New Roman" w:eastAsia="Times New Roman" w:hAnsi="Times New Roman"/>
          <w:sz w:val="22"/>
          <w:szCs w:val="22"/>
          <w:color w:val="auto"/>
        </w:rPr>
        <w:t>Neither the Plan nor this Agreement shall be deemed to give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right to continued service as a Director of the Company, nor shall the Plan or the Agreement be deemed to limit in any way the Company’s right to terminate the Shareholder’s service as a Director at any time.</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7. Further Assistance. </w:t>
      </w:r>
      <w:r>
        <w:rPr>
          <w:rFonts w:ascii="Times New Roman" w:cs="Times New Roman" w:eastAsia="Times New Roman" w:hAnsi="Times New Roman"/>
          <w:sz w:val="22"/>
          <w:szCs w:val="22"/>
          <w:color w:val="auto"/>
        </w:rPr>
        <w:t>Shareholder will provide assistance reasonably requested by the Company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actions taken by Shareholder while serving as a Director of the Company, including but not limited to assistance in connection with any lawsuits or other claims against the Company arising from events during the period in which Shareholder served as a Director of the Company.</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8. Binding Effect; No Third Party Beneficiaries. </w:t>
      </w:r>
      <w:r>
        <w:rPr>
          <w:rFonts w:ascii="Times New Roman" w:cs="Times New Roman" w:eastAsia="Times New Roman" w:hAnsi="Times New Roman"/>
          <w:sz w:val="22"/>
          <w:szCs w:val="22"/>
          <w:color w:val="auto"/>
        </w:rPr>
        <w:t>This Agreement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the Company and Shareholder and their respective heirs, representatives, successors and permitted assigns. This Agreement shall not confer any rights or remedies upon any person other than the Company and the Shareholder and their respective heirs, representatives, successors and permitted assigns. The parties agree that this Agreement shall survive the issuance of the Shares.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Section 9. Agreement to Abide by Plan; Conflict between Plan and Agreement</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is hereby incorporated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into this Agreement and is made a part hereof as though fully set forth in this Agreement. Shareholder, by execution of this Agreement, represents that he or she is familiar with the terms and provisions of the Plan and agrees to abide by all of the terms and conditions of this Agreement and the Plan. Shareholder accepts as</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binding, conclusive and final all decisions or interpretations of the Committee upon any question arising under the Plan or this Agreement (including, without limitation, the date that Shareholder’s service as a Director of the Company terminates). In the event of any conflict between the Plan and this Agreement, the Plan shall control and this Agreement shall be deemed to be modified accordingly, except to the extent that the Plan gives the Committee the express authority to vary the terms of the Plan by means of this Agreement, in which case this Agreement shall govern.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10. Entire Agreement. </w:t>
      </w:r>
      <w:r>
        <w:rPr>
          <w:rFonts w:ascii="Times New Roman" w:cs="Times New Roman" w:eastAsia="Times New Roman" w:hAnsi="Times New Roman"/>
          <w:sz w:val="22"/>
          <w:szCs w:val="22"/>
          <w:color w:val="auto"/>
        </w:rPr>
        <w:t>Except as otherwise provided herein, this Agreement and the Plan, which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reviewed and accepted in connection with the grant of the Shares reflected by this Agreement, constitute the entire agreement between the parties and supersede any prior understandings, agreements, or representations by or between the parties, written or oral, to the extent they related in any way to the subject matter of this Agreement.</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11. Choice of Law. </w:t>
      </w:r>
      <w:r>
        <w:rPr>
          <w:rFonts w:ascii="Times New Roman" w:cs="Times New Roman" w:eastAsia="Times New Roman" w:hAnsi="Times New Roman"/>
          <w:sz w:val="22"/>
          <w:szCs w:val="22"/>
          <w:color w:val="auto"/>
        </w:rPr>
        <w:t>To the extent not superseded by federal law, the laws of the Commonwealth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Pennsylvania (without regard to the conflicts laws thereof) shall control in all matters relating to this Agreement and any action relating to this Agreement must be brought in State or Federal Courts located in the Commonwealth of Pennsylvania.</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b w:val="1"/>
          <w:bCs w:val="1"/>
          <w:color w:val="auto"/>
        </w:rPr>
        <w:t>otice</w:t>
      </w:r>
      <w:r>
        <w:rPr>
          <w:rFonts w:ascii="Times New Roman" w:cs="Times New Roman" w:eastAsia="Times New Roman" w:hAnsi="Times New Roman"/>
          <w:sz w:val="22"/>
          <w:szCs w:val="22"/>
          <w:color w:val="auto"/>
        </w:rPr>
        <w:t>. All notices, requests, demands, claims, and other communications under this Agreement shall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Any notice, request, demand, claim, or other communication under this Agreement shall be deemed duly given if (and then two business days after) it is sent by registered or certified mail, return receipt requested, postage prepaid, and addressed to the intended recipient at the following address: If to the Company, L. B. Foster Company, 415 Holiday Drive, Suite 100, Pittsburgh, PA 15220, Attn: Secretary; and if to the Shareholder, to his or her address as it appears on the 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13. Counterparts. </w:t>
      </w:r>
      <w:r>
        <w:rPr>
          <w:rFonts w:ascii="Times New Roman" w:cs="Times New Roman" w:eastAsia="Times New Roman" w:hAnsi="Times New Roman"/>
          <w:sz w:val="22"/>
          <w:szCs w:val="22"/>
          <w:color w:val="auto"/>
        </w:rPr>
        <w:t>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1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14. Amendments. </w:t>
      </w:r>
      <w:r>
        <w:rPr>
          <w:rFonts w:ascii="Times New Roman" w:cs="Times New Roman" w:eastAsia="Times New Roman" w:hAnsi="Times New Roman"/>
          <w:sz w:val="22"/>
          <w:szCs w:val="22"/>
          <w:color w:val="auto"/>
        </w:rPr>
        <w:t>This Agreement may be amended or modified at any time by an instrument in writing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parties hereto, or as otherwise provided under the Plan. Notwithstanding, the Company may, in its sole discretion and without the Shareholder’s consent, modify or amend the terms of this Agreement, impose conditions on the timing and effectiveness of the issuance of the Shares, or take any other action it deems necessary or advisable, to cause this Award to be excepted from Section 409A of the Code (or to comply therewith to the extent the Company determines it is not excepted).</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b w:val="1"/>
          <w:bCs w:val="1"/>
          <w:color w:val="auto"/>
        </w:rPr>
        <w:t>Acknowledgments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firstLine="1304"/>
        <w:spacing w:after="0" w:line="271" w:lineRule="auto"/>
        <w:tabs>
          <w:tab w:leader="none" w:pos="177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the Shares, the Shareholder acknowledges receipt of a copy of the Plan and agrees to be bound by the terms and conditions set forth in the Plan and this Agreement, as in effect and/or amended from time to time.</w:t>
      </w:r>
    </w:p>
    <w:p>
      <w:pPr>
        <w:spacing w:after="0" w:line="171"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7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related documents may be delivered to Shareholder electronically. Such means of delivery may include but do not necessarily include the delivery of a link to a Company intranet site or the internet site of a third party involved in administering the Plan, the delivery of the documents via e-mail or CD-ROM or such other delivery determined at the Committee’s discretion. Both Internet Email and the World Wide Web are required in order to access documents electronically.</w:t>
      </w:r>
    </w:p>
    <w:p>
      <w:pPr>
        <w:spacing w:after="0" w:line="163" w:lineRule="exact"/>
        <w:rPr>
          <w:rFonts w:ascii="Times New Roman" w:cs="Times New Roman" w:eastAsia="Times New Roman" w:hAnsi="Times New Roman"/>
          <w:sz w:val="21"/>
          <w:szCs w:val="21"/>
          <w:color w:val="auto"/>
        </w:rPr>
      </w:pPr>
    </w:p>
    <w:p>
      <w:pPr>
        <w:jc w:val="both"/>
        <w:ind w:firstLine="1304"/>
        <w:spacing w:after="0" w:line="256" w:lineRule="auto"/>
        <w:tabs>
          <w:tab w:leader="none" w:pos="181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excepted from coverage under Section 409A of the Code and the regulations promulgated thereunder and shall be interpreted and construed accordingly. Notwithstanding, Shareholder recognizes and acknowledges that Section 409A of the Code may impose upon the Shareholder certain taxes or interest charges for which the Shareholder is and shall remain solely responsible.</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 acknowledges that, by receipt of this Award, Shareholder has read this Section 15 and consents to the electronic delivery of the Plan and related documents, as described in this Section 15. Shareholder acknowledges that Shareholder may receive from the Company a paper copy of any documents delivered electronically at no cost if Shareholder contacts the Company’s General Counsel by telephone at (412) 928-7829 or by mail to L.B. Foster Company, 415 Holiday Drive, Suite 100, Pittsburgh, PA 15220 ATTN: General Counsel. Shareholder further acknowledges that Shareholder will be provided with a paper copy of any documents delivered electronically if electronic delivery fails.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16. Deferral Election. </w:t>
      </w:r>
      <w:r>
        <w:rPr>
          <w:rFonts w:ascii="Times New Roman" w:cs="Times New Roman" w:eastAsia="Times New Roman" w:hAnsi="Times New Roman"/>
          <w:sz w:val="22"/>
          <w:szCs w:val="22"/>
          <w:color w:val="auto"/>
        </w:rPr>
        <w:t>To the extent that a Shareholder has made a valid deferral election pursuant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Deferred Compensation Plan for Non-Employee Directors (the “Deferred Compensation Plan”) and the Plan, the effect of such election shall be that in lieu of the Award described herein the Shareholder shall receive a Restricted Stock Unit Award as defined and subject to the provision of Section 7 of the Plan, which upon vesting shall be treated as Deferred Stock Units as defined and subject to the provisions of the Deferred Compensation Plan. Notwithstanding anything to the contrary, the terms of the Award shall be modified to the extent necessary, and the Award shall be interpreted consistent with this Section 16.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a duly authorized officer to execute this Agreement on its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Shareholder has placed his/her signature hereon, effective as of the Issue Date.</w:t>
      </w: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 B. FOSTER COMPANY</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Patrick J. Guinee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Patrick J. Guinee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EVP, General Counsel and Corporate Secretary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 TO:</w:t>
      </w:r>
    </w:p>
    <w:p>
      <w:pPr>
        <w:spacing w:after="0" w:line="264" w:lineRule="exact"/>
        <w:rPr>
          <w:sz w:val="20"/>
          <w:szCs w:val="20"/>
          <w:color w:val="auto"/>
        </w:rPr>
      </w:pPr>
    </w:p>
    <w:p>
      <w:pPr>
        <w:ind w:right="9860" w:firstLine="224"/>
        <w:spacing w:after="0" w:line="309" w:lineRule="auto"/>
        <w:tabs>
          <w:tab w:leader="none" w:pos="32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 TERM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6 Of The 2025 Equity and Incentive Compensation Plan Effective May 22, 2025)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22"/>
          <w:szCs w:val="22"/>
          <w:color w:val="auto"/>
        </w:rPr>
        <w:t>This Restricted Stock Agreement set forth below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is dated as of </w:t>
      </w:r>
      <w:r>
        <w:rPr>
          <w:rFonts w:ascii="Times New Roman" w:cs="Times New Roman" w:eastAsia="Times New Roman" w:hAnsi="Times New Roman"/>
          <w:sz w:val="22"/>
          <w:szCs w:val="22"/>
          <w:b w:val="1"/>
          <w:bCs w:val="1"/>
          <w:color w:val="auto"/>
        </w:rPr>
        <w:t>May 22, 2025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and is between L. B. Foster Company, a Pennsylvania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______</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Shareholder</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The Company has established its 2025 Equity and Incentive Compensation Plan effective May 22, 2025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advance the interests of the Company and its Shareholders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7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1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intending to be legally bound hereby, agree as follows:</w:t>
      </w:r>
    </w:p>
    <w:p>
      <w:pPr>
        <w:spacing w:after="0" w:line="187" w:lineRule="exact"/>
        <w:rPr>
          <w:sz w:val="20"/>
          <w:szCs w:val="20"/>
          <w:color w:val="auto"/>
        </w:rPr>
      </w:pPr>
    </w:p>
    <w:p>
      <w:pPr>
        <w:jc w:val="both"/>
        <w:ind w:right="20"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i w:val="1"/>
          <w:iCs w:val="1"/>
          <w:color w:val="auto"/>
        </w:rPr>
        <w:t>Issuance of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and pursuant to all terms and conditions stated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 as of the Issue Date the Company hereby grants to </w:t>
      </w:r>
      <w:r>
        <w:rPr>
          <w:rFonts w:ascii="Times New Roman" w:cs="Times New Roman" w:eastAsia="Times New Roman" w:hAnsi="Times New Roman"/>
          <w:sz w:val="22"/>
          <w:szCs w:val="22"/>
          <w:b w:val="1"/>
          <w:bCs w:val="1"/>
          <w:color w:val="auto"/>
        </w:rPr>
        <w:t>Shareholder ____</w:t>
      </w:r>
      <w:r>
        <w:rPr>
          <w:rFonts w:ascii="Times New Roman" w:cs="Times New Roman" w:eastAsia="Times New Roman" w:hAnsi="Times New Roman"/>
          <w:sz w:val="22"/>
          <w:szCs w:val="22"/>
          <w:color w:val="auto"/>
        </w:rPr>
        <w:t xml:space="preserve"> restricted shares of Company Common Stock, par</w:t>
      </w:r>
    </w:p>
    <w:p>
      <w:pPr>
        <w:jc w:val="both"/>
        <w:spacing w:after="0" w:line="225" w:lineRule="auto"/>
        <w:rPr>
          <w:sz w:val="20"/>
          <w:szCs w:val="20"/>
          <w:color w:val="auto"/>
        </w:rPr>
      </w:pPr>
      <w:r>
        <w:rPr>
          <w:rFonts w:ascii="Times New Roman" w:cs="Times New Roman" w:eastAsia="Times New Roman" w:hAnsi="Times New Roman"/>
          <w:sz w:val="21"/>
          <w:szCs w:val="21"/>
          <w:color w:val="auto"/>
        </w:rPr>
        <w:t>value $0.01 per share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pursuant to Section 6 of the Plan. For purposes of this Agreement,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shall include all of the shares of Common Stock issued to Shareholder pursuant to this Agreement or issued with respect to such shares of Common Stock, including, but not limited to, shares of Company capital stock issued by way of a stock dividend or stock split or in connection with a combination of shares, recapitalization, merger, consolidation or other reorganization.</w:t>
      </w:r>
    </w:p>
    <w:p>
      <w:pPr>
        <w:spacing w:after="0" w:line="14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i w:val="1"/>
          <w:iCs w:val="1"/>
          <w:color w:val="auto"/>
        </w:rPr>
        <w:t>Vesting; Rights; Obligations; and Restrictions on Transfer</w:t>
      </w:r>
      <w:r>
        <w:rPr>
          <w:rFonts w:ascii="Times New Roman" w:cs="Times New Roman" w:eastAsia="Times New Roman" w:hAnsi="Times New Roman"/>
          <w:sz w:val="21"/>
          <w:szCs w:val="21"/>
          <w:b w:val="1"/>
          <w:bCs w:val="1"/>
          <w:color w:val="auto"/>
        </w:rPr>
        <w:t>.</w:t>
      </w:r>
    </w:p>
    <w:p>
      <w:pPr>
        <w:spacing w:after="0" w:line="185" w:lineRule="exact"/>
        <w:rPr>
          <w:sz w:val="20"/>
          <w:szCs w:val="20"/>
          <w:color w:val="auto"/>
        </w:rPr>
      </w:pPr>
    </w:p>
    <w:p>
      <w:pPr>
        <w:jc w:val="both"/>
        <w:ind w:left="660" w:firstLine="1292"/>
        <w:spacing w:after="0" w:line="213" w:lineRule="auto"/>
        <w:tabs>
          <w:tab w:leader="none" w:pos="260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Shares may be sold, transferred, pledged, hypothecated or otherwise encumbered or disposed of until they have vested in accordance with the terms of this Section 2. Except as set forth in this Section 2, effective at the close of business on the date Shareholder ceases to be employed by the Company or an affiliate of the Company, any Shares that are not vested in accordance with this Section 2, and any dividends accrued pursuant to Section 2(c) below, shall be automatically forfeited without any further obligation on the part of the Company. Shareholder hereby assigns and transfers any forfeited Shares and the stock certificate(s) or other evidence of ownership representing such Shares to the Company.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8" w:lineRule="auto"/>
        <w:tabs>
          <w:tab w:leader="none" w:pos="259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All of the Shares will vest 33 1/3% on each of May 22, 2026, February 20, 2027, and February 20, 2028. </w:t>
      </w:r>
      <w:r>
        <w:rPr>
          <w:rFonts w:ascii="Times New Roman" w:cs="Times New Roman" w:eastAsia="Times New Roman" w:hAnsi="Times New Roman"/>
          <w:sz w:val="21"/>
          <w:szCs w:val="21"/>
          <w:color w:val="auto"/>
        </w:rPr>
        <w:t>However, if a Change of Control occurs prior to the end of the full vesting period and (i) Shareholder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experiences an involuntary Separation from Service by the Company other than (A) a Termination for Cause, (B) death, or (C) Disability, or the Shareholder terminates for Good Reason (as defined below) within the 90-day period immediately preceding a Change of Control, or on or within the two-year period immediately following a Change of Control, or (ii) the</w:t>
      </w:r>
    </w:p>
    <w:p>
      <w:pPr>
        <w:sectPr>
          <w:pgSz w:w="11900" w:h="16838" w:orient="portrait"/>
          <w:cols w:equalWidth="0" w:num="1">
            <w:col w:w="11240"/>
          </w:cols>
          <w:pgMar w:left="320" w:top="1161" w:right="339" w:bottom="1440" w:gutter="0" w:footer="0" w:header="0"/>
        </w:sectPr>
      </w:pPr>
    </w:p>
    <w:bookmarkStart w:id="41" w:name="page42"/>
    <w:bookmarkEnd w:id="41"/>
    <w:p>
      <w:pPr>
        <w:jc w:val="both"/>
        <w:spacing w:after="0" w:line="220" w:lineRule="auto"/>
        <w:rPr>
          <w:sz w:val="20"/>
          <w:szCs w:val="20"/>
          <w:color w:val="auto"/>
        </w:rPr>
      </w:pPr>
      <w:r>
        <w:rPr>
          <w:rFonts w:ascii="Times New Roman" w:cs="Times New Roman" w:eastAsia="Times New Roman" w:hAnsi="Times New Roman"/>
          <w:sz w:val="22"/>
          <w:szCs w:val="22"/>
          <w:color w:val="auto"/>
        </w:rPr>
        <w:t>acquiring entity in a Change of Control does not assume this Agreement and convert the Shares into a substantially comparable award of capital stock or other equity incentive instrument in such acquiring entity as determined by the Board of Directors, any unvested Shares shall immediately vest. Vesting shall be tolled during any period in which Shareholder is on an approved leave of absence from employment with the Company or an affiliate of the Company.</w:t>
      </w:r>
    </w:p>
    <w:p>
      <w:pPr>
        <w:spacing w:after="0" w:line="152" w:lineRule="exact"/>
        <w:rPr>
          <w:sz w:val="20"/>
          <w:szCs w:val="20"/>
          <w:color w:val="auto"/>
        </w:rPr>
      </w:pPr>
    </w:p>
    <w:p>
      <w:pPr>
        <w:jc w:val="both"/>
        <w:ind w:firstLine="1292"/>
        <w:spacing w:after="0" w:line="211"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foregoing provisions of this Section 2 and the provisions of the Plan, Shareholder shall have all rights of a shareholder with respect to the Shares, including the right to vote the Shares and to receive dividends,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until such time as the Shares, or portion thereof, shall have vested, the Company shall accrue on its books and records for the benefit of the Shareholder an amount equal to the dividend payment that would otherwise have been received on the Shares but for this agreement to accrue the dividend payments. Dividends accrued for the benefit of the Shareholder shall be payable as the Shares vest with payment to be made by the Company, or its agent, within ten (10) business days after vesting. For purposes of clarity, if this Agreement provides that only a portion of the Shares vest on a given date, accrued dividends shall only be payable on that portion of Shares vesting and not on any Shares that remain unvested.</w:t>
      </w:r>
    </w:p>
    <w:p>
      <w:pPr>
        <w:spacing w:after="0" w:line="158" w:lineRule="exact"/>
        <w:rPr>
          <w:rFonts w:ascii="Times New Roman" w:cs="Times New Roman" w:eastAsia="Times New Roman" w:hAnsi="Times New Roman"/>
          <w:sz w:val="22"/>
          <w:szCs w:val="22"/>
          <w:color w:val="auto"/>
        </w:rPr>
      </w:pPr>
    </w:p>
    <w:p>
      <w:pPr>
        <w:ind w:firstLine="1292"/>
        <w:spacing w:after="0" w:line="236"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“Good Reason” means the Shareholder’s Separation from Service as a result of the occurrence, without the Shareholder’s written consent, of one of the following events:</w:t>
      </w:r>
    </w:p>
    <w:p>
      <w:pPr>
        <w:spacing w:after="0" w:line="150" w:lineRule="exact"/>
        <w:rPr>
          <w:rFonts w:ascii="Times New Roman" w:cs="Times New Roman" w:eastAsia="Times New Roman" w:hAnsi="Times New Roman"/>
          <w:sz w:val="22"/>
          <w:szCs w:val="22"/>
          <w:color w:val="auto"/>
        </w:rPr>
      </w:pPr>
    </w:p>
    <w:p>
      <w:pPr>
        <w:jc w:val="both"/>
        <w:ind w:left="640" w:firstLine="1300"/>
        <w:spacing w:after="0" w:line="225" w:lineRule="auto"/>
        <w:tabs>
          <w:tab w:leader="none" w:pos="257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Shareholder’s annual base salary (unless such reduction relates to an across-the-board reduction similarly affecting Shareholder and all or substantially all other executives of the Company and its affiliates);</w:t>
      </w:r>
    </w:p>
    <w:p>
      <w:pPr>
        <w:spacing w:after="0" w:line="152" w:lineRule="exact"/>
        <w:rPr>
          <w:rFonts w:ascii="Times New Roman" w:cs="Times New Roman" w:eastAsia="Times New Roman" w:hAnsi="Times New Roman"/>
          <w:sz w:val="22"/>
          <w:szCs w:val="22"/>
          <w:color w:val="auto"/>
        </w:rPr>
      </w:pPr>
    </w:p>
    <w:p>
      <w:pPr>
        <w:jc w:val="both"/>
        <w:ind w:left="640" w:firstLine="1300"/>
        <w:spacing w:after="0" w:line="211" w:lineRule="auto"/>
        <w:tabs>
          <w:tab w:leader="none" w:pos="257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Subsidiary employing Shareholder) makes or causes to be made a material adverse change in the Shareholder’s position, authority, duties or responsibilities which results in a significant diminution in the Shareholder’s position, authority, duties or responsibilities, excluding any change made in connection with (A) a reassignment to a New Job Position (as defined herein), or (B) a termination of Shareholder’s employment with the Company for Disability, Termination for Cause, death, or temporarily as a result of Participant’s incapacity or other absence for an extended period; (For purposes of this Agreement, “New Job Position” means a change in the Shareholder’s position, authority, duties or responsibilities with the Company or any affiliate due to the Shareholder’s demonstrated inadequate or unsatisfactory performance, provided the Shareholder had been notified of such inadequate performance and had been given at least 30 days to cure such inadequate performance.);</w:t>
      </w:r>
    </w:p>
    <w:p>
      <w:pPr>
        <w:spacing w:after="0" w:line="151" w:lineRule="exact"/>
        <w:rPr>
          <w:rFonts w:ascii="Times New Roman" w:cs="Times New Roman" w:eastAsia="Times New Roman" w:hAnsi="Times New Roman"/>
          <w:sz w:val="22"/>
          <w:szCs w:val="22"/>
          <w:color w:val="auto"/>
        </w:rPr>
      </w:pPr>
    </w:p>
    <w:p>
      <w:pPr>
        <w:jc w:val="both"/>
        <w:ind w:left="640" w:firstLine="1300"/>
        <w:spacing w:after="0" w:line="225" w:lineRule="auto"/>
        <w:tabs>
          <w:tab w:leader="none" w:pos="258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the Company’s principal place of business, or of Shareholder’s own office as assigned to Shareholder by the Company or the Subsidiary employing Shareholder to a location that increases Shareholder’s normal work commute by more than 50 miles; or</w:t>
      </w:r>
    </w:p>
    <w:p>
      <w:pPr>
        <w:spacing w:after="0" w:line="152" w:lineRule="exact"/>
        <w:rPr>
          <w:rFonts w:ascii="Times New Roman" w:cs="Times New Roman" w:eastAsia="Times New Roman" w:hAnsi="Times New Roman"/>
          <w:sz w:val="22"/>
          <w:szCs w:val="22"/>
          <w:color w:val="auto"/>
        </w:rPr>
      </w:pPr>
    </w:p>
    <w:p>
      <w:pPr>
        <w:ind w:left="640" w:firstLine="1300"/>
        <w:spacing w:after="0" w:line="255" w:lineRule="auto"/>
        <w:tabs>
          <w:tab w:leader="none" w:pos="257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action by the Company or the Subsidiary employing Shareholder that constitutes a material breach of the employment agreement, if any, under which Shareholder’s services are to be performed.</w:t>
      </w:r>
    </w:p>
    <w:p>
      <w:pPr>
        <w:spacing w:after="0" w:line="16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 order for Shareholder to terminate for Good Reason, (A) the Company must be notified by Shareholder in writing within 90 days of the event constituting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0"/>
          </w:cols>
          <w:pgMar w:left="980" w:top="1138" w:right="339" w:bottom="1440" w:gutter="0" w:footer="0" w:header="0"/>
        </w:sectPr>
      </w:pPr>
    </w:p>
    <w:bookmarkStart w:id="42" w:name="page43"/>
    <w:bookmarkEnd w:id="42"/>
    <w:p>
      <w:pPr>
        <w:ind w:left="660" w:right="20" w:hanging="4"/>
        <w:spacing w:after="0" w:line="271" w:lineRule="auto"/>
        <w:tabs>
          <w:tab w:leader="none" w:pos="101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event must remain uncorrected by the Company for 30 days following such notice (the “Notice Period”), and (C) such termination must occur within 60 days after the expiration of the Notice Period.</w:t>
      </w:r>
    </w:p>
    <w:p>
      <w:pPr>
        <w:spacing w:after="0" w:line="13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if any, representing unvested Shares will bear the following or similar legend:</w:t>
      </w:r>
    </w:p>
    <w:p>
      <w:pPr>
        <w:spacing w:after="0" w:line="206" w:lineRule="exact"/>
        <w:rPr>
          <w:sz w:val="20"/>
          <w:szCs w:val="20"/>
          <w:color w:val="auto"/>
        </w:rPr>
      </w:pPr>
    </w:p>
    <w:p>
      <w:pPr>
        <w:jc w:val="both"/>
        <w:ind w:left="660" w:right="660"/>
        <w:spacing w:after="0" w:line="281" w:lineRule="auto"/>
        <w:rPr>
          <w:sz w:val="20"/>
          <w:szCs w:val="20"/>
          <w:color w:val="auto"/>
        </w:rPr>
      </w:pPr>
      <w:r>
        <w:rPr>
          <w:rFonts w:ascii="Times New Roman" w:cs="Times New Roman" w:eastAsia="Times New Roman" w:hAnsi="Times New Roman"/>
          <w:sz w:val="21"/>
          <w:szCs w:val="21"/>
          <w:color w:val="auto"/>
        </w:rPr>
        <w:t>“The securities represented by this certificate are subject to forfeiture and restrictions on transfer as set forth in the Restricted Stock Agreement between the issuer and the initial holder of these shares. A copy of that document may be obtained by the holder without charge at the issuer’s principal place of business or upon written request.”</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i w:val="1"/>
          <w:iCs w:val="1"/>
          <w:color w:val="auto"/>
        </w:rPr>
        <w:t>Investment Representation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 hereby acknowledges that the Shares cannot be sold, transferred,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pledged or hypothecated in the absence of an effective registration statement for the shares under the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applicable state securities laws or an applicable exemption from the registration requirements of the Securities Act and any applicable state securities laws or as otherwise provided herein or in the Plan. Shareholder also agrees that the Shares which Shareholder acquires pursuant to this Agreement will not be sold or otherwise disposed of in any manner which would constitute a violation of any applicable securities laws, whether federal or state.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i w:val="1"/>
          <w:iCs w:val="1"/>
          <w:color w:val="auto"/>
        </w:rPr>
        <w:t>Book Entry Account</w:t>
      </w:r>
      <w:r>
        <w:rPr>
          <w:rFonts w:ascii="Times New Roman" w:cs="Times New Roman" w:eastAsia="Times New Roman" w:hAnsi="Times New Roman"/>
          <w:sz w:val="22"/>
          <w:szCs w:val="22"/>
          <w:color w:val="auto"/>
        </w:rPr>
        <w:t>. At the discretion of the Company, certificates for the shares may not be issued.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lieu of certificates, the Company may establish a book entry account for the Shares, until vested, in the name of the Shareholder with the Company’s transfer agent for its Common Stock.</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i w:val="1"/>
          <w:iCs w:val="1"/>
          <w:color w:val="auto"/>
        </w:rPr>
        <w:t>Income Taxes</w:t>
      </w:r>
      <w:r>
        <w:rPr>
          <w:rFonts w:ascii="Times New Roman" w:cs="Times New Roman" w:eastAsia="Times New Roman" w:hAnsi="Times New Roman"/>
          <w:sz w:val="21"/>
          <w:szCs w:val="21"/>
          <w:color w:val="auto"/>
        </w:rPr>
        <w:t>. Shareholder acknowledges that any income for federal, state, or local income tax purposes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Shareholder is required to recognize on account of the issuance of the Shares to Shareholder shall be subject to withholding of tax by the Company. In order to satisfy Shareholder’s statutory withholding tax obligations, if any, on account of the vesting of Shares hereunder, the Company shall withhold a number of vested Shares issued hereunder equal to the applicable statutory withholding tax obligation for such Shareholder. Shareholder agrees further to notify the Company promptly if Shareholder files an election pursuant to Section 83(b)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with respect to any Shares.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i w:val="1"/>
          <w:iCs w:val="1"/>
          <w:color w:val="auto"/>
        </w:rPr>
        <w:t>No Right to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Plan nor this Agreement shall be deemed to give Shareholder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to be employed by the Company, nor shall the Plan or the Agreement be deemed to limit in any way the Company’s right to terminate the employment of the Shareholder at any time.</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i w:val="1"/>
          <w:iCs w:val="1"/>
          <w:color w:val="auto"/>
        </w:rPr>
        <w:t>Further Assistance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will provide assistance reasonably requested by the Company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actions taken by Shareholder while employed by the Company, including but not limited to assistance in connection with any lawsuits or other claims against the Company arising from events during the period in which Shareholder was employed by the Company.</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i w:val="1"/>
          <w:iCs w:val="1"/>
          <w:color w:val="auto"/>
        </w:rPr>
        <w:t>Binding Effect; No Third Party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the Company and Shareholder and their respective heirs, representatives, successors and permitted assigns. This Agreement shall not confer any rights or remedies upon any person other than the Company and the Shareholder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65" w:right="339" w:bottom="1440" w:gutter="0" w:footer="0" w:header="0"/>
        </w:sectPr>
      </w:pPr>
    </w:p>
    <w:bookmarkStart w:id="43" w:name="page44"/>
    <w:bookmarkEnd w:id="43"/>
    <w:p>
      <w:pPr>
        <w:jc w:val="both"/>
        <w:spacing w:after="0" w:line="236" w:lineRule="auto"/>
        <w:rPr>
          <w:sz w:val="20"/>
          <w:szCs w:val="20"/>
          <w:color w:val="auto"/>
        </w:rPr>
      </w:pPr>
      <w:r>
        <w:rPr>
          <w:rFonts w:ascii="Times New Roman" w:cs="Times New Roman" w:eastAsia="Times New Roman" w:hAnsi="Times New Roman"/>
          <w:sz w:val="22"/>
          <w:szCs w:val="22"/>
          <w:color w:val="auto"/>
        </w:rPr>
        <w:t>heirs, representatives, successors and permitted assigns. The parties agree that this Agreement shall survive the issuance of the Shares.</w:t>
      </w:r>
    </w:p>
    <w:p>
      <w:pPr>
        <w:spacing w:after="0" w:line="14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i w:val="1"/>
          <w:iCs w:val="1"/>
          <w:color w:val="auto"/>
        </w:rPr>
        <w:t>Agreement to Abide by Plan; Conflict between Plan and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is hereby incorporated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into this Agreement and is made a part hereof as though fully set forth in this Agreement. Shareholder, by execution of this Agreement, represents that he or she is familiar with the terms and provisions of the Plan and agrees to abide by all of the terms and conditions of this Agreement and the Plan. Shareholder accepts as binding, conclusive and final all decisions or interpretations of the Committee upon any question arising under the Plan or this Agreement (including, without limitation, the date of any termination of Shareholder’s employment with the Company). In the event of any conflict between the Plan and this Agreement, the Plan shall control and this Agreement shall be deemed to be modified accordingly, except to the extent that the Plan gives the Committee the express authority to vary the terms of the Plan by means of this Agreement, in which case this Agreement shall govern.</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i w:val="1"/>
          <w:iCs w:val="1"/>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herein, this Agreement and the Plan, which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reviewed and accepted in connection with the grant of the Shares reflected by this Agreement, constitute the entire agreement between the parties and supersede any prior understandings, agreements, or representations by or between the parties, written or oral, to the extent they related in any way to the subject matter of this Agreement.</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i w:val="1"/>
          <w:iCs w:val="1"/>
          <w:color w:val="auto"/>
        </w:rPr>
        <w:t>Choice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not superseded by federal law, the laws of the Commonwealth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Pennsylvania (without regard to the conflicts laws thereof) shall control in all matters relating to this Agreement and any action relating to this Agreement must be brought in State or Federal Courts located in the Commonwealth of Pennsylvania.</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2"/>
          <w:szCs w:val="22"/>
          <w:b w:val="1"/>
          <w:bCs w:val="1"/>
          <w:i w:val="1"/>
          <w:iCs w:val="1"/>
          <w:color w:val="auto"/>
        </w:rPr>
        <w:t>otice</w:t>
      </w:r>
      <w:r>
        <w:rPr>
          <w:rFonts w:ascii="Times New Roman" w:cs="Times New Roman" w:eastAsia="Times New Roman" w:hAnsi="Times New Roman"/>
          <w:sz w:val="22"/>
          <w:szCs w:val="22"/>
          <w:color w:val="auto"/>
        </w:rPr>
        <w:t>. All notices, requests, demands, claims, and other communications under this Agreement shall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Any notice, request, demand, claim, or other communication under this Agreement shall be deemed duly given if (and then two business days after) it is sent by registered or certified mail, return receipt requested, postage prepaid, and addressed to the intended recipient at the following address: If to the Company, L. B. Foster Company, 415 Holiday Drive, Suite 100, Pittsburgh, PA 15220, Attn: Secretary; and if to the Shareholder, to his or her address as it appears on the 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i w:val="1"/>
          <w:iCs w:val="1"/>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amended or modified at any time by an instrument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the parties hereto, or as otherwise provided under the Plan. Notwithstanding, the Company may, in its sole discretion and without the Shareholder’s consent, modify or amend the terms of this Agreement, impose conditions on the timing and effectiveness of the issuance of the Shares, or take any other action it deems necessary or advisable, to cause this Award to be excepted from Section 409A of the Code (or to comply therewith to the extent the Company determines it is not excepted).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38" w:right="339" w:bottom="1440" w:gutter="0" w:footer="0" w:header="0"/>
        </w:sectPr>
      </w:pPr>
    </w:p>
    <w:bookmarkStart w:id="44" w:name="page45"/>
    <w:bookmarkEnd w:id="44"/>
    <w:p>
      <w:pPr>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b w:val="1"/>
          <w:bCs w:val="1"/>
          <w:i w:val="1"/>
          <w:iCs w:val="1"/>
          <w:color w:val="auto"/>
        </w:rPr>
        <w:t>Acknowledgments.</w:t>
      </w:r>
    </w:p>
    <w:p>
      <w:pPr>
        <w:spacing w:after="0" w:line="185" w:lineRule="exact"/>
        <w:rPr>
          <w:sz w:val="20"/>
          <w:szCs w:val="20"/>
          <w:color w:val="auto"/>
        </w:rPr>
      </w:pPr>
    </w:p>
    <w:p>
      <w:pPr>
        <w:jc w:val="both"/>
        <w:ind w:right="20" w:firstLine="1292"/>
        <w:spacing w:after="0" w:line="225"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the Shares, the Shareholder acknowledges receipt of a copy of the Plan and agrees to be bound by the terms and conditions set forth in the Plan and this Agreement, as in effect and/or amended from time to time.</w:t>
      </w:r>
    </w:p>
    <w:p>
      <w:pPr>
        <w:spacing w:after="0" w:line="152" w:lineRule="exact"/>
        <w:rPr>
          <w:rFonts w:ascii="Times New Roman" w:cs="Times New Roman" w:eastAsia="Times New Roman" w:hAnsi="Times New Roman"/>
          <w:sz w:val="22"/>
          <w:szCs w:val="22"/>
          <w:color w:val="auto"/>
        </w:rPr>
      </w:pPr>
    </w:p>
    <w:p>
      <w:pPr>
        <w:jc w:val="both"/>
        <w:ind w:firstLine="1292"/>
        <w:spacing w:after="0" w:line="217"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related documents may be delivered to you electronically. Such means of delivery may include but do not necessarily include the delivery of a link to a Company intranet site or the internet site of a third party involved in administering the Plan, the delivery of the documents via e-mail or CD-ROM or such other delivery determined at the Committee’s discretion. Both Internet Email and the World Wide Web are required in order to access documents electronically.</w:t>
      </w:r>
    </w:p>
    <w:p>
      <w:pPr>
        <w:spacing w:after="0" w:line="152" w:lineRule="exact"/>
        <w:rPr>
          <w:rFonts w:ascii="Times New Roman" w:cs="Times New Roman" w:eastAsia="Times New Roman" w:hAnsi="Times New Roman"/>
          <w:sz w:val="22"/>
          <w:szCs w:val="22"/>
          <w:color w:val="auto"/>
        </w:rPr>
      </w:pPr>
    </w:p>
    <w:p>
      <w:pPr>
        <w:jc w:val="both"/>
        <w:ind w:firstLine="1292"/>
        <w:spacing w:after="0" w:line="220"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excepted from coverage under Section 409A of the Code and the regulations promulgated thereunder and shall be interpreted and construed accordingly. Notwithstanding, Shareholder recognizes and acknowledges that Section 409A of the Code may impose upon the Shareholder certain taxes or interest charges for which the Shareholder is and shall remain solely responsible.</w:t>
      </w:r>
    </w:p>
    <w:p>
      <w:pPr>
        <w:spacing w:after="0" w:line="152" w:lineRule="exact"/>
        <w:rPr>
          <w:rFonts w:ascii="Times New Roman" w:cs="Times New Roman" w:eastAsia="Times New Roman" w:hAnsi="Times New Roman"/>
          <w:sz w:val="22"/>
          <w:szCs w:val="22"/>
          <w:color w:val="auto"/>
        </w:rPr>
      </w:pPr>
    </w:p>
    <w:p>
      <w:pPr>
        <w:jc w:val="both"/>
        <w:ind w:firstLine="1292"/>
        <w:spacing w:after="0" w:line="213"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 acknowledges that, by receipt of this Award, Shareholder has read this Section 15 and consents to the electronic delivery of the Plan and related documents, as described in this Section 15. Shareholder acknowledges that Shareholder may receive from the Company a paper copy of any documents delivered electronically at no cost if Shareholder contacts the Company’s General Counsel by telephone at (412) 928-7829 or by mail to L.B. Foster Company, 415 Holiday Drive, Suite 100, Pittsburgh, PA 15220 ATTN: General Counsel. Shareholder further acknowledges that Shareholder will be provided with a paper copy of any documents delivered electronically if electronic delivery fails.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132" w:right="339" w:bottom="1440" w:gutter="0" w:footer="0" w:header="0"/>
        </w:sectPr>
      </w:pPr>
    </w:p>
    <w:bookmarkStart w:id="45" w:name="page46"/>
    <w:bookmarkEnd w:id="4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a duly authorized officer to execute this Agreement on its behalf, and the Shareholder has placed his/her signature hereon, effective as of the Issue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 B. FOSTER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E. Kunz</w:t>
      </w:r>
    </w:p>
    <w:p>
      <w:pPr>
        <w:spacing w:after="0"/>
        <w:rPr>
          <w:sz w:val="20"/>
          <w:szCs w:val="20"/>
          <w:color w:val="auto"/>
        </w:rPr>
      </w:pPr>
      <w:r>
        <w:rPr>
          <w:rFonts w:ascii="Times New Roman" w:cs="Times New Roman" w:eastAsia="Times New Roman" w:hAnsi="Times New Roman"/>
          <w:sz w:val="22"/>
          <w:szCs w:val="22"/>
          <w:color w:val="auto"/>
        </w:rPr>
        <w:t>Title: Director and Chairman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0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6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i w:val="1"/>
          <w:iCs w:val="1"/>
          <w:color w:val="auto"/>
        </w:rPr>
        <w:t>Performance Share Program</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L.B. Foster Company</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2025 PERFORMANCE SHARE UNIT PROGRAM</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(2025-2027)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AND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[NAME]:</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Pursuant to the terms and conditions of the L.B. Foster Company 2025 Performance Share Unit Program (the “</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a component of the Long-Term Incentive Program, the Compensation Committee of the Board of Directors of L.B. Foster Company (the “</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has awarded you ___________ Performance Share Units (the “</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The terms and conditions of your Award are governed</w:t>
      </w:r>
    </w:p>
    <w:p>
      <w:pPr>
        <w:spacing w:after="0"/>
        <w:rPr>
          <w:sz w:val="20"/>
          <w:szCs w:val="20"/>
          <w:color w:val="auto"/>
        </w:rPr>
      </w:pPr>
      <w:r>
        <w:rPr>
          <w:rFonts w:ascii="Times New Roman" w:cs="Times New Roman" w:eastAsia="Times New Roman" w:hAnsi="Times New Roman"/>
          <w:sz w:val="20"/>
          <w:szCs w:val="20"/>
          <w:color w:val="auto"/>
        </w:rPr>
        <w:t xml:space="preserve">by the provisions of the Program document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terms of which are hereby incorporated by reference.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each have the meaning assigned to them in the Program.</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_________________________________________</w:t>
      </w:r>
    </w:p>
    <w:p>
      <w:pPr>
        <w:spacing w:after="0" w:line="2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John E. Kunz</w:t>
      </w:r>
    </w:p>
    <w:p>
      <w:pPr>
        <w:spacing w:after="0" w:line="13"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Chairman, Compensation Committee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 hereby acknowledge and accept the Award described above subject to all of the terms and conditions of the Program including, without limitation, the forfeiture, covenant and recoupment provisions set forth in Sections 12, 13 and 14 of the Program, regardless of whether the Award ever results in a payment under the Program. I further acknowledge receipt of a copy of the Program document and the L.B. FOSTER COMPANY 2025 Equity and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I agree to be bound by all the provisions of the Program and the Plan, as amended from time to time.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By signing below, I acknowledge that: (i) I have read and understand the Program including, without limitation, the provisions that require me to repay monies to the Company if (A) I breach Section 12 or 13 of the Program or (B) the Company is required to recoup this and other incentive compensation from me pursuant to the [L.B. Foster Company Amended and Restated Executive Recoupment Policy] (as may be amended and restated from time to time), any successor policy or otherwise as described in Section 14(c); (ii) the Performance Share Units that have been awarded to me have no independent economic value, but rather are mere units of measurement to be used in calculating benefits, if any, available under the Program; (iii) I agree to accept as binding, conclusive and final all decisions or interpretations of the Committee upon any questions arising under this Award, the Program or the Plan; and (iv) my decision to participate in the Program is completely voluntary and done with full knowledge of its terms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 further acknowledge and agree that, except as otherwise specifically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provided in the Program, in the event I terminate employment prior to the Payment Date, the Performance Share Units awarded to me shall be cancelled and forfeited, whether payable or not, without payment by the Company or any Subsidiary.</w:t>
      </w:r>
    </w:p>
    <w:p>
      <w:pPr>
        <w:sectPr>
          <w:pgSz w:w="11900" w:h="16838" w:orient="portrait"/>
          <w:cols w:equalWidth="0" w:num="1">
            <w:col w:w="11240"/>
          </w:cols>
          <w:pgMar w:left="320" w:top="200" w:right="339" w:bottom="1440" w:gutter="0" w:footer="0" w:header="0"/>
        </w:sectPr>
      </w:pPr>
    </w:p>
    <w:bookmarkStart w:id="47" w:name="page48"/>
    <w:bookmarkEnd w:id="47"/>
    <w:p>
      <w:pPr>
        <w:spacing w:after="0"/>
        <w:tabs>
          <w:tab w:leader="none" w:pos="3820" w:val="left"/>
        </w:tabs>
        <w:rPr>
          <w:sz w:val="20"/>
          <w:szCs w:val="20"/>
          <w:color w:val="auto"/>
        </w:rPr>
      </w:pPr>
      <w:r>
        <w:rPr>
          <w:rFonts w:ascii="Times New Roman" w:cs="Times New Roman" w:eastAsia="Times New Roman" w:hAnsi="Times New Roman"/>
          <w:sz w:val="20"/>
          <w:szCs w:val="20"/>
          <w:color w:val="auto"/>
        </w:rPr>
        <w:t>Signature: ____________________________</w:t>
      </w:r>
      <w:r>
        <w:rPr>
          <w:sz w:val="20"/>
          <w:szCs w:val="20"/>
          <w:color w:val="auto"/>
        </w:rPr>
        <w:tab/>
      </w:r>
      <w:r>
        <w:rPr>
          <w:rFonts w:ascii="Times New Roman" w:cs="Times New Roman" w:eastAsia="Times New Roman" w:hAnsi="Times New Roman"/>
          <w:sz w:val="19"/>
          <w:szCs w:val="19"/>
          <w:color w:val="auto"/>
        </w:rPr>
        <w:t>Date: ______________________________</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0139"/>
          </w:cols>
          <w:pgMar w:left="320" w:top="1426"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i w:val="1"/>
          <w:iCs w:val="1"/>
          <w:color w:val="auto"/>
        </w:rPr>
        <w:t>Performance Share Program</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L.B. FOSTER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PERFORMANCE SHARE UNIT PROGRAM</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(2025-2027)</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L.B. FOSTER COMPANY,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establishes this L.B. FOSTER COMPANY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SHARE UNIT PROGRAM (the "</w:t>
      </w:r>
      <w:r>
        <w:rPr>
          <w:rFonts w:ascii="Times New Roman" w:cs="Times New Roman" w:eastAsia="Times New Roman" w:hAnsi="Times New Roman"/>
          <w:sz w:val="20"/>
          <w:szCs w:val="20"/>
          <w:u w:val="single" w:color="auto"/>
          <w:color w:val="auto"/>
        </w:rPr>
        <w:t>Program</w:t>
      </w:r>
      <w:r>
        <w:rPr>
          <w:rFonts w:ascii="Times New Roman" w:cs="Times New Roman" w:eastAsia="Times New Roman" w:hAnsi="Times New Roman"/>
          <w:sz w:val="20"/>
          <w:szCs w:val="20"/>
          <w:color w:val="auto"/>
        </w:rPr>
        <w:t>"), in accordance with the provisions of the L.B. FOSTER COMPANY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and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terms and conditions provided herein.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maintains the Plan for the benefit of its and its Subsidiaries’ key employees; and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in order to align the interests of key employees with the interests of the Company's shareholders and to enhance the Company's ability to retain the employment of its key employees, the Company desires to provide long-term incentive compensation;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Section 8 of the Plan authorizes the Company to make performance-based awards.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Compensation Committee of the Board of Directors of the Company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hereby adopts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Program on the following terms and conditions:</w:t>
      </w:r>
    </w:p>
    <w:p>
      <w:pPr>
        <w:spacing w:after="0" w:line="200" w:lineRule="exact"/>
        <w:rPr>
          <w:sz w:val="20"/>
          <w:szCs w:val="20"/>
          <w:color w:val="auto"/>
        </w:rPr>
      </w:pPr>
    </w:p>
    <w:p>
      <w:pPr>
        <w:jc w:val="both"/>
        <w:ind w:firstLine="656"/>
        <w:spacing w:after="0" w:line="217" w:lineRule="auto"/>
        <w:tabs>
          <w:tab w:leader="none" w:pos="12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In addition to the terms and conditions set forth herein, Awards under the Program are subject to, and governed by, the terms and conditions set forth in the Plan, which are hereby incorporated by reference. Unless the context otherwise requires, capitalized terms used in this Program and not otherwise defined herein shall have the meanings set forth in the Plan. In the event of any conflict between the provisions of the Program and the Plan, the Committee shall have full authority and discretion to resolve such conflict and any such determination shall be final, conclusive and binding on the Participant and all interested parties.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effective date of this Program is January 1, 2025.</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The Committee shall select those individuals who shall participate in the Program (the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In the event that an employee is hired by the Company or a Subsidiary during the Performance Period, upon recommendation by the CEO, the Committee shall determine whether such employee will become a Participant in the Program, subject to such terms, conditions and adjustments as the Committee determines to be necessary or desirable.</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Share Unit Awards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determine the number of performance units (the "</w:t>
      </w:r>
      <w:r>
        <w:rPr>
          <w:rFonts w:ascii="Times New Roman" w:cs="Times New Roman" w:eastAsia="Times New Roman" w:hAnsi="Times New Roman"/>
          <w:sz w:val="20"/>
          <w:szCs w:val="20"/>
          <w:u w:val="single" w:color="auto"/>
          <w:color w:val="auto"/>
        </w:rPr>
        <w:t>Performance Share Units</w:t>
      </w:r>
      <w:r>
        <w:rPr>
          <w:rFonts w:ascii="Times New Roman" w:cs="Times New Roman" w:eastAsia="Times New Roman" w:hAnsi="Times New Roman"/>
          <w:sz w:val="20"/>
          <w:szCs w:val="20"/>
          <w:color w:val="auto"/>
        </w:rPr>
        <w:t>") to be awarded to each Participant. Each Performance Share Unit awarded under the Program shall represent a contingent right to receive up to two shares of the Company's common stock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as described more fully herein, to the extent such Performance Share Unit is earned and becomes payable pursuant to the terms of this Program. Performance Share Units have no independent economic value, but rather are mere units of measurement used for purpose of calculating the number of shares, if any, to be paid under the Program.</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w:t>
      </w:r>
    </w:p>
    <w:p>
      <w:pPr>
        <w:spacing w:after="0" w:line="197" w:lineRule="exact"/>
        <w:rPr>
          <w:sz w:val="20"/>
          <w:szCs w:val="20"/>
          <w:color w:val="auto"/>
        </w:rPr>
      </w:pPr>
    </w:p>
    <w:p>
      <w:pPr>
        <w:jc w:val="both"/>
        <w:ind w:firstLine="1304"/>
        <w:spacing w:after="0" w:line="230" w:lineRule="auto"/>
        <w:tabs>
          <w:tab w:leader="none" w:pos="19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 Units shall be increased and/or decreased in accordance with the terms of the Program as described more fully herein. Notwithstanding any provision of this Program to the contrary the Committee, in its sole discretion, may increase or reduce the amount of any</w:t>
      </w:r>
    </w:p>
    <w:p>
      <w:pPr>
        <w:sectPr>
          <w:pgSz w:w="11900" w:h="16838" w:orient="portrait"/>
          <w:cols w:equalWidth="0" w:num="1">
            <w:col w:w="11240"/>
          </w:cols>
          <w:pgMar w:left="320" w:top="2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Performance Share Units that would otherwise be earned by a Participant upon attainment of the Performance Conditions (as defined below) if it concludes that such reduction is necessary or appropriate.</w:t>
      </w:r>
    </w:p>
    <w:p>
      <w:pPr>
        <w:spacing w:after="0" w:line="148" w:lineRule="exact"/>
        <w:rPr>
          <w:sz w:val="20"/>
          <w:szCs w:val="20"/>
          <w:color w:val="auto"/>
        </w:rPr>
      </w:pPr>
    </w:p>
    <w:p>
      <w:pPr>
        <w:jc w:val="both"/>
        <w:ind w:firstLine="656"/>
        <w:spacing w:after="0" w:line="216" w:lineRule="auto"/>
        <w:tabs>
          <w:tab w:leader="none" w:pos="129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Conditions of the Performance Share Units</w:t>
      </w:r>
      <w:r>
        <w:rPr>
          <w:rFonts w:ascii="Times New Roman" w:cs="Times New Roman" w:eastAsia="Times New Roman" w:hAnsi="Times New Roman"/>
          <w:sz w:val="20"/>
          <w:szCs w:val="20"/>
          <w:color w:val="auto"/>
        </w:rPr>
        <w:t>. The total number of shares of the Company’s Common Stock that may be earned by a Participant will be based on the Company's attainment of performance goals relating to the Company's Economic Profit Improvement and Earnings Before Interest, Taxes, Depreciation and Amortization (“</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during the Performance Period (as defined below) as approved by (and in accordance with the procedures established by) the Committee on February 20, 2025 and on file with the Committee (the "</w:t>
      </w:r>
      <w:r>
        <w:rPr>
          <w:rFonts w:ascii="Times New Roman" w:cs="Times New Roman" w:eastAsia="Times New Roman" w:hAnsi="Times New Roman"/>
          <w:sz w:val="20"/>
          <w:szCs w:val="20"/>
          <w:u w:val="single" w:color="auto"/>
          <w:color w:val="auto"/>
        </w:rPr>
        <w:t>Performance Conditions</w:t>
      </w:r>
      <w:r>
        <w:rPr>
          <w:rFonts w:ascii="Times New Roman" w:cs="Times New Roman" w:eastAsia="Times New Roman" w:hAnsi="Times New Roman"/>
          <w:sz w:val="20"/>
          <w:szCs w:val="20"/>
          <w:color w:val="auto"/>
        </w:rPr>
        <w:t>"), for the performance period of January 1, 2025 through December 31, 2027 (the "</w:t>
      </w: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which Performance Period shall consist of three separate sub-periods for each of calendar year 2025, 2026 and 2027; provided, however, that except as otherwise specifically provided herein, the ability to earn shares of the Company’s Common Stock and to receive payment thereon under the Program is expressly contingent upon achievement of the threshold for the Performance Conditions during the applicable Performance Period or sub-period and otherwise satisfying all other terms and conditions of the Program.</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Distribution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end of each sub-period within the Performance Period, the Committee will assess the extent to which the applicable Performance Conditions for such sub-period have been achieved, subject to final certification and payout following the Performance Period as described below. After the end of the Performance Period, the Committee shall certify in writing the extent to which the applicable Performance Conditions for each sub-period and any other material terms of the Program have been achieved. For purposes of this provision, and for so long as the Code permits, the approved minutes of the Committee meeting in which the certification is made may be treated as written certification.</w:t>
      </w:r>
    </w:p>
    <w:p>
      <w:pPr>
        <w:spacing w:after="0" w:line="162"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2"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Program and except as otherwise provided for in Section 9, Performance Share Units will be settled and paid in shares of the Company's common stock in the calendar year immediately following the end of the Performance Period on a date determined in the Company's discretion, but in no event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such calendar year (the "</w:t>
      </w:r>
      <w:r>
        <w:rPr>
          <w:rFonts w:ascii="Times New Roman" w:cs="Times New Roman" w:eastAsia="Times New Roman" w:hAnsi="Times New Roman"/>
          <w:sz w:val="20"/>
          <w:szCs w:val="20"/>
          <w:u w:val="single" w:color="auto"/>
          <w:color w:val="auto"/>
        </w:rPr>
        <w:t>Normal Payment Date</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4" w:val="left"/>
        </w:tabs>
        <w:numPr>
          <w:ilvl w:val="2"/>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Program, in the event of a Change in Control, the Program shall terminate and the Participants shall be deemed to have earned (i) the actual number of shares that would have been earned based on actual performance for any completed sub-period for which the achievement level has been assessed by the Committee as of the date of the Change in Control and (ii) 100% of the shares subject to any incomplete or future sub-period as of the date of the Change in Control, provided that such shares shall remain subject to vesting based on each Participant’s continued service through the end of the Performance Period except as otherwise provided under the Program and provided further if (i) the Participant experiences an involuntary Separation from Service by the Company other than due to (A) a Termination for Cause, (B) death, or (C) Disability, or the Participant’s service terminates as a result of Good Reason (as defined below), in each case either within the 90-day period immediately preceding a Change in Control, or on or within the two-year period immediately following a Change in Control, or (ii) the acquiring entity in a Change in Control does not assume the Program and convert the award into a substantially comparable award of capital stock or other equity incentive instrument in such acquiring entity as determined by the Board, any unvested shares shall immediately vest at the time of the Change in Control. For purposes of the Program,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a Participant’s Separation from Service as a result of the occurrence, without the Participant’s written consent, of one of the following events: (A) a material reduction in the Participant’s annual base salary (unless such reduction relates to an across-the-board reduction similarly affecting the Participant and all or substantially all other executives of the Company and its affiliates);</w:t>
      </w:r>
    </w:p>
    <w:p>
      <w:pPr>
        <w:spacing w:after="0" w:line="11" w:lineRule="exact"/>
        <w:rPr>
          <w:rFonts w:ascii="Times New Roman" w:cs="Times New Roman" w:eastAsia="Times New Roman" w:hAnsi="Times New Roman"/>
          <w:sz w:val="19"/>
          <w:szCs w:val="19"/>
          <w:color w:val="auto"/>
        </w:rPr>
      </w:pPr>
    </w:p>
    <w:p>
      <w:pPr>
        <w:jc w:val="both"/>
        <w:ind w:firstLine="8"/>
        <w:spacing w:after="0" w:line="212" w:lineRule="auto"/>
        <w:tabs>
          <w:tab w:leader="none" w:pos="32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the Subsidiary employing the Participant) makes or causes to be made a material adverse change in the Participant’s position, authority, duties or responsibilities which results in a significant diminution in the Participant’s position, authority, duties or responsibilities, excluding any change made in connection with (x) a reassignment to a New Job Position (as defined herein) or (y) a termination of the Participant’s employment with the Company for Disability, Termination for Cause, death, or temporarily as a result of Participant’s incapacity or other absence for an extended period. For purposes of this Program, “</w:t>
      </w:r>
      <w:r>
        <w:rPr>
          <w:rFonts w:ascii="Times New Roman" w:cs="Times New Roman" w:eastAsia="Times New Roman" w:hAnsi="Times New Roman"/>
          <w:sz w:val="20"/>
          <w:szCs w:val="20"/>
          <w:u w:val="single" w:color="auto"/>
          <w:color w:val="auto"/>
        </w:rPr>
        <w:t>New Job Position</w:t>
      </w:r>
      <w:r>
        <w:rPr>
          <w:rFonts w:ascii="Times New Roman" w:cs="Times New Roman" w:eastAsia="Times New Roman" w:hAnsi="Times New Roman"/>
          <w:sz w:val="20"/>
          <w:szCs w:val="20"/>
          <w:color w:val="auto"/>
        </w:rPr>
        <w:t>” means a change in the Participant’s position, authority, duties or responsibilities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Company or any affiliate due to the Participant’s demonstrated inadequate or unsatisfactory performance, provided the Participant had been</w:t>
      </w:r>
    </w:p>
    <w:p>
      <w:pPr>
        <w:spacing w:after="0" w:line="204" w:lineRule="auto"/>
        <w:rPr>
          <w:sz w:val="20"/>
          <w:szCs w:val="20"/>
          <w:color w:val="auto"/>
        </w:rPr>
      </w:pPr>
      <w:r>
        <w:rPr>
          <w:rFonts w:ascii="Times New Roman" w:cs="Times New Roman" w:eastAsia="Times New Roman" w:hAnsi="Times New Roman"/>
          <w:sz w:val="20"/>
          <w:szCs w:val="20"/>
          <w:color w:val="auto"/>
        </w:rPr>
        <w:t>notified of such inadequate performance and had been given at least 30 days to cure such inadequate performance; (C) a relocation of the Company’s principal place of business, or of the Participant’s own office as assigned to the Participant by the Company or the Subsidiary</w:t>
      </w:r>
    </w:p>
    <w:p>
      <w:pPr>
        <w:spacing w:after="0" w:line="223" w:lineRule="auto"/>
        <w:rPr>
          <w:sz w:val="20"/>
          <w:szCs w:val="20"/>
          <w:color w:val="auto"/>
        </w:rPr>
      </w:pPr>
      <w:r>
        <w:rPr>
          <w:rFonts w:ascii="Times New Roman" w:cs="Times New Roman" w:eastAsia="Times New Roman" w:hAnsi="Times New Roman"/>
          <w:sz w:val="19"/>
          <w:szCs w:val="19"/>
          <w:color w:val="auto"/>
        </w:rPr>
        <w:t>employing the Participant to a location that increases the Participant’s normal work commute by more than 50 miles; or (D) any other action</w:t>
      </w:r>
    </w:p>
    <w:p>
      <w:pPr>
        <w:spacing w:after="0" w:line="204" w:lineRule="auto"/>
        <w:rPr>
          <w:sz w:val="20"/>
          <w:szCs w:val="20"/>
          <w:color w:val="auto"/>
        </w:rPr>
      </w:pPr>
      <w:r>
        <w:rPr>
          <w:rFonts w:ascii="Times New Roman" w:cs="Times New Roman" w:eastAsia="Times New Roman" w:hAnsi="Times New Roman"/>
          <w:sz w:val="20"/>
          <w:szCs w:val="20"/>
          <w:color w:val="auto"/>
        </w:rPr>
        <w:t>by the Company or the Subsidiary employing the Participant that constitutes a material breach of the employment agreement, if any, under which the Participant’s services are to be performed. In order for the Participant to terminate for Good Reason, (i) the Company must be</w:t>
      </w:r>
    </w:p>
    <w:p>
      <w:pPr>
        <w:spacing w:after="0" w:line="211" w:lineRule="auto"/>
        <w:rPr>
          <w:sz w:val="20"/>
          <w:szCs w:val="20"/>
          <w:color w:val="auto"/>
        </w:rPr>
      </w:pPr>
      <w:r>
        <w:rPr>
          <w:rFonts w:ascii="Times New Roman" w:cs="Times New Roman" w:eastAsia="Times New Roman" w:hAnsi="Times New Roman"/>
          <w:sz w:val="20"/>
          <w:szCs w:val="20"/>
          <w:color w:val="auto"/>
        </w:rPr>
        <w:t>notified by the Participant in writing within 90 days of the event constituting Good Reason, (ii) the event must remain uncorrected by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Company for 30 days following such notice (the “</w:t>
      </w:r>
      <w:r>
        <w:rPr>
          <w:rFonts w:ascii="Times New Roman" w:cs="Times New Roman" w:eastAsia="Times New Roman" w:hAnsi="Times New Roman"/>
          <w:sz w:val="20"/>
          <w:szCs w:val="20"/>
          <w:u w:val="single" w:color="auto"/>
          <w:color w:val="auto"/>
        </w:rPr>
        <w:t>Notice Period</w:t>
      </w:r>
      <w:r>
        <w:rPr>
          <w:rFonts w:ascii="Times New Roman" w:cs="Times New Roman" w:eastAsia="Times New Roman" w:hAnsi="Times New Roman"/>
          <w:sz w:val="20"/>
          <w:szCs w:val="20"/>
          <w:color w:val="auto"/>
        </w:rPr>
        <w:t>”), and (iii) such termination must occur within 60 days after the expiration of the Notice Period. To the extent that this Section 6(c) applies, payment shall be made as provided for in Section 9.</w:t>
      </w:r>
    </w:p>
    <w:p>
      <w:pPr>
        <w:spacing w:after="0" w:line="162"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Performance Share Units will not be credited with dividends that are paid on the Company's Common Stock.</w:t>
      </w:r>
    </w:p>
    <w:p>
      <w:pPr>
        <w:spacing w:after="0" w:line="188" w:lineRule="exact"/>
        <w:rPr>
          <w:rFonts w:ascii="Times New Roman" w:cs="Times New Roman" w:eastAsia="Times New Roman" w:hAnsi="Times New Roman"/>
          <w:sz w:val="20"/>
          <w:szCs w:val="20"/>
          <w:color w:val="auto"/>
        </w:rPr>
      </w:pPr>
    </w:p>
    <w:p>
      <w:pPr>
        <w:jc w:val="both"/>
        <w:ind w:firstLine="656"/>
        <w:spacing w:after="0" w:line="210" w:lineRule="auto"/>
        <w:tabs>
          <w:tab w:leader="none" w:pos="1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Participant's Status</w:t>
      </w:r>
      <w:r>
        <w:rPr>
          <w:rFonts w:ascii="Times New Roman" w:cs="Times New Roman" w:eastAsia="Times New Roman" w:hAnsi="Times New Roman"/>
          <w:sz w:val="20"/>
          <w:szCs w:val="20"/>
          <w:color w:val="auto"/>
        </w:rPr>
        <w:t>. In the event a Participant's employment with the Company or any Subsidiary is terminated (i) by reason of Retirement on or after January 1, 2026 (or such earlier date as may be expressly authorized by the Committee), or (ii) on account of death or total and permanent Disability prior to the Normal Payment Date, the Participant shall be entitled to retain the Performance Share Units and receive payment therefore to the extent earned and payable pursuant to the provisions of this Program; provided, however, the Participant shall only be entitled to retain a prorated portion of the Performance Share Units based on the ratio of the number of complete months the Participant is employed or serves during the Performance Period to the total number of months in the Performance Period (or the number of remaining months in the Performance Period if the Participant becomes an employee of the Company and/or its Subsidiaries after the start of the Performance Period). In the event a Participant's employment with the Company or any Subsidiary is terminated for any other reason, including, but not limited to, by the Participant voluntarily, or by the Company on account of a Termination for Cause or without cause (except to the extent that Section 6(c) applies), prior to the Normal Payment Date, the Performance Share Units awarded to the Participant shall be cancelled and forfeited, whether payable or not, without payment by the Company or any Subsidiary. To the extent that this Section 8 applies, payment shall be made as provided for in Section 9. Any payments due a deceased Participant shall be paid to his estate as provided herein.</w:t>
      </w:r>
    </w:p>
    <w:p>
      <w:pPr>
        <w:spacing w:after="0" w:line="16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Earlier Settlement of Performance Share Unit Awards in Certain Instances</w:t>
      </w:r>
      <w:r>
        <w:rPr>
          <w:rFonts w:ascii="Times New Roman" w:cs="Times New Roman" w:eastAsia="Times New Roman" w:hAnsi="Times New Roman"/>
          <w:sz w:val="20"/>
          <w:szCs w:val="20"/>
          <w:color w:val="auto"/>
        </w:rPr>
        <w:t>. Subject to the terms and conditions of this Program, Performance Share Units will be settled and paid in shares of the Company’s common stock on the Normal Payment Date; provided, however, that Performance Share Units will be settled to the extent the Performance Share Units are not subject to a “substantial risk of forfeiture” as determined for purposes of Section 409A of the Code on the earlier of (i) a Change in Control that also constitutes a “change in ownership”, a “change in effective control” or a “change in the ownership of a substantial portion of the assets” of the Company under Section 409A of the Code (a “</w:t>
      </w:r>
      <w:r>
        <w:rPr>
          <w:rFonts w:ascii="Times New Roman" w:cs="Times New Roman" w:eastAsia="Times New Roman" w:hAnsi="Times New Roman"/>
          <w:sz w:val="20"/>
          <w:szCs w:val="20"/>
          <w:u w:val="single" w:color="auto"/>
          <w:color w:val="auto"/>
        </w:rPr>
        <w:t>Section 409A Change in Control</w:t>
      </w:r>
      <w:r>
        <w:rPr>
          <w:rFonts w:ascii="Times New Roman" w:cs="Times New Roman" w:eastAsia="Times New Roman" w:hAnsi="Times New Roman"/>
          <w:sz w:val="20"/>
          <w:szCs w:val="20"/>
          <w:color w:val="auto"/>
        </w:rPr>
        <w:t>”) and (ii) the Participant’s Separation from Service, provided such Separation from Service occurs within the twenty-four (24) month period following a Section 409A Change in Control. For the avoidance of doubt, if a Change in Control occurs that does not constitute a Section 409A Change in Control, this Section 9 shall not apply, and the Performance Share Units will be settled on the Normal Payment Date.</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7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Responsibilities of the Committee</w:t>
      </w:r>
      <w:r>
        <w:rPr>
          <w:rFonts w:ascii="Times New Roman" w:cs="Times New Roman" w:eastAsia="Times New Roman" w:hAnsi="Times New Roman"/>
          <w:sz w:val="20"/>
          <w:szCs w:val="20"/>
          <w:color w:val="auto"/>
        </w:rPr>
        <w:t>. In addition to the authority granted to the Committee under the Plan, the Committee has responsibility for all aspects of the Program's administration, including but not limited to: ensuring that the Program is administered in accordance with the provisions of the Program and the Plan; approving Participants; authorizing Performance Share Unit Awards to Participants; and adjusting Performance Share Units as authorized hereunder consistent with the terms of the Program and the Plan. All decisions of the Committee under the Program shall be final, conclusive and binding on all interest parties. No member of the Committee shall be liable for any action or determination made in good faith as to the Program or any Performance Share Units awarded thereunder.</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Consequences/Withholding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7" w:right="339" w:bottom="1440" w:gutter="0" w:footer="0" w:header="0"/>
        </w:sectPr>
      </w:pPr>
    </w:p>
    <w:bookmarkStart w:id="51" w:name="page52"/>
    <w:bookmarkEnd w:id="51"/>
    <w:p>
      <w:pPr>
        <w:jc w:val="both"/>
        <w:ind w:left="-220" w:firstLine="1304"/>
        <w:spacing w:after="0" w:line="222" w:lineRule="auto"/>
        <w:tabs>
          <w:tab w:leader="none" w:pos="171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(i) a Participant's Performance Share Units shall be considered to be subject to a substantial risk of forfeiture in accordance with those terms as defined in Section 409A and 3121(v)(2) of the Code; and (ii) a Participant shall have merely an unfunded, unsecured promise to be paid a benefit, and such unfunded promise shall not consist of a transfer of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within the meaning of Code Section 83.</w:t>
      </w:r>
    </w:p>
    <w:p>
      <w:pPr>
        <w:spacing w:after="0" w:line="161" w:lineRule="exact"/>
        <w:rPr>
          <w:rFonts w:ascii="Times New Roman" w:cs="Times New Roman" w:eastAsia="Times New Roman" w:hAnsi="Times New Roman"/>
          <w:sz w:val="20"/>
          <w:szCs w:val="20"/>
          <w:color w:val="auto"/>
        </w:rPr>
      </w:pPr>
    </w:p>
    <w:p>
      <w:pPr>
        <w:jc w:val="both"/>
        <w:ind w:left="-220" w:firstLine="1304"/>
        <w:spacing w:after="0" w:line="215" w:lineRule="auto"/>
        <w:tabs>
          <w:tab w:leader="none" w:pos="171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any income for foreign, federal, state or local income tax purposes, including payroll taxes, that the Participant is required to recognize on account of the vesting of the Performance Share Units and/or issuance of the shares of Common Stock under this Award to Participant shall be subject to withholding of tax by the Company. In accordance with administrative procedures established by the Company, in order to satisfy Participant’s minimum statutory withholding tax obligations, if any, on account of the vesting of the Performance Share Units and/or issuance of shares of Common Stock under this Award, the Company will withhold from the Performance Share Units to be issued to the Participant a sufficient number of whole shares distributable in connection with this Award equal to the applicable minimum statutory withholding tax obligation.</w:t>
      </w:r>
    </w:p>
    <w:p>
      <w:pPr>
        <w:spacing w:after="0" w:line="150" w:lineRule="exact"/>
        <w:rPr>
          <w:rFonts w:ascii="Times New Roman" w:cs="Times New Roman" w:eastAsia="Times New Roman" w:hAnsi="Times New Roman"/>
          <w:sz w:val="20"/>
          <w:szCs w:val="20"/>
          <w:color w:val="auto"/>
        </w:rPr>
      </w:pPr>
    </w:p>
    <w:p>
      <w:pPr>
        <w:jc w:val="both"/>
        <w:ind w:left="-220" w:firstLine="1304"/>
        <w:spacing w:after="0" w:line="215" w:lineRule="auto"/>
        <w:tabs>
          <w:tab w:leader="none" w:pos="171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Program is intended to be excepted from coverage under Section 409A of the Code and shall be construed accordingly. Notwithstanding any provision of this Program to the contrary, if any benefit provided under this Program is subject to the provisions of Section 409A of the Code, the provisions of the Program will be administered, interpreted and construed in a manner necessary to comply with Section 409A of the Code (or disregarded to the extent such provision cannot be so administered, interpreted or construed). Notwithstanding, Section 409A of the Code may impose upon the Participant certain taxes or other charges for which the Participant is and shall remain solely responsible, and nothing contained in this Program or the Plan shall be construed to obligate the Committee, the Company or any Subsidiary for any such taxes or other charges</w:t>
      </w:r>
    </w:p>
    <w:p>
      <w:pPr>
        <w:spacing w:after="0" w:line="164" w:lineRule="exact"/>
        <w:rPr>
          <w:rFonts w:ascii="Times New Roman" w:cs="Times New Roman" w:eastAsia="Times New Roman" w:hAnsi="Times New Roman"/>
          <w:sz w:val="20"/>
          <w:szCs w:val="20"/>
          <w:color w:val="auto"/>
        </w:rPr>
      </w:pPr>
    </w:p>
    <w:p>
      <w:pPr>
        <w:ind w:left="1080" w:hanging="644"/>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220" w:firstLine="1304"/>
        <w:spacing w:after="0" w:line="218" w:lineRule="auto"/>
        <w:tabs>
          <w:tab w:leader="none" w:pos="171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hereunder agree that this Section 12 is reasonable and necessary in order to protect the legitimate business interests and goodwill of the Company, including the Company’s trade secrets, valuable confidential business and professional information, substantial relationships with prospective and existing customers and clients, and specialized training provided to Participants and other employees of the Company. The Participants acknowledge and recognize the highly competitive nature of the business of the Company and its Subsidiaries and accordingly agree that during the term of each of their employment and for a period of two (2) years after the termination thereof:</w:t>
      </w:r>
    </w:p>
    <w:p>
      <w:pPr>
        <w:spacing w:after="0" w:line="164" w:lineRule="exact"/>
        <w:rPr>
          <w:rFonts w:ascii="Times New Roman" w:cs="Times New Roman" w:eastAsia="Times New Roman" w:hAnsi="Times New Roman"/>
          <w:sz w:val="20"/>
          <w:szCs w:val="20"/>
          <w:color w:val="auto"/>
        </w:rPr>
      </w:pPr>
    </w:p>
    <w:p>
      <w:pPr>
        <w:jc w:val="both"/>
        <w:ind w:left="-220" w:firstLine="1952"/>
        <w:spacing w:after="0" w:line="215" w:lineRule="auto"/>
        <w:tabs>
          <w:tab w:leader="none" w:pos="236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engage in any business substantially similar to any line of business conducted by the Company or any of its Subsidiaries, including, but not limited to, where such engagement is as an officer, director, proprietor, employee, partner, investor (other than as a holder of less than 1% of the outstanding capital stock of a publicly traded corporation), consultant, advisor, agent or sales representative, in any geographic region in which the Company or any of its Subsidiaries conducted business;</w:t>
      </w:r>
    </w:p>
    <w:p>
      <w:pPr>
        <w:spacing w:after="0" w:line="177" w:lineRule="exact"/>
        <w:rPr>
          <w:rFonts w:ascii="Times New Roman" w:cs="Times New Roman" w:eastAsia="Times New Roman" w:hAnsi="Times New Roman"/>
          <w:sz w:val="22"/>
          <w:szCs w:val="22"/>
          <w:color w:val="auto"/>
        </w:rPr>
      </w:pPr>
    </w:p>
    <w:p>
      <w:pPr>
        <w:ind w:left="-220" w:firstLine="1952"/>
        <w:spacing w:after="0" w:line="229" w:lineRule="auto"/>
        <w:tabs>
          <w:tab w:leader="none" w:pos="2366"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contact, solicit, perform services for, or accept business from any customer or prospective customer of the Company or any of its Subsidiaries in any line of business conducted by the Company or any of its subsidiaries;</w:t>
      </w:r>
    </w:p>
    <w:p>
      <w:pPr>
        <w:spacing w:after="0" w:line="173" w:lineRule="exact"/>
        <w:rPr>
          <w:rFonts w:ascii="Times New Roman" w:cs="Times New Roman" w:eastAsia="Times New Roman" w:hAnsi="Times New Roman"/>
          <w:sz w:val="22"/>
          <w:szCs w:val="22"/>
          <w:color w:val="auto"/>
        </w:rPr>
      </w:pPr>
    </w:p>
    <w:p>
      <w:pPr>
        <w:jc w:val="both"/>
        <w:ind w:left="-220" w:firstLine="1952"/>
        <w:spacing w:after="0" w:line="212" w:lineRule="auto"/>
        <w:tabs>
          <w:tab w:leader="none" w:pos="2372"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induce any employee of the Company or any of its Subsidiaries to: (1) engage in any activity or conduct which is prohibited pursuant to subparagraph 11(a)(i) or (2) terminate such employee’s employment with the Company or any of its Subsidiaries. Moreover, the Participants will not directly or indirectly employ or offer employment (in connection with any business substantially similar to any line of business conducted by the Company or any of its Subsidiaries) to any person who was employed by the Company or any of its Subsidiaries unless such person shall have ceased to be employed by the Company or any of its Subsidiaries for a period of at least 12 months;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13" w:right="339" w:bottom="1440" w:gutter="0" w:footer="0" w:header="0"/>
        </w:sectPr>
      </w:pPr>
    </w:p>
    <w:bookmarkStart w:id="52" w:name="page53"/>
    <w:bookmarkEnd w:id="52"/>
    <w:p>
      <w:pPr>
        <w:ind w:left="-220" w:firstLine="1952"/>
        <w:spacing w:after="0" w:line="229" w:lineRule="auto"/>
        <w:tabs>
          <w:tab w:leader="none" w:pos="236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assist others in engaging in any of the activities, which are prohibited under subparagraphs (a)(i-iii) above.</w:t>
      </w:r>
    </w:p>
    <w:p>
      <w:pPr>
        <w:spacing w:after="0" w:line="160" w:lineRule="exact"/>
        <w:rPr>
          <w:rFonts w:ascii="Times New Roman" w:cs="Times New Roman" w:eastAsia="Times New Roman" w:hAnsi="Times New Roman"/>
          <w:sz w:val="22"/>
          <w:szCs w:val="22"/>
          <w:color w:val="auto"/>
        </w:rPr>
      </w:pPr>
    </w:p>
    <w:p>
      <w:pPr>
        <w:jc w:val="both"/>
        <w:ind w:left="-220" w:firstLine="1304"/>
        <w:spacing w:after="0" w:line="213" w:lineRule="auto"/>
        <w:tabs>
          <w:tab w:leader="none" w:pos="171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expressly understood and agreed that although the Participants and the Company consider the restrictions contained in this Section 12 to be reasonable, if a final judicial determination is made by a court of competent jurisdiction that the time or territory or any other restriction contained in this Program is an unenforceable restriction against any Participant, the provisions of this Program shall not be rendered void but shall be deemed amended to apply as to such maximum time and territory and to such maximum extent as such court may judicially determine or indicate to be enforceable against such Participant. Alternatively, if any court of competent jurisdiction finds that any restriction contained in this Program is unenforceable, and such restriction cannot be amended so as to make it enforceable, such finding shall not affect the enforceability of any of the other restrictions contained herein. The restrictive covenants set forth in this Section 12 shall be extended by any amount of time that a Participant is in breach of such covenants, such that the Company receives the full benefit of the time duration set forth above.</w:t>
      </w:r>
    </w:p>
    <w:p>
      <w:pPr>
        <w:spacing w:after="0" w:line="161" w:lineRule="exact"/>
        <w:rPr>
          <w:rFonts w:ascii="Times New Roman" w:cs="Times New Roman" w:eastAsia="Times New Roman" w:hAnsi="Times New Roman"/>
          <w:sz w:val="20"/>
          <w:szCs w:val="20"/>
          <w:color w:val="auto"/>
        </w:rPr>
      </w:pPr>
    </w:p>
    <w:p>
      <w:pPr>
        <w:jc w:val="both"/>
        <w:ind w:left="-220" w:firstLine="656"/>
        <w:spacing w:after="0" w:line="221" w:lineRule="auto"/>
        <w:tabs>
          <w:tab w:leader="none" w:pos="106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and Trade Secrets</w:t>
      </w:r>
      <w:r>
        <w:rPr>
          <w:rFonts w:ascii="Times New Roman" w:cs="Times New Roman" w:eastAsia="Times New Roman" w:hAnsi="Times New Roman"/>
          <w:sz w:val="19"/>
          <w:szCs w:val="19"/>
          <w:color w:val="auto"/>
        </w:rPr>
        <w:t>. The Participants and the Company agree that certain materials, including, but not limited to, information, data and other materials relating to customers, development programs, costs, marketing, trading, investment, sales activities, promotion, credit and financial data, manufacturing processes, financing methods, plans or the business and affairs of the Company and its Subsidiaries, constitute proprietary confidential information and trade secrets. Accordingly, the Participants will not at any time during or after a Participant’s employment with the Company (including any Subsidiary) disclose or use for such Participant’s own benefit or purposes or the benefit or purposes of any other person, firm, partnership, joint venture, association, corporation or other business organization, entity or enterprise other than the Company and any of its affiliates, any proprietary confidential information or trade secrets, provided that the foregoing shall not apply to information which is not unique to the Company or any of its Subsidiaries or which is generally known to the industry or the public other than as a result of such Participant’s breach of this covenant. The Participants agree that upon termination of employment with the Company (including any Subsidiary) for any reason, the Participants will immediately return to the Company all memoranda, books, papers, plans, information, letters and other data, and all copies thereof or therefrom, which in any way relate to the business of the Company and its Subsidiaries, except that the Participants may retain personal notes, notebooks and diaries. The Participants further agree that the Participants will not retain or use for their own account at any time any trade names, trademark or other proprietary business designation used or owned in connection with the business of the Company or any of its Subsidiaries.</w:t>
      </w:r>
    </w:p>
    <w:p>
      <w:pPr>
        <w:spacing w:after="0" w:line="166" w:lineRule="exact"/>
        <w:rPr>
          <w:rFonts w:ascii="Times New Roman" w:cs="Times New Roman" w:eastAsia="Times New Roman" w:hAnsi="Times New Roman"/>
          <w:sz w:val="19"/>
          <w:szCs w:val="19"/>
          <w:color w:val="auto"/>
        </w:rPr>
      </w:pPr>
    </w:p>
    <w:p>
      <w:pPr>
        <w:ind w:left="1080" w:hanging="644"/>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Remedies/Forfeiture/Recoupment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220" w:firstLine="1304"/>
        <w:spacing w:after="0" w:line="215" w:lineRule="auto"/>
        <w:tabs>
          <w:tab w:leader="none" w:pos="171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Participants acknowledge that a violation or attempted violation on a Participant’s part of Sections 12 and 13 will cause irreparable damage to the Company and its Subsidiaries, and the Participants therefore agree that the Company and its Subsidiaries shall be entitled as a matter of right to an injunction, out of any court of competent jurisdiction, restraining any violation or further violation of such promises by the Participants or a Participant’s employees, partners or agents. The Participants agree that such right to an injunction is cumulative and in addition to whatever other remedies the Company (including any Subsidiary) may have under law or equity, and the Participants' obligations to make timely payment to the Company as set forth in Section 14(b) of this Program. </w:t>
      </w:r>
      <w:r>
        <w:rPr>
          <w:rFonts w:ascii="Times New Roman" w:cs="Times New Roman" w:eastAsia="Times New Roman" w:hAnsi="Times New Roman"/>
          <w:sz w:val="20"/>
          <w:szCs w:val="20"/>
          <w:b w:val="1"/>
          <w:bCs w:val="1"/>
          <w:i w:val="1"/>
          <w:iCs w:val="1"/>
          <w:color w:val="auto"/>
        </w:rPr>
        <w:t>The Participants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acknowledge and agree that a Participant’s Performance Share Units shall be cancelled and forfeited without payment by the Company if such Participant breaches any of his or her obligations set forth in Section 12 and 13 herein.</w:t>
      </w:r>
    </w:p>
    <w:p>
      <w:pPr>
        <w:spacing w:after="0" w:line="160" w:lineRule="exact"/>
        <w:rPr>
          <w:rFonts w:ascii="Times New Roman" w:cs="Times New Roman" w:eastAsia="Times New Roman" w:hAnsi="Times New Roman"/>
          <w:sz w:val="20"/>
          <w:szCs w:val="20"/>
          <w:color w:val="auto"/>
        </w:rPr>
      </w:pPr>
    </w:p>
    <w:p>
      <w:pPr>
        <w:jc w:val="both"/>
        <w:ind w:left="-220" w:firstLine="1304"/>
        <w:spacing w:after="0" w:line="215" w:lineRule="auto"/>
        <w:tabs>
          <w:tab w:leader="none" w:pos="171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point after becoming aware of a breach of any obligation set forth in Sections 12 and/or 13 of this Program, the Company shall provide notice of such breach to a Participant. By agreeing to participate in this Program, the Participants agree that within ten (10) days after the date the Company provides such notice, a Participant shall pay to the Company in cash an amount equal to any and all distributions paid to or on behalf of such Participant under this Program within the six (6) months prior to the date of the earliest breach. The Participant agrees that failure to make such timely payment to the Company constitutes an independent and material breach of the terms and conditions of this Program, for which the Company may seek recovery of the unpaid amount as liquidated damages, in addition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4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color w:val="auto"/>
        </w:rPr>
        <w:t>other rights and remedies the Company may have resulting from a Participant’s breach of the obligations set forth in Sections 12 and 13. The</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Participants agree that timely payment to the Company as set forth in this provision of the Program is reasonable and necessary because the compensatory damages that will result from breaches of Sections 12 and/or 13 cannot readily be ascertained. Further, the Participants agree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that timely payment to the Company as set forth in this provision of the Program is not a penalty, and it does not preclude the Company from seeking all other remedies that may be available to the Company, including without limitation those set forth in this Section 14.</w:t>
      </w:r>
    </w:p>
    <w:p>
      <w:pPr>
        <w:spacing w:after="0" w:line="149" w:lineRule="exact"/>
        <w:rPr>
          <w:sz w:val="20"/>
          <w:szCs w:val="20"/>
          <w:color w:val="auto"/>
        </w:rPr>
      </w:pPr>
    </w:p>
    <w:p>
      <w:pPr>
        <w:ind w:right="40" w:firstLine="1304"/>
        <w:spacing w:after="0" w:line="209" w:lineRule="auto"/>
        <w:tabs>
          <w:tab w:leader="none" w:pos="193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and agrees that the terms and conditions set forth in the L.B. Foster Company Amended and Restated Executive Recoupment Policy (as may be amended and restated from time to time, the “</w:t>
      </w:r>
      <w:r>
        <w:rPr>
          <w:rFonts w:ascii="Times New Roman" w:cs="Times New Roman" w:eastAsia="Times New Roman" w:hAnsi="Times New Roman"/>
          <w:sz w:val="20"/>
          <w:szCs w:val="20"/>
          <w:u w:val="single" w:color="auto"/>
          <w:color w:val="auto"/>
        </w:rPr>
        <w:t>Recoupment Policy</w:t>
      </w:r>
      <w:r>
        <w:rPr>
          <w:rFonts w:ascii="Times New Roman" w:cs="Times New Roman" w:eastAsia="Times New Roman" w:hAnsi="Times New Roman"/>
          <w:sz w:val="20"/>
          <w:szCs w:val="20"/>
          <w:color w:val="auto"/>
        </w:rPr>
        <w:t>”) are incorporated into this Program by reference. To the extent the Recoupment Policy is applicable to the Participant, it creates additional rights for the Company with respect to certain Awards and other applicable compensation, including, without limitation, cash bonus awards granted to the Participant under the L.B. Foster Company Executive Annual Incentive Compensation Plan, or any successor plan ("</w:t>
      </w:r>
      <w:r>
        <w:rPr>
          <w:rFonts w:ascii="Times New Roman" w:cs="Times New Roman" w:eastAsia="Times New Roman" w:hAnsi="Times New Roman"/>
          <w:sz w:val="20"/>
          <w:szCs w:val="20"/>
          <w:u w:val="single" w:color="auto"/>
          <w:color w:val="auto"/>
        </w:rPr>
        <w:t>Bonus Awards</w:t>
      </w:r>
      <w:r>
        <w:rPr>
          <w:rFonts w:ascii="Times New Roman" w:cs="Times New Roman" w:eastAsia="Times New Roman" w:hAnsi="Times New Roman"/>
          <w:sz w:val="20"/>
          <w:szCs w:val="20"/>
          <w:color w:val="auto"/>
        </w:rPr>
        <w:t>"). Notwithstanding any provisions in this Program to the contrary, any Award granted under the Plan and such other applicable compensation, including, without limitation, Bonus Awards, will be subject to potential mandatory cancellation, forfeiture and/or repayment by the Participant to the Company to the extent the Participant is, or in the future becomes, subject to (A) any Company clawback or recoupment policy, including the Recoupment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an Award under the Plan and pursuant to the Program terms, the Participant consents to be bound by the terms of the Recoupment Policy, if applicable, and agrees and acknowledges that the Participant is obligated to cooperate with, and provide any and all assistance necessary to, the Company in its efforts to recover or recoup an Award, any gains or earnings related to an Award, or any other applicable compensation, including, without limitation, Bonus Awards,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spacing w:after="0" w:line="182" w:lineRule="exact"/>
        <w:rPr>
          <w:sz w:val="20"/>
          <w:szCs w:val="20"/>
          <w:color w:val="auto"/>
        </w:rPr>
      </w:pPr>
    </w:p>
    <w:p>
      <w:pPr>
        <w:jc w:val="both"/>
        <w:ind w:firstLine="1377"/>
        <w:spacing w:after="0" w:line="261" w:lineRule="auto"/>
        <w:rPr>
          <w:sz w:val="20"/>
          <w:szCs w:val="20"/>
          <w:color w:val="auto"/>
        </w:rPr>
      </w:pPr>
      <w:r>
        <w:rPr>
          <w:rFonts w:ascii="Times New Roman" w:cs="Times New Roman" w:eastAsia="Times New Roman" w:hAnsi="Times New Roman"/>
          <w:sz w:val="20"/>
          <w:szCs w:val="20"/>
          <w:color w:val="auto"/>
        </w:rPr>
        <w:t>Any provision of this Section 14(c) that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14(c).</w:t>
      </w:r>
    </w:p>
    <w:p>
      <w:pPr>
        <w:spacing w:after="0" w:line="208" w:lineRule="exact"/>
        <w:rPr>
          <w:sz w:val="20"/>
          <w:szCs w:val="20"/>
          <w:color w:val="auto"/>
        </w:rPr>
      </w:pPr>
    </w:p>
    <w:p>
      <w:pPr>
        <w:jc w:val="both"/>
        <w:ind w:firstLine="1377"/>
        <w:spacing w:after="0" w:line="269" w:lineRule="auto"/>
        <w:rPr>
          <w:sz w:val="20"/>
          <w:szCs w:val="20"/>
          <w:color w:val="auto"/>
        </w:rPr>
      </w:pPr>
      <w:r>
        <w:rPr>
          <w:rFonts w:ascii="Times New Roman" w:cs="Times New Roman" w:eastAsia="Times New Roman" w:hAnsi="Times New Roman"/>
          <w:sz w:val="20"/>
          <w:szCs w:val="20"/>
          <w:color w:val="auto"/>
        </w:rPr>
        <w:t>Any rights of the Company pursuant this Section 14(c) are in addition to, and not in limitation of, the rights of the Company set forth in this Section 14, in other provisions of this Program and under the Plan.</w:t>
      </w:r>
    </w:p>
    <w:p>
      <w:pPr>
        <w:spacing w:after="0" w:line="186"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Assignment/Nonassignment</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right to assign this Program, including, without limitation, Section 12, and the Participants agree to remain obligated by all provisions of this Program that are assigned to any successor, assign or surviving entity. The obligations of the Company under the Program shall be binding upon the successors and assigns of the Company. Any successor to the Company is an intended third party beneficiary of this Program.</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Share Units shall not be sold, pledged, assigned, hypothecated, transferred or disposed of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in any manner, other than by will or the laws of descent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distribution. Any attempt by a Participant to Transfer the Performance Share Units in violation of the terms of the Program shall render the</w:t>
      </w:r>
    </w:p>
    <w:p>
      <w:pPr>
        <w:spacing w:after="0" w:line="221" w:lineRule="auto"/>
        <w:rPr>
          <w:sz w:val="20"/>
          <w:szCs w:val="20"/>
          <w:color w:val="auto"/>
        </w:rPr>
      </w:pPr>
      <w:r>
        <w:rPr>
          <w:rFonts w:ascii="Times New Roman" w:cs="Times New Roman" w:eastAsia="Times New Roman" w:hAnsi="Times New Roman"/>
          <w:sz w:val="20"/>
          <w:szCs w:val="20"/>
          <w:color w:val="auto"/>
        </w:rPr>
        <w:t>Performance Share Units null and void, and result in the immediate forfeiture of such Performance Share Units, without payment by the Company or any Subsidiary.</w:t>
      </w:r>
    </w:p>
    <w:p>
      <w:pPr>
        <w:spacing w:after="0" w:line="162" w:lineRule="exact"/>
        <w:rPr>
          <w:sz w:val="20"/>
          <w:szCs w:val="20"/>
          <w:color w:val="auto"/>
        </w:rPr>
      </w:pPr>
    </w:p>
    <w:p>
      <w:pPr>
        <w:jc w:val="both"/>
        <w:ind w:firstLine="656"/>
        <w:spacing w:after="0" w:line="226" w:lineRule="auto"/>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on Benefit Plans</w:t>
      </w:r>
      <w:r>
        <w:rPr>
          <w:rFonts w:ascii="Times New Roman" w:cs="Times New Roman" w:eastAsia="Times New Roman" w:hAnsi="Times New Roman"/>
          <w:sz w:val="20"/>
          <w:szCs w:val="20"/>
          <w:color w:val="auto"/>
        </w:rPr>
        <w:t>. Payments under the Program shall not be considered as earnings for purposes of the Company's and/or Affiliate's qualified retirement plans or any such retirement or benefit plan unless specifically provided for therein. Nothing herein shall prevent the Company or any Affiliate from maintaining additional compensation plans and arrangements for its employees.</w:t>
      </w:r>
    </w:p>
    <w:p>
      <w:pPr>
        <w:spacing w:after="0" w:line="16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Stock</w:t>
      </w:r>
      <w:r>
        <w:rPr>
          <w:rFonts w:ascii="Times New Roman" w:cs="Times New Roman" w:eastAsia="Times New Roman" w:hAnsi="Times New Roman"/>
          <w:sz w:val="20"/>
          <w:szCs w:val="20"/>
          <w:color w:val="auto"/>
        </w:rPr>
        <w:t>. In the event of a stock split, stock dividend, or similar event, the Performance Share Units and the shares of Company common stock on which the Performance Conditions are based shall be appropriately adjusted to prevent dilution or enlargement of the rights of Participants that would otherwise result from any such transaction, provided such adjustment shall be consistent with Section 409A of the Code. In the case of a Change in Control, any obligation under the Program shall be handled in accordance with the terms of Section 6(c) hereof.</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and Venue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Program shall be governed by and construed in accordance with the laws of the Commonwealth of Pennsylvania, without giving effect to the principles of conflicts of law.</w:t>
      </w:r>
    </w:p>
    <w:p>
      <w:pPr>
        <w:spacing w:after="0" w:line="16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irrevocably submits to the personal and exclusive jurisdiction of the United States District Court for the Western District of Pennsylvania or the Court of Common Pleas of Allegheny County, Pennsylvania in any action or proceeding arising out of, or relating to, this Program (whether such action or proceeding arises under contract, tort, equity or otherwise). Participant hereby irrevocably waives any objection which Participant now or hereafter may have to the laying of venue or personal jurisdiction of any such action or proceeding brought in said courts.</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 over, and venue of, any such action or proceeding shall be exclusively vested in the United States District Court for the Western District of Pennsylvania or the Court of Common Pleas of Allegheny County, Pennsylvania.</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the Company commences any such action or proceeding in the courts identified in Section 18(b), Participant irrevocably waives Participant's right to object to or challenge the above selected forum on the basis of inconvenience or unfairness under 28 U.S.C. § 1404, 42 Pa. C.S. § 5322 or similar state or federal statutes. Participant agrees to reimburse the Company for all of the attorney fees and costs it incurs to oppose Participant's efforts to challenge or object to litigation proceeding in the courts identified in Section 18(b) with respect to actions arising out of or relating to this Program (whether such actions arise under contract, tort, equity or otherwise).</w:t>
      </w:r>
    </w:p>
    <w:p>
      <w:pPr>
        <w:spacing w:after="0" w:line="162" w:lineRule="exact"/>
        <w:rPr>
          <w:rFonts w:ascii="Times New Roman" w:cs="Times New Roman" w:eastAsia="Times New Roman" w:hAnsi="Times New Roman"/>
          <w:sz w:val="20"/>
          <w:szCs w:val="20"/>
          <w:color w:val="auto"/>
        </w:rPr>
      </w:pPr>
    </w:p>
    <w:p>
      <w:pPr>
        <w:ind w:firstLine="656"/>
        <w:spacing w:after="0" w:line="233" w:lineRule="auto"/>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Enforce Not a Waiver</w:t>
      </w:r>
      <w:r>
        <w:rPr>
          <w:rFonts w:ascii="Times New Roman" w:cs="Times New Roman" w:eastAsia="Times New Roman" w:hAnsi="Times New Roman"/>
          <w:sz w:val="20"/>
          <w:szCs w:val="20"/>
          <w:color w:val="auto"/>
        </w:rPr>
        <w:t>. The failure of the Company to enforce at any time any provision of this Program shall in no way be construed to be a waiver of such provision or of any other provision hereof.</w:t>
      </w:r>
    </w:p>
    <w:p>
      <w:pPr>
        <w:spacing w:after="0" w:line="160" w:lineRule="exact"/>
        <w:rPr>
          <w:rFonts w:ascii="Times New Roman" w:cs="Times New Roman" w:eastAsia="Times New Roman" w:hAnsi="Times New Roman"/>
          <w:sz w:val="20"/>
          <w:szCs w:val="20"/>
          <w:color w:val="auto"/>
        </w:rPr>
      </w:pPr>
    </w:p>
    <w:p>
      <w:pPr>
        <w:ind w:right="20" w:firstLine="656"/>
        <w:spacing w:after="0"/>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one or more of the provisions of this Program shall be held to be invalid, illegal or unenforceable, the validity, legality or enforceability of the remaining provisions shall not in any way be affected or impaired thereby.</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w:t>
      </w:r>
      <w:r>
        <w:rPr>
          <w:rFonts w:ascii="Times New Roman" w:cs="Times New Roman" w:eastAsia="Times New Roman" w:hAnsi="Times New Roman"/>
          <w:sz w:val="20"/>
          <w:szCs w:val="20"/>
          <w:color w:val="auto"/>
        </w:rPr>
        <w:t>. The Program is not funded and all amounts payable hereunder, if any, shall be paid from the general assets of the Company or its Affiliate, as applicable. No provision contained in this Program or the Plan and no action taken pursuant to the provisions of this Program or the Plan shall create a trust of any kind or require the Company to maintain or set aside any specific funds to pay benefits hereunder. To the extent a Participant acquires a right to receive payments from the Company under the Program, such right shall be no greater than the right of any unsecured general creditor of the Company.</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descriptive headings of the Sections of this Program are inserted for convenience of reference only and shall not constitute a part of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7" w:right="339" w:bottom="1440" w:gutter="0" w:footer="0" w:header="0"/>
        </w:sectPr>
      </w:pPr>
    </w:p>
    <w:bookmarkStart w:id="55" w:name="page56"/>
    <w:bookmarkEnd w:id="55"/>
    <w:p>
      <w:pPr>
        <w:jc w:val="both"/>
        <w:ind w:firstLine="656"/>
        <w:spacing w:after="0" w:line="216" w:lineRule="auto"/>
        <w:tabs>
          <w:tab w:leader="none" w:pos="128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 of this Program</w:t>
      </w:r>
      <w:r>
        <w:rPr>
          <w:rFonts w:ascii="Times New Roman" w:cs="Times New Roman" w:eastAsia="Times New Roman" w:hAnsi="Times New Roman"/>
          <w:sz w:val="20"/>
          <w:szCs w:val="20"/>
          <w:color w:val="auto"/>
        </w:rPr>
        <w:t>. This Program may be modified, amended, suspended or terminated by the Committee at any time. Notwithstanding the foregoing or any provision of this Program to the contrary, the Committee may, in the sole discretion and without the Participants’ consent, modify or amend the terms of the Program or a Performance Grant, or take any other action it deems necessary or advisable, to cause the Program to comply with Section 409A of the Code. Any modification, amendment, suspension or termination shall only be effective upon a writing issued by the Committee, and a Participant shall not offer evidence of any purported oral modifications or amendments to vary or contradict the terms of this Program document.</w:t>
      </w:r>
    </w:p>
    <w:p>
      <w:pPr>
        <w:spacing w:after="0" w:line="172" w:lineRule="exact"/>
        <w:rPr>
          <w:sz w:val="20"/>
          <w:szCs w:val="20"/>
          <w:color w:val="auto"/>
        </w:rPr>
      </w:pPr>
    </w:p>
    <w:p>
      <w:pPr>
        <w:jc w:val="both"/>
        <w:ind w:firstLine="297"/>
        <w:spacing w:after="0" w:line="26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this Program on the day and year indicated below. This Program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in more than one counterpart, each of which is deemed to be an original and all of which taken together constitute one and the same agreement.</w:t>
      </w:r>
    </w:p>
    <w:p>
      <w:pPr>
        <w:spacing w:after="0" w:line="200" w:lineRule="exact"/>
        <w:rPr>
          <w:sz w:val="20"/>
          <w:szCs w:val="20"/>
          <w:color w:val="auto"/>
        </w:rPr>
      </w:pPr>
    </w:p>
    <w:p>
      <w:pPr>
        <w:spacing w:after="0" w:line="249" w:lineRule="exact"/>
        <w:rPr>
          <w:sz w:val="20"/>
          <w:szCs w:val="20"/>
          <w:color w:val="auto"/>
        </w:rPr>
      </w:pPr>
    </w:p>
    <w:p>
      <w:pPr>
        <w:spacing w:after="0"/>
        <w:tabs>
          <w:tab w:leader="none" w:pos="720" w:val="left"/>
          <w:tab w:leader="none" w:pos="2880" w:val="left"/>
        </w:tabs>
        <w:rPr>
          <w:sz w:val="20"/>
          <w:szCs w:val="20"/>
          <w:color w:val="auto"/>
        </w:rPr>
      </w:pPr>
      <w:r>
        <w:rPr>
          <w:rFonts w:ascii="Times New Roman" w:cs="Times New Roman" w:eastAsia="Times New Roman" w:hAnsi="Times New Roman"/>
          <w:sz w:val="20"/>
          <w:szCs w:val="20"/>
          <w:color w:val="auto"/>
        </w:rPr>
        <w:t>Dated:</w:t>
        <w:tab/>
        <w:t>________________</w:t>
      </w:r>
      <w:r>
        <w:rPr>
          <w:sz w:val="20"/>
          <w:szCs w:val="20"/>
          <w:color w:val="auto"/>
        </w:rPr>
        <w:tab/>
      </w:r>
      <w:r>
        <w:rPr>
          <w:rFonts w:ascii="Times New Roman" w:cs="Times New Roman" w:eastAsia="Times New Roman" w:hAnsi="Times New Roman"/>
          <w:sz w:val="19"/>
          <w:szCs w:val="19"/>
          <w:color w:val="auto"/>
        </w:rPr>
        <w:t>__________________________________</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John E. Kunz</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Chairman,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August 11, 2025</w:t>
            </w:r>
          </w:p>
        </w:tc>
        <w:tc>
          <w:tcPr>
            <w:tcW w:w="270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88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August 11, 2025</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June 30, 2025,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August 11, 2025</w:t>
            </w:r>
          </w:p>
        </w:tc>
        <w:tc>
          <w:tcPr>
            <w:tcW w:w="5420" w:type="dxa"/>
            <w:vAlign w:val="bottom"/>
          </w:tcPr>
          <w:p>
            <w:pPr>
              <w:spacing w:after="0"/>
              <w:rPr>
                <w:sz w:val="17"/>
                <w:szCs w:val="17"/>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August 11, 2025</w:t>
            </w:r>
          </w:p>
        </w:tc>
        <w:tc>
          <w:tcPr>
            <w:tcW w:w="5420" w:type="dxa"/>
            <w:vAlign w:val="bottom"/>
          </w:tcPr>
          <w:p>
            <w:pPr>
              <w:spacing w:after="0"/>
              <w:rPr>
                <w:sz w:val="24"/>
                <w:szCs w:val="24"/>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3"/>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lowerRoman"/>
      <w:start w:val="2"/>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3"/>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2"/>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3"/>
    </w:lvl>
    <w:lvl w:ilvl="1">
      <w:lvlJc w:val="left"/>
      <w:lvlText w:val="(%2)"/>
      <w:numFmt w:val="lowerRoman"/>
      <w:start w:val="1"/>
    </w:lvl>
  </w:abstractNum>
  <w:abstractNum w:abstractNumId="20">
    <w:nsid w:val="8138641"/>
    <w:multiLevelType w:val="hybridMultilevel"/>
    <w:lvl w:ilvl="0">
      <w:lvlJc w:val="left"/>
      <w:lvlText w:val="(%1)"/>
      <w:numFmt w:val="upperLetter"/>
      <w:start w:val="2"/>
    </w:lvl>
    <w:lvl w:ilvl="1">
      <w:lvlJc w:val="left"/>
      <w:lvlText w:val="(%2)"/>
      <w:numFmt w:val="lowerLetter"/>
      <w:start w:val="5"/>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1"/>
    </w:lvl>
    <w:lvl w:ilvl="1">
      <w:lvlJc w:val="left"/>
      <w:lvlText w:val="(%2)"/>
      <w:numFmt w:val="lowerLetter"/>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25">
    <w:nsid w:val="22221A7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6">
    <w:nsid w:val="4516DDE9"/>
    <w:multiLevelType w:val="hybridMultilevel"/>
    <w:lvl w:ilvl="0">
      <w:lvlJc w:val="left"/>
      <w:lvlText w:val="%1."/>
      <w:numFmt w:val="decimal"/>
      <w:start w:val="8"/>
    </w:lvl>
  </w:abstractNum>
  <w:abstractNum w:abstractNumId="27">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614FD4A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9">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
    <w:nsid w:val="5577F8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
    <w:nsid w:val="440BADF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2">
    <w:nsid w:val="5072367"/>
    <w:multiLevelType w:val="hybridMultilevel"/>
    <w:lvl w:ilvl="0">
      <w:lvlJc w:val="left"/>
      <w:lvlText w:val="(%1)"/>
      <w:numFmt w:val="lowerLetter"/>
      <w:start w:val="3"/>
    </w:lvl>
  </w:abstractNum>
  <w:abstractNum w:abstractNumId="33">
    <w:nsid w:val="3804823E"/>
    <w:multiLevelType w:val="hybridMultilevel"/>
    <w:lvl w:ilvl="0">
      <w:lvlJc w:val="left"/>
      <w:lvlText w:val="%1."/>
      <w:numFmt w:val="decimal"/>
      <w:start w:val="16"/>
    </w:lvl>
    <w:lvl w:ilvl="1">
      <w:lvlJc w:val="left"/>
      <w:lvlText w:val="(%2)"/>
      <w:numFmt w:val="lowerLetter"/>
      <w:start w:val="1"/>
    </w:lvl>
  </w:abstractNum>
  <w:abstractNum w:abstractNumId="34">
    <w:nsid w:val="77465F01"/>
    <w:multiLevelType w:val="hybridMultilevel"/>
    <w:lvl w:ilvl="0">
      <w:lvlJc w:val="left"/>
      <w:lvlText w:val="%1."/>
      <w:numFmt w:val="decimal"/>
      <w:start w:val="17"/>
    </w:lvl>
    <w:lvl w:ilvl="1">
      <w:lvlJc w:val="left"/>
      <w:lvlText w:val="(%2)"/>
      <w:numFmt w:val="lowerLetter"/>
      <w:start w:val="1"/>
    </w:lvl>
  </w:abstractNum>
  <w:abstractNum w:abstractNumId="35">
    <w:nsid w:val="7724C67E"/>
    <w:multiLevelType w:val="hybridMultilevel"/>
    <w:lvl w:ilvl="0">
      <w:lvlJc w:val="left"/>
      <w:lvlText w:val="%1."/>
      <w:numFmt w:val="decimal"/>
      <w:start w:val="2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6" Type="http://schemas.openxmlformats.org/officeDocument/2006/relationships/hyperlink" Target="https://www.sec.gov/Archives/edgar/data/352825/000035282525000108/ex-101062025creditfacility.htm" TargetMode="External"/><Relationship Id="rId57" Type="http://schemas.openxmlformats.org/officeDocument/2006/relationships/hyperlink" Target="https://www.sec.gov/Archives/edgar/data/352825/000119312525124630/d92146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2025-08-11T12:01:48Z</dcterms:created>
  <dcterms:modified xsi:type="dcterms:W3CDTF">2025-08-11T12:01:48Z</dcterms:modified>
</cp:coreProperties>
</file>