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jc w:val="right"/>
        <w:ind w:left="3840" w:right="3820" w:hanging="3814"/>
        <w:spacing w:after="0" w:line="414" w:lineRule="auto"/>
        <w:tabs>
          <w:tab w:leader="none" w:pos="65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74"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5"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2, 2023, there were 11,085,149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2"/>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7"/>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080" w:type="dxa"/>
            <w:vAlign w:val="bottom"/>
            <w:gridSpan w:val="4"/>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80" w:type="dxa"/>
            <w:vAlign w:val="bottom"/>
            <w:gridSpan w:val="4"/>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4"/>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479"/>
        </w:trPr>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2"/>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480"/>
        </w:trPr>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5"/>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480"/>
        </w:trPr>
        <w:tc>
          <w:tcPr>
            <w:tcW w:w="320" w:type="dxa"/>
            <w:vAlign w:val="bottom"/>
          </w:tcPr>
          <w:p>
            <w:pPr>
              <w:spacing w:after="0"/>
              <w:rPr>
                <w:sz w:val="24"/>
                <w:szCs w:val="24"/>
                <w:color w:val="auto"/>
              </w:rPr>
            </w:pPr>
          </w:p>
        </w:tc>
        <w:tc>
          <w:tcPr>
            <w:tcW w:w="8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9"/>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480"/>
        </w:trPr>
        <w:tc>
          <w:tcPr>
            <w:tcW w:w="320" w:type="dxa"/>
            <w:vAlign w:val="bottom"/>
          </w:tcPr>
          <w:p>
            <w:pPr>
              <w:spacing w:after="0"/>
              <w:rPr>
                <w:sz w:val="24"/>
                <w:szCs w:val="24"/>
                <w:color w:val="auto"/>
              </w:rPr>
            </w:pPr>
          </w:p>
        </w:tc>
        <w:tc>
          <w:tcPr>
            <w:tcW w:w="88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6"/>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2022</w:t>
            </w:r>
          </w:p>
        </w:tc>
      </w:tr>
      <w:tr>
        <w:trPr>
          <w:trHeight w:val="194"/>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82,455</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75,721</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205,732</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85,344</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30,733</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9)</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365,310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48,782</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accrued settlement (Note 13)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16,192</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103,111</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91,752</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portion of accrued settlement (Note 13)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8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March 31, 2023 and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862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December 31, 2022, 11,115,779; shares outstanding at March 31, 2023 and December 31, 2022, 10,809,711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10,776,827,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123,169</w:t>
            </w:r>
          </w:p>
        </w:tc>
      </w:tr>
      <w:tr>
        <w:trPr>
          <w:trHeight w:val="175"/>
        </w:trPr>
        <w:tc>
          <w:tcPr>
            <w:tcW w:w="8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 at cost, 306,068 and 338,952 common stock shares at March 31, 2023 and December 31, 2022,</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137,178</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365,310</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8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41"/>
        </w:trPr>
        <w:tc>
          <w:tcPr>
            <w:tcW w:w="8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69,845</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82,347</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1"/>
        </w:trPr>
        <w:tc>
          <w:tcPr>
            <w:tcW w:w="85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L.B. Foster Company</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2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8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2022</w:t>
            </w:r>
          </w:p>
        </w:tc>
      </w:tr>
      <w:tr>
        <w:trPr>
          <w:trHeight w:val="41"/>
        </w:trPr>
        <w:tc>
          <w:tcPr>
            <w:tcW w:w="8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0"/>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gain on cash flow hedges, net of tax benefit of $0 and $188, respectively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flow hedges reclassified to earnings, net of tax expense of $0 and $66, respectively</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 of $2 and $16, respectively*</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L.B. Foster Company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1"/>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4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41"/>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cash provided by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asset divestitures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Proceeds from business dispositions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Investment of noncontrolling interest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Income taxes received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32,884</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183,610</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34,440</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167,167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months ended March 31, 2023 are not necessarily indicative of the results that may be expected for the year ending December 31, 2023. This Quarterly Report on Form 10-Q should be read in conjunction with the consolidated financial statements and footnotes thereto included in L.B. Foster Company’s Annual Report on Form 10-K for the year ended December 31, 2022. In this Quarterly Report on Form 10-Q, references to “we,” “us,” “our,” and the “Company” refer collectively to L.B. Foster Company and its consolidated subsidiaries.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Company’s segments represent components of the Company (a) that engage in activities from which revenue is generated and expenses are incurred, (b) whose operating results are regularly reviewed by the Chief Operating Decision Maker,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 for the year ended December 31,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Three Months Ended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March 31, 2023</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color w:val="auto"/>
              </w:rPr>
              <w:t>March 31, 2022</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Profit (Loss)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Profit (Loss)</w:t>
            </w:r>
          </w:p>
        </w:tc>
        <w:tc>
          <w:tcPr>
            <w:tcW w:w="0" w:type="dxa"/>
            <w:vAlign w:val="bottom"/>
          </w:tcPr>
          <w:p>
            <w:pPr>
              <w:spacing w:after="0"/>
              <w:rPr>
                <w:sz w:val="1"/>
                <w:szCs w:val="1"/>
                <w:color w:val="auto"/>
              </w:rPr>
            </w:pPr>
          </w:p>
        </w:tc>
      </w:tr>
      <w:tr>
        <w:trPr>
          <w:trHeight w:val="228"/>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63,710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20,074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98,794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profit (loss) from operations, as shown above, includes allocated corporate operating expenses. Operating expenses related to corporate headquarter functions that directly support the segment activity are allocated based on segment headcount, revenue contribution, or activity of the business units within the segments, based on the corporate activity type provided to the segment. The expense allocation excludes certain corporate costs that are separately managed from the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reportable segment net profit (loss) to the Company’s consolidated total for the periods presented:</w:t>
      </w:r>
    </w:p>
    <w:p>
      <w:pPr>
        <w:spacing w:after="0" w:line="3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 for reportable segments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19"/>
                <w:szCs w:val="19"/>
                <w:color w:val="auto"/>
              </w:rPr>
            </w:pPr>
          </w:p>
        </w:tc>
        <w:tc>
          <w:tcPr>
            <w:tcW w:w="96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8"/>
              </w:rPr>
              <w:t>(1,388)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8"/>
              </w:rPr>
              <w:t>(1,827)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 and other unallocated charges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18"/>
                <w:szCs w:val="18"/>
                <w:color w:val="auto"/>
                <w:w w:val="98"/>
              </w:rPr>
              <w:t>(1,529)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8"/>
              </w:rPr>
              <w:t>(2,712)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assets of the Company by reportable segment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172,111</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108,598</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54,516</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assets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365,310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business (“Chemtec”) for $5,344 in proceeds, subject to final working capital adjustments, generating a $2,033 loss on sale, recorded in “Other expense (income) - net.” The Chemtec business was reported in the Coatings and Measurement business unit within the Steel Products and Measurement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net sales by major product and service category for the periods presented:</w:t>
      </w:r>
    </w:p>
    <w:p>
      <w:pPr>
        <w:spacing w:after="0" w:line="3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2022</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 and Global Friction Management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51,651</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Buildings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Precast Concrete Products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Fabricated Steel Products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Coatings and Measurement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98,794</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 March 31, 2023</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 March 31, 2022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68,491</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Revenue under long-term agreements is generally recognized using an input measure based upon the proportion of actual costs incurred to estimated total project costs or an input measure based upon actual labor costs as a percentage of estimated total labor costs, depending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which measure the Company believes best depicts its performance to date under the terms of the contract. A certain portion of the Company’s revenue recognized over time under these long-term agreements is recognized using an output method, specifically units delivered, based upon certain customer acceptance and delivery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000" w:type="dxa"/>
            <w:vAlign w:val="bottom"/>
            <w:gridSpan w:val="6"/>
            <w:vMerge w:val="restart"/>
          </w:tcPr>
          <w:p>
            <w:pPr>
              <w:ind w:left="54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Percentage of Total Net Sales</w:t>
            </w:r>
          </w:p>
        </w:tc>
        <w:tc>
          <w:tcPr>
            <w:tcW w:w="0" w:type="dxa"/>
            <w:vAlign w:val="bottom"/>
          </w:tcPr>
          <w:p>
            <w:pPr>
              <w:spacing w:after="0"/>
              <w:rPr>
                <w:sz w:val="1"/>
                <w:szCs w:val="1"/>
                <w:color w:val="auto"/>
              </w:rPr>
            </w:pPr>
          </w:p>
        </w:tc>
      </w:tr>
      <w:tr>
        <w:trPr>
          <w:trHeight w:val="193"/>
        </w:trPr>
        <w:tc>
          <w:tcPr>
            <w:tcW w:w="5020" w:type="dxa"/>
            <w:vAlign w:val="bottom"/>
          </w:tcPr>
          <w:p>
            <w:pPr>
              <w:spacing w:after="0"/>
              <w:rPr>
                <w:sz w:val="16"/>
                <w:szCs w:val="16"/>
                <w:color w:val="auto"/>
              </w:rPr>
            </w:pPr>
          </w:p>
        </w:tc>
        <w:tc>
          <w:tcPr>
            <w:tcW w:w="3000" w:type="dxa"/>
            <w:vAlign w:val="bottom"/>
            <w:gridSpan w:val="6"/>
            <w:vMerge w:val="continue"/>
          </w:tcPr>
          <w:p>
            <w:pPr>
              <w:spacing w:after="0"/>
              <w:rPr>
                <w:sz w:val="16"/>
                <w:szCs w:val="16"/>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94"/>
        </w:trPr>
        <w:tc>
          <w:tcPr>
            <w:tcW w:w="50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16,315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32,526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28.2 %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45"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4"/>
          <w:szCs w:val="14"/>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additions to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921" w:hanging="921"/>
        <w:spacing w:after="0"/>
        <w:tabs>
          <w:tab w:leader="none" w:pos="9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33,613</w:t>
      </w:r>
    </w:p>
    <w:p>
      <w:pPr>
        <w:spacing w:after="0" w:line="27" w:lineRule="exact"/>
        <w:rPr>
          <w:rFonts w:ascii="Times New Roman" w:cs="Times New Roman" w:eastAsia="Times New Roman" w:hAnsi="Times New Roman"/>
          <w:sz w:val="18"/>
          <w:szCs w:val="18"/>
          <w:color w:val="auto"/>
        </w:rPr>
      </w:pPr>
    </w:p>
    <w:p>
      <w:pPr>
        <w:ind w:left="10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 w:lineRule="exact"/>
        <w:rPr>
          <w:sz w:val="20"/>
          <w:szCs w:val="20"/>
          <w:color w:val="auto"/>
        </w:rPr>
      </w:pPr>
    </w:p>
    <w:p>
      <w:pPr>
        <w:ind w:left="921" w:hanging="921"/>
        <w:spacing w:after="0"/>
        <w:tabs>
          <w:tab w:leader="none" w:pos="9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51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4"/>
          <w:szCs w:val="14"/>
          <w:color w:val="auto"/>
        </w:rPr>
        <w:t>Contract Liabilities</w:t>
      </w:r>
    </w:p>
    <w:p>
      <w:pPr>
        <w:spacing w:after="0" w:line="31" w:lineRule="exact"/>
        <w:rPr>
          <w:sz w:val="20"/>
          <w:szCs w:val="20"/>
          <w:color w:val="auto"/>
        </w:rPr>
      </w:pPr>
    </w:p>
    <w:p>
      <w:pPr>
        <w:sectPr>
          <w:pgSz w:w="11900" w:h="16838" w:orient="portrait"/>
          <w:cols w:equalWidth="0" w:num="2">
            <w:col w:w="9039" w:space="720"/>
            <w:col w:w="1481"/>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9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6,781</w:t>
            </w: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520" w:type="dxa"/>
            <w:vAlign w:val="bottom"/>
          </w:tcPr>
          <w:p>
            <w:pPr>
              <w:spacing w:after="0"/>
              <w:rPr>
                <w:sz w:val="19"/>
                <w:szCs w:val="19"/>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(3,443)</w:t>
            </w: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1,983</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 including business divestiture</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(2,078)</w:t>
            </w: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3,243</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provisions related to the allowance for credit losses associated with contract assets. Provisions are recorded based upon a specific review of individual contracts as necessary, and a standard provision over any remaining contract assets pooled together based on similar risk of credit loss. The development of these provisions is based on historical collection trends, accuracy of estimates within contract margin reporting, as well as the expectation that collection patterns and margin reporting will continue to adhere to patterns observed in recent years. These expectations are formed based on trends observed, as well as current and expected future conditions.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the Company had approximately $259,881 of obligations under new contracts and remaining performance obligations, which is also referred to as backlog. Approximately 8.9% of the March 31, 2023 backlog was related to projects that are anticipated to extend beyond March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Rail, Technologies, and</w:t>
            </w:r>
          </w:p>
        </w:tc>
        <w:tc>
          <w:tcPr>
            <w:tcW w:w="16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Precast Concrete</w:t>
            </w:r>
          </w:p>
        </w:tc>
        <w:tc>
          <w:tcPr>
            <w:tcW w:w="16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Products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current economic conditions, including but not limited to labor markets, supply chains,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inflationary costs. However, these factors can be unpredictable and are subject to change. No interim goodwill impairment test was required as a result of the evaluation of qualitative factors as of March 31, 2023. However, future impairment charges could result if future projections diverge unfavorably from current expectations in the Rail Technologies and Precast Concrete Products reporting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and December 31, 2022, the components of the Company’s intangible assets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March 31, 2023</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5"/>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5"/>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5"/>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December 31, 2022</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5"/>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reserves for uncollectible accounts, which are recorded as part of “Selling and administrative expenses” in the Condensed Consolidated Statements of Operations, were recorded as an expense of $155 and $61 for the three months ended March 31, 2023 and 2022,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establishes the allowance for credit losses based on historical collection patterns and other subjective conditions as necessary, including current and expected market conditions. Trade receivables are pooled based on age, which groups receivables of similar credit risk together. Management maintains stringent credit review practices and works to maintain positive customer relationships to further mitigate credit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45"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100" w:hanging="1100"/>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813</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25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 w:lineRule="exact"/>
        <w:rPr>
          <w:sz w:val="20"/>
          <w:szCs w:val="20"/>
          <w:color w:val="auto"/>
        </w:rPr>
      </w:pPr>
    </w:p>
    <w:p>
      <w:pPr>
        <w:ind w:left="1100" w:hanging="1100"/>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25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80" w:space="720"/>
            <w:col w:w="1440"/>
          </w:cols>
          <w:pgMar w:left="320" w:top="117"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as of March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are summarized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41,431</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75,721</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8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91,879</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revolving credit facility, as amended, on terms more favorable to the Company and extends the maturity from April 30, 2024 to August 13, 2026. The Credit Agreement provides for a five-year, revolving credit facility that permits aggregate borrowings of the Borrowers up to $130,000 (a $15,000 increase over the previous commitment)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Company entered into a second amendment to its Credit Agreement (“Second Amendment”) to obtain approval for the VanHooseCo acquisition (as defined below) and temporarily modify certain financial covenants to accommodate the transaction. The Second Amendment permitted the Company to acquire the operating assets of VanHooseCo and modified the Maximum Gross Leverage Ratio covenant to 3.75 through June 30, 2023 to accommodate the transaction.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the Company was in compliance with the covenants in the Credit Agreement, as amended, and had outstanding letters of credit of approximately $1,084.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common share for the periods indicated: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loss per common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loss per common share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0" w:type="dxa"/>
            <w:vAlign w:val="bottom"/>
          </w:tcPr>
          <w:p>
            <w:pPr>
              <w:spacing w:after="0"/>
              <w:rPr>
                <w:sz w:val="1"/>
                <w:szCs w:val="1"/>
                <w:color w:val="auto"/>
              </w:rPr>
            </w:pPr>
          </w:p>
        </w:tc>
      </w:tr>
      <w:tr>
        <w:trPr>
          <w:trHeight w:val="196"/>
        </w:trPr>
        <w:tc>
          <w:tcPr>
            <w:tcW w:w="86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Denominator for diluted loss per common share - adjusted weighted average shares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10,685</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960"/>
        <w:spacing w:after="0" w:line="406" w:lineRule="auto"/>
        <w:rPr>
          <w:sz w:val="20"/>
          <w:szCs w:val="20"/>
          <w:color w:val="auto"/>
        </w:rPr>
      </w:pPr>
      <w:r>
        <w:rPr>
          <w:rFonts w:ascii="Times New Roman" w:cs="Times New Roman" w:eastAsia="Times New Roman" w:hAnsi="Times New Roman"/>
          <w:sz w:val="18"/>
          <w:szCs w:val="18"/>
          <w:color w:val="auto"/>
        </w:rPr>
        <w:t xml:space="preserve">There were 101 and 122 anti-dilutive shares for the three months ended March 31, 2023 and 2022, respectively, excluded from the calculation. </w:t>
      </w:r>
      <w:r>
        <w:rPr>
          <w:rFonts w:ascii="Times New Roman" w:cs="Times New Roman" w:eastAsia="Times New Roman" w:hAnsi="Times New Roman"/>
          <w:sz w:val="18"/>
          <w:szCs w:val="18"/>
          <w:b w:val="1"/>
          <w:bCs w:val="1"/>
          <w:color w:val="auto"/>
        </w:rPr>
        <w:t>Note 9. Income Taxes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2023 and 2022, the Company recorded an income tax benefit of $541 and $508, respectively, on pre-tax losses of $2,712 and $2,094, respectively, for an effective income tax rate of 19.9% and 24.3%, respectively. Due to the full valuation allowance on domestic deferred tax assets, the Company's tax provision for the three months ended March 31, 2023 does not reflect any tax benefit for domestic pre-tax losses, and is primarily comprised of taxes on our Canadian and United Kingdom operations. The Company continued to maintain a full valuation allowance against its U.S. deferred tax assets, which is likely to result in significant variability of the effective tax rate in the current year. Changes in pre-tax income projections, combined with the seasonal nature of our businesses, could also impact the effective income tax rate each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$884 and $258 for the three months ended March 31, 2023 and 2022, respectively, related to restricted stock awards and performance unit awards. As of March 31, 2023, unrecognized compensation expense for awards that the Company expects to vest approximated $7,388. The Company will recognize this unrecognized compensation expense over the upcoming 2.9 years through March 2026.</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issued as a result of vested stock-based compensation awards generally will be from previously issued shares that have been reacquired by the Company and held as treasury stock or authorized and previously unissued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Performance Share Units, and Performance-Based Stock Awards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2022 Equity and Incentive Compensation Plan, successor to the 2006 Omnibus Plan, the Company grants eligible employees restricted stock and performance share units. The forfeitable restricted stock awards granted generally time-vest ratably over a three-year period, unless indicated otherwise by the underlying restricted stock award agreement. Awards of restricted stock are subject to a minimum one-year vesting period, including those granted to non-employee directors. Performance share units are offered annually under separate three-year long-term incentive programs. Performance share units are subject to forfeiture and will be converted into common stock of the Company based upon the Company’s performance relative to performance measures and conversion multiples, as defined in the underlying program. The Company has, on occasion, issued performance share units with longer performance periods as incentivization and retention tools. If the Company’s estimate of the number of performance share units expected to vest changes in a subsequent accounting period, cumulative compensation expense could increase or decrease. The change will be recognized in the current period for the vested shares and would change future expense over the remaining vesting period.</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2017, non-employee directors have been permitted to defer receipt of annual stock awards and equity elected to be received in lieu of quarterly cash compensation. If so elected, these deferred stock units will be issued as common stock six months after separation from their service on the Board of Directors. Since 2018, no non-employee directors have elected the option to receive deferred stock units of the Company’s common stock in lieu of director cash compensation.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February 2023, the Compensation Committee approved the 2023-2025 Long Term Incentive Plan which includes grants of performance share units and restricted stock. The following table summarizes the restricted stock, deferred stock units, and performance-based stock and share unit activity for the three months ended March 31, 2023:</w:t>
      </w:r>
    </w:p>
    <w:tbl>
      <w:tblPr>
        <w:tblLayout w:type="fixed"/>
        <w:tblInd w:w="0" w:type="dxa"/>
        <w:tblCellMar>
          <w:top w:w="0" w:type="dxa"/>
          <w:left w:w="0" w:type="dxa"/>
          <w:bottom w:w="0" w:type="dxa"/>
          <w:right w:w="0" w:type="dxa"/>
        </w:tblCellMar>
      </w:tblPr>
      <w:tr>
        <w:trPr>
          <w:trHeight w:val="150"/>
        </w:trPr>
        <w:tc>
          <w:tcPr>
            <w:tcW w:w="590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Restricted</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Deferred</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top w:val="single" w:sz="8" w:color="CCEEFF"/>
            </w:tcBorders>
            <w:vMerge w:val="continue"/>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139,990</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367,558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(57,329)</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incentive awards expected to vest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as the price that would be received to sell an asset or paid to transfer a liability in an orderly transaction between market participants at the measurement date. The fair value hierarchy includes three levels of inputs that may be used to measure fair value as described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that reflect unadjusted quoted market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and 2022, the Company recognized interest income of $245 and interest expense of $97, respectively, from interest rate swaps.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w:t>
      </w:r>
    </w:p>
    <w:p>
      <w:pPr>
        <w:spacing w:after="0" w:line="21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for the United States defined benefit pension plan for the three months ended March 31, 2023 and 2022 were as follows:</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make total contributions of $400 to its to its United States defined benefit pension plan during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for the United Kingdom defined benefit pension plan for the three months ended March 31, 2023 and 2022 were as follows:</w:t>
      </w:r>
    </w:p>
    <w:p>
      <w:pPr>
        <w:spacing w:after="0" w:line="3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 cost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For the three months ended March 31, 2023, the Company contributed approximately $84 to the plan. The Company anticipates total contributions of approximately $340 to the United Kingdom pension plan during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spacing w:after="0" w:line="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86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8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Union Pacific Railroad (“UPRR”) Concrete Tie Matter</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UPRR to resolve the 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Settlement Agreement, the Company and CXT will pay UPRR the aggregate amount of $50,000 without pre-judgment interest, which began with a $2,000 immediate payment, and with the remaining $48,000 paid in installments over a six-year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payments under the UPRR Settlement Agreement for the remainder of the year ending December 31, 2023 and thereafter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March 31, 2023 and December 31, 2022, the Company maintained environmental reserves approximating $2,448 and $2,472, respectively.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March 31, 2023.</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March 31, 2023, no such disclosures were considered necessary.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(“MD&amp;A”).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the COVID-19 pandemic, and any future global health crises, and the related social, regulatory, and economic impacts and the response thereto by the Company, our employees, our customers, and national, state, or local governments; volatility in the prices of oil and natural gas and the related impact on the midstream energy markets, which could result in cost mitigation actions, including shutdowns or furlough periods; a continuation or worsening of the adverse economic conditions in the markets we serve, including recession, whether as a result of the current COVID-19 pandemic or otherwise, including its impact on labor markets, supply chains, and other inflationary costs, travel and demand for oil and gas, the continued volatility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continuing decrease in freight or transit rail traffic, including as a result of the ongoing COVID-19 pandemic, strikes, or labor stoppages; environmental matters, including any costs associated with any remediation and monitoring of such matters; the risk of doing business in international markets, including compliance with anti-corruption and bribery laws, foreign currency fluctuations and inflation, and trade restrictions or embargoes; our ability to effectuate our strategy, including cost reduction initiatives, and our ability to effectively integrate acquired businesses or to divest businesses, such as the recent dispositions of the Piling, Track Components, and Chemtec businesses, and acquisitions of the Skratch Enterprises Ltd., Intelligent Video Ltd., and VanHooseCo Precast LLC businesses and to realize anticipated benefits; costs of and impacts associated with shareholder activism; continued customer restrictions regarding the on-site presence of third party providers due to the COVID-19 pandemic; the timeliness and availability of materials from our major suppliers, including any continuation or worsening of the disruptions in the supply chain experienced as a result of the COVID-19 pandemic,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SOFR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2022, or as updated and/or amended by our other current or periodic filings with the Securities and Exchange Commission.</w:t>
      </w:r>
    </w:p>
    <w:p>
      <w:pPr>
        <w:spacing w:after="0" w:line="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Percent</w:t>
            </w: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Percent of Total Net Sales</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84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Change</w:t>
            </w:r>
          </w:p>
        </w:tc>
        <w:tc>
          <w:tcPr>
            <w:tcW w:w="1860" w:type="dxa"/>
            <w:vAlign w:val="bottom"/>
            <w:gridSpan w:val="3"/>
          </w:tcPr>
          <w:p>
            <w:pPr>
              <w:jc w:val="center"/>
              <w:ind w:left="895"/>
              <w:spacing w:after="0"/>
              <w:rPr>
                <w:sz w:val="20"/>
                <w:szCs w:val="20"/>
                <w:color w:val="auto"/>
              </w:rPr>
            </w:pPr>
            <w:r>
              <w:rPr>
                <w:rFonts w:ascii="Times New Roman" w:cs="Times New Roman" w:eastAsia="Times New Roman" w:hAnsi="Times New Roman"/>
                <w:sz w:val="14"/>
                <w:szCs w:val="14"/>
                <w:color w:val="auto"/>
              </w:rPr>
              <w:t>March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 vs. 2022</w:t>
            </w:r>
          </w:p>
        </w:tc>
        <w:tc>
          <w:tcPr>
            <w:tcW w:w="8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460" w:type="dxa"/>
            <w:vAlign w:val="bottom"/>
            <w:gridSpan w:val="2"/>
          </w:tcPr>
          <w:p>
            <w:pPr>
              <w:jc w:val="right"/>
              <w:ind w:right="197"/>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1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1460" w:type="dxa"/>
            <w:vAlign w:val="bottom"/>
            <w:gridSpan w:val="2"/>
          </w:tcPr>
          <w:p>
            <w:pPr>
              <w:jc w:val="right"/>
              <w:ind w:right="197"/>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6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9"/>
                <w:szCs w:val="19"/>
                <w:color w:val="auto"/>
              </w:rPr>
            </w:pPr>
          </w:p>
        </w:tc>
        <w:tc>
          <w:tcPr>
            <w:tcW w:w="13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6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L.B. Foster Company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Results of the calculation are not considered meaningful for presentation purposes.</w:t>
      </w:r>
    </w:p>
    <w:p>
      <w:pPr>
        <w:spacing w:after="0" w:line="2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 is organized and operates in three reporting segments: Rail, Technologies, and Services, Precast Concrete Products, and Steel Products and Measurement.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Divestiture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12, 2022, the Company acquired the operating assets of VanHooseCo Precast, LLC (“VanHooseCo”), a business specializing in precast concrete walls, water management products, and forms for the commercial and residential infrastructure markets for $52,146 net of cash acquired. VanHooseCo has been included in the Company’s Precast Concrete Products segment.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2022, the Company acquired the stock of Skratch Enterprises Ltd. (“Skratch”) for $7,402, which is inclusive of deferred payments withheld by the Company of $1,228, to be paid over the next four years or utilized to satisfy post-closing working capital adjustments or indemnity claims under the purchase agreement. Skratch is an industry leader in digital system integration with expertise in advanced digital display technologies and capabilities currently serving retail markets in the U.K. Skratch is reported within the Technology Services and Solutions business unit in the Rail, Technologies, and Services segment.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 2022, the Company divested the assets of its Track Components business. Cash proceeds from the transaction were $7,795, subject to indemnification obligations and working capital adjustments and a loss on sale of $467 was recorded in “Other expense (income) - net.” The Track Components business was reported in the Rail Products business unit within the Rail, Technologies, and Services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(“Chemtec”) business for $5,344 in proceeds, subject to final working capital adjustments, generating a $2,033 loss on sale, recorded in “Other expense (income) - net.” The Chemtec business was reported in the Coatings and Measurement business unit within the Steel Products and Measurement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Net sales of $115,488 for the three months ended March 31, 2023 increased by $16,694, or 16.9%, over the prior year quarter. The change in sales is due in part to the acquisitions of Skratch and VanHooseCo offset by the divestiture of the Track Components business. Organic growth and acquisitions drove a 11.5% and 9.3% increase in sales over the prior year quarter, respectively, with an offsetting 3.9% decline from divestitures.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2023 was $23,291, an increase of $6,844 over the prior year quarter, or 41.6%, and gross profit margins expanded by 360 basis points to 20.2%. The improvement in gross profit is due to the portfolio changes that are a part of the Company’s strategic transformation plan along with improved product mix and pricing.</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March 31, 2023 increased by $4,125, or 23.8%, from the prior year quarter, due in part to the acquisition of VanHooseCo and Skratch, as well as higher personnel expenses. Selling and administrative expenses as a percent of net sales were 18.5% versus 17.5% in the prior year quarter, a 100 basis point increase. The recent acquisitions have a higher margin portfolio and higher selling and administrative costs.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 net for the three months ended March 31, 2023 was $1,827 while other income - net was $563 in the prior year quarter. Other expense - net for the three months ended March 31, 2023 was due to the $2,033 loss on the sale of Chemtec during the quarter.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2023 was 19.9%, compared to 24.3% in the prior year quarter. Due to the full valuation allowance on domestic deferred tax assets, the Company’s tax provision for the three months ended March 31, 2023 does not reflect any tax benefit for domestic pre-tax losses, and is primarily comprised of taxes related to our Canadian and United Kingdom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March 31, 2023 attributable to the Company was $2,152, or $0.20 per diluted share, unfavorable by $586, or $0.05 per diluted share, from the prior year quarter. The loss was primarily driven by the $2,033 loss on the sale of Chemtec during the three months ended March 31, 2023, which offset stronger comparable operating profit stemming from margin expansion.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execute its strategic transformation into a technology-focused, high growth infrastructure solutions provider, as evidenced by the number of recent portfolio actions taken, including the sale of Chemtec, which minimizes the Company's exposure to the energy market and allows for additional capacity to focus on its core growth platforms in Rail Technologies and Precast Concrete, and an increased focus on organic growth initiatives and debt reduction going into 2023. Proceeds from the Chemtec sale have contributed to the pay down of debt during the quarter and increased capacity under the credit agreement to further support its strategic initiatives.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2023 Compared to First Quarter 2022</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2023 vs. 2022</w:t>
            </w:r>
          </w:p>
        </w:tc>
        <w:tc>
          <w:tcPr>
            <w:tcW w:w="12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 vs. 2022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Rail, Technologies, and Services segment sales for the three months ended March 31, 2023 increased by $674, or 1.1%, compared to the prior year quarter. Net sales increased by 5.8% organically and by 1.3% from the acquisition of Skratch, offset by a 6.1% decrease from the divestiture of Track</w:t>
      </w: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Components.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Global Friction Management business unit increase in sales was offset by sales decreases in the Technology Services and Solutions business unit. The Friction Management sales increase was driven by strength in domestic markets served. The sales decrease in the Technology Services and Solutions business unit was driven by the completion of the multi-year Crossrail project in late 2022.</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Rail, Technologies, and Services segment gross profit increased by $1,756, or 14.0% over the prior year quarter, and gross profit margins expanded 250 basis points to 22.2%. Gross profit increases in Rail Products and Global Friction Management were commensurate with higher sales levels, while weaker sale in Technology Services and Solutions drove a partially offsetting gross profit decline. The improvement in gross profit is due to the portfolio changes that are a part of the Company’s strategic transformation along with increased sales in the higher margin Global Friction Management business along with improved pricing. Operating profit was $2,388, a $1,349 increase over the prior year quarter, due primarily to higher gross profit levels.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current quarter, the Rail, Technologies, and Services segment had a decrease in new orders of $17,664, or 19.3%, compared to the prior year period. The decrease is due primarily to differences in customer order timing in the Rail Distribution business, as well as an unfavorable impact of $4,805 due to the Track Components divestiture. Backlog as of March 31, 2023 was $113,593, a decrease of $9,325, or 7.6%, versus the prior year quarter, $2,531 of which is related to the divested Track Components division.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Precast Concrete Products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2023 vs. 2022</w:t>
            </w:r>
          </w:p>
        </w:tc>
        <w:tc>
          <w:tcPr>
            <w:tcW w:w="1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 vs. 2022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24,288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15,010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loss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Precast Concrete Products segment sales for the three months ended March 31, 2023 increased by $9,278, or 61.8%, compared to the prior year quarter. The VanHooseCo acquisition contributed $8,299, or 55.3%, of the increase in sales over the prior year quarter. Organic sales increased by $979, or 6.5%, which is a continued reflection of the strong demand environment in the southern and northeastern United States markets.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Precast Concrete Products segment's gross profit for the three months ended March 31, 2023 increased by $3,076, and gross profit margins expanded by 640 basis points to 22.7%. The improvement in gross profit is due to the VanHooseCo acquisition as well as overall sales volumes and stronger margins from the legacy precast business, including the impact of improved pricing. Operating loss for the first quarter of 2023 was $348, a $443 improvement over the prior year quarter, due to higher gross profit levels, which was partially offset by an increase in selling and administrative expenses from the VanHooseCo acquisition, as well as increased personnel expenses.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the Precast Concrete Products segment had an increase in new orders and backlog of 89.2% and 21.2%, respectively, compared to the prior year quarter. The increase in new orders and backlog is due to the VanHooseCo acquisition and strong demand in the legacy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Steel Products and Measurement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2023 vs. 2022</w:t>
            </w:r>
          </w:p>
        </w:tc>
        <w:tc>
          <w:tcPr>
            <w:tcW w:w="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 vs. 2022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26,816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6,742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loss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Steel Products and Measurement segment sales for the three months ended March 31, 2023 increased by $6,742, or 33.6%, compared to the prior year quarter. The increase in sales for the first quarter of 2023 was attributable to the $8,819 increase in Coatings and Measurement sales over the prior year quarter, due to increased activity in both traditional and adjacent market applications. This increase was partially offset by a decrease in Fabricated Steel Products business unit sales of $2,087.</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Steel Products and Measurement gross profit for the three months ended March 31, 2023 increased by $2,012, and gross profit margins increased 570 basis points to 13.0%. The increase in gross profit is primarily due to stronger margins in the Protective Coatings division attributable to higher volumes. The segment operating loss was reduced $2,140 from the prior year quarter, due to higher gross profit levels.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the Steel Products and Measurement segment had an increase in new orders and backlog of $4,697, or 18.9%, and $9,220, or 18.7%, respectively, compared to the prior year quarter. The increase is a result of improved order levels in the Fabricated Steel Products business unit and the Protective Coatings division due to strong demand in both traditional and adjacent market applications. The backlog increase was partially offset by a $5,657 decrease due to the Chemtec divestiture.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of which $49,091 was available for borrowing as of March 31, 2023, subject to covenant restrictions. The Company’s primary needs for liquidity relate to working capital requirements for operations, capital expenditures, debt service obligations, payments related to the Union Pacific Railroad Settlement, and acquisitions. The Company’s total debt, including finance leases, was $80,096 and $91,879 as of March 31, 2023 and December 31, 2022, respectively, and was primarily comprised of borrowings under its revolving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subject to covenant restrictions, as of March 31,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9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March 31, 2023</w:t>
            </w:r>
          </w:p>
        </w:tc>
        <w:tc>
          <w:tcPr>
            <w:tcW w:w="70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09"/>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49,091</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cash flows are impacted from period to period by fluctuations in working capital, as well as its overall profitability. While the Company places an emphasis on working capital management in its operations, factors such as its contract mix, commercial terms, days sales outstanding (“DSO”),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March 31, 2023, but adverse changes in the economic environment and adverse financial conditions of its customers may impact certain of its customers’ ability to access capital and pay the Company for its products and services, as well as impact demand for its products and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three months ended March 31, 2023 and 2022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23"/>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net cash provided by operating activities was $6,932, compared to cash used in operating activities of $7,636 during the prior year period. For the three months ended March 31, 2023, net loss and adjustments to reconcile net loss from operating activities provided $3,352, compared to $1,408 in the prior year period. Working capital and other assets and liabilities provided $3,580 in the current period, compared to using $9,044 in the prior year period. The Company received $2,967 during the three months ended March 31, 2023 associated with its federal income tax refund claims, which have now been collected in full.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2023 and 2022 were $699 and $1,764, respectively. The current period expenditures primarily relate to general plant and operational improvements throughout the Company, including corporate system and facility improvements. Expenditures for the three months ended March 31, 2022 primarily related to the implementation of the enterprise resource planning system at additional Company divisions and general plant and operational improvements throughout the Company. On March 30, 2023, the Company divested the assets of its Chemtec business, generating a cash inflow of $5,344 during the three months ended March 31,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had a decrease in outstanding debt of $12,047 and an increase of $4,409, respectively. The decrease in debt for the three months ended March 31, 2023 was due to both stronger operating cash flows as well as proceeds received from the Chemtec divestiture during the quarter. The increase in debt for the 2022 period was the result of funding working capital and other assets and liabilities. Treasury stock acquisitions of $309 and $397 for the three months ended March 31, 2023 and 2022, respectively, represent stock repurchases from employees to satisfy their income tax withholdings in connection with the vesting of stock awards.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the Company’s Board of Directors authorized the repurchase of up to $15,000 of the Company’s common stock in open market transactions through February 2026. Repurchases are limited to up to $5,000 in any trailing 12-month period, with unused amounts carrying forward to future periods through the end of the authorization. Any repurchases will be subject to the Company’s liquidity, including availability of</w:t>
      </w: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and covenant compliance under its revolving credit facility, and other capital needs of the business. No shares were repurchased in the first quarter of 2023 as part of the stock repurchase program.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2023, the Company had $2,639 in cash and cash equivalents. The Company’s cash management priority continues to be short-term maturities and the preservation of its principal balances. As of March 31, 2023, approximately $2,136 of the Company’s cash and cash equivalents were held in non-domestic bank accounts. The Company principally maintains its cash and cash equivalents in accounts held by major banks and financial institutions.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have been to fund its operations, including capital expenditures, acquisitions, and to service its indebtedness. The Company views its liquidity as being dependent on its results of operations, changes in working capital needs, and its borrowing capacity. As of March 31, 2023, the Company's revolving credit facility had $49,091 of net availability, while the Company had $80,096 in total debt.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entered into the Credit Agreement, which increased the total commitments under the revolving credit facility to $130,000 from $115,000, extended the maturity date from April 30, 2024 to August 13, 2026, and provided more favorable covenant terms. Borrowings under the Credit Agreement bear interest rates based upon either the base rate or SOFR rate plus applicable margins. The Company believes that the combination of its cash and cash equivalents, cash generated from operations, and the capacity under its revolving credit facility should provide the Company with sufficient liquidity to provide the flexibility to operate the business in a prudent manner and enable the Company to continue to service its outstanding debt. On August 12, 2022, the Company amended its Credit Agreement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to 3.75 through June 30, 2023 to accommodate the transaction. The Second Amendment also added an additional tier to the pricing grid and provided for the conversion from LIBOR-based to SOFR-based borrowings. For a discussion of the terms and availability of the credit facilities, please refer to Note 7 of the Notes to Condensed Consolidated Financial Statements contained in this Quarterly Report on Form 10-Q.</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backlog is summarized by business segment in the following table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Backlog</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33"/>
        </w:trPr>
        <w:tc>
          <w:tcPr>
            <w:tcW w:w="7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Pr>
          <w:p>
            <w:pPr>
              <w:spacing w:after="0"/>
              <w:rPr>
                <w:sz w:val="11"/>
                <w:szCs w:val="11"/>
                <w:color w:val="auto"/>
              </w:rPr>
            </w:pPr>
          </w:p>
        </w:tc>
        <w:tc>
          <w:tcPr>
            <w:tcW w:w="1040" w:type="dxa"/>
            <w:vAlign w:val="bottom"/>
          </w:tcPr>
          <w:p>
            <w:pPr>
              <w:jc w:val="right"/>
              <w:ind w:right="256"/>
              <w:spacing w:after="0" w:line="133" w:lineRule="exact"/>
              <w:rPr>
                <w:sz w:val="20"/>
                <w:szCs w:val="20"/>
                <w:color w:val="auto"/>
              </w:rPr>
            </w:pPr>
            <w:r>
              <w:rPr>
                <w:rFonts w:ascii="Times New Roman" w:cs="Times New Roman" w:eastAsia="Times New Roman" w:hAnsi="Times New Roman"/>
                <w:sz w:val="14"/>
                <w:szCs w:val="14"/>
                <w:color w:val="auto"/>
              </w:rPr>
              <w:t>March 31,</w:t>
            </w:r>
          </w:p>
        </w:tc>
      </w:tr>
      <w:tr>
        <w:trPr>
          <w:trHeight w:val="193"/>
        </w:trPr>
        <w:tc>
          <w:tcPr>
            <w:tcW w:w="7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122,918</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72,369</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49,331</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272,251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244,618</w:t>
            </w:r>
          </w:p>
        </w:tc>
      </w:tr>
      <w:tr>
        <w:trPr>
          <w:trHeight w:val="21"/>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backlog represents the sales price of received customer purchase orders and any contracts for which the performance obligations have not been met, and therefore are precluded from revenue recognition. Although the Company believes that the orders included in backlog are firm, customers may cancel or change their orders with limited advance notice; however, these instances have been rare. Backlog should not be considered a reliable indicator of the Company’s ability to achieve any particular level of revenue or financial performance. While a considerable portion of the Company’s business is backlog-driven, certain product lines within the Company are not driven by backlog as the orders are fulfilled shortly after they are received.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When more than one accounting principle, or method of its application, is generally accepted, management selects the principle or method that, in its opinion, is appropriate in the Company’s specific circumstances. Application of these accounting principles requires management to reach opinions regarding estimates about the future resolution of existing uncertainties. As a result, actual results could differ from these estimates. In preparing these financial statements, management has reached its opinions regarding the best estimates and judgments of the amounts and disclosures included in the financial statements giving due regard to materiality. A summary of the Company’s critical accounting policies and estimates is included in Item 7. Management’s Discussion and Analysis of Financial Condition and Results of Operations - Critical Accounting Policies and Estimates in the Company’s Annual Report on Form 10-K for the year ended December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March 31, 2023. Based upon that evaluation, the Chief Executive Officer and Chief Financial Officer concluded that the Company’s disclosure controls and procedures were effective as of such date such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such term is defined in Rules 13a-15(f) and 15d-15(f) under the Exchange Act) that occurred during the three months ended March 31, 2023, and that have materially affected, or are reasonably likely to materially affect, our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this Quarterly Report on Form 10-Q,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March 31, 2023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Total number of shares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Average price paid per</w:t>
            </w:r>
          </w:p>
        </w:tc>
        <w:tc>
          <w:tcPr>
            <w:tcW w:w="16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publicly announced plans</w:t>
            </w:r>
          </w:p>
        </w:tc>
        <w:tc>
          <w:tcPr>
            <w:tcW w:w="1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purchased under the plans</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0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share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or programs (2)</w:t>
            </w:r>
          </w:p>
        </w:tc>
        <w:tc>
          <w:tcPr>
            <w:tcW w:w="260" w:type="dxa"/>
            <w:vAlign w:val="bottom"/>
          </w:tcPr>
          <w:p>
            <w:pPr>
              <w:spacing w:after="0"/>
              <w:rPr>
                <w:sz w:val="17"/>
                <w:szCs w:val="17"/>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or programs</w:t>
            </w: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2023 - January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2023 - February 28,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2023 - March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withheld by the Company to pay taxes upon vesting of restricted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2023, the Board of Directors authorized the repurchase of up to $15,000 of the Company’s common shares until February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960" w:type="dxa"/>
            <w:vAlign w:val="bottom"/>
            <w:gridSpan w:val="8"/>
          </w:tcPr>
          <w:p>
            <w:pPr>
              <w:ind w:left="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8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gridSpan w:val="2"/>
          </w:tcPr>
          <w:p>
            <w:pPr>
              <w:spacing w:after="0"/>
              <w:rPr>
                <w:sz w:val="17"/>
                <w:szCs w:val="17"/>
                <w:color w:val="auto"/>
              </w:rPr>
            </w:pPr>
          </w:p>
        </w:tc>
        <w:tc>
          <w:tcPr>
            <w:tcW w:w="5060" w:type="dxa"/>
            <w:vAlign w:val="bottom"/>
            <w:gridSpan w:val="5"/>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2023 Executive Annual Incentive Plan.</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8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Restricted Stock Award Agreement (2023).</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of Performance Share Unit Award Agreement and Long Term Incentive Performance Share Unit Program (2023-2025).</w:t>
            </w:r>
          </w:p>
        </w:tc>
        <w:tc>
          <w:tcPr>
            <w:tcW w:w="740" w:type="dxa"/>
            <w:vAlign w:val="bottom"/>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40" w:type="dxa"/>
            <w:vAlign w:val="bottom"/>
            <w:gridSpan w:val="3"/>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6"/>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8"/>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10, 2023</w:t>
            </w: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29"/>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960" w:type="dxa"/>
            <w:vAlign w:val="bottom"/>
            <w:gridSpan w:val="3"/>
          </w:tcPr>
          <w:p>
            <w:pPr>
              <w:ind w:left="308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Annual Executive Incentive</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Compensation Plan (ExIP)</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L. B. FOSTER COMPANY</w:t>
      </w:r>
    </w:p>
    <w:p>
      <w:pPr>
        <w:jc w:val="center"/>
        <w:spacing w:after="0" w:line="204" w:lineRule="auto"/>
        <w:rPr>
          <w:sz w:val="20"/>
          <w:szCs w:val="20"/>
          <w:color w:val="auto"/>
        </w:rPr>
      </w:pPr>
      <w:r>
        <w:rPr>
          <w:rFonts w:ascii="Arial" w:cs="Arial" w:eastAsia="Arial" w:hAnsi="Arial"/>
          <w:sz w:val="22"/>
          <w:szCs w:val="22"/>
          <w:b w:val="1"/>
          <w:bCs w:val="1"/>
          <w:i w:val="1"/>
          <w:iCs w:val="1"/>
          <w:color w:val="auto"/>
        </w:rPr>
        <w:t>ANNUAL EXECUTIVE INCENTIVE COMPENSATION PROGRAM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2023</w:t>
      </w:r>
    </w:p>
    <w:p>
      <w:pPr>
        <w:spacing w:after="0" w:line="200" w:lineRule="exact"/>
        <w:rPr>
          <w:sz w:val="20"/>
          <w:szCs w:val="20"/>
          <w:color w:val="auto"/>
        </w:rPr>
      </w:pPr>
    </w:p>
    <w:p>
      <w:pPr>
        <w:spacing w:after="0" w:line="229" w:lineRule="exact"/>
        <w:rPr>
          <w:sz w:val="20"/>
          <w:szCs w:val="20"/>
          <w:color w:val="auto"/>
        </w:rPr>
      </w:pPr>
    </w:p>
    <w:p>
      <w:pPr>
        <w:ind w:right="300"/>
        <w:spacing w:after="0" w:line="237" w:lineRule="auto"/>
        <w:rPr>
          <w:sz w:val="20"/>
          <w:szCs w:val="20"/>
          <w:color w:val="auto"/>
        </w:rPr>
      </w:pPr>
      <w:r>
        <w:rPr>
          <w:rFonts w:ascii="Arial" w:cs="Arial" w:eastAsia="Arial" w:hAnsi="Arial"/>
          <w:sz w:val="21"/>
          <w:szCs w:val="21"/>
          <w:color w:val="auto"/>
        </w:rPr>
        <w:t>The purpose of this document is to establish in writing the performance goals and other terms applicable to cash financial performance awards for each fiscal year of the Company which constitutes a Performance Period (the “Program”) as authorized under the L.B. Foster Company Executive Annual Incentive Compensation Plan (“ExIP”).</w:t>
      </w:r>
    </w:p>
    <w:p>
      <w:pPr>
        <w:spacing w:after="0" w:line="15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p>
    <w:p>
      <w:pPr>
        <w:ind w:left="340" w:right="340" w:hanging="332"/>
        <w:spacing w:after="0" w:line="227" w:lineRule="auto"/>
        <w:tabs>
          <w:tab w:leader="none" w:pos="331" w:val="left"/>
        </w:tabs>
        <w:numPr>
          <w:ilvl w:val="0"/>
          <w:numId w:val="10"/>
        </w:numPr>
        <w:rPr>
          <w:rFonts w:ascii="Arial" w:cs="Arial" w:eastAsia="Arial" w:hAnsi="Arial"/>
          <w:sz w:val="22"/>
          <w:szCs w:val="22"/>
          <w:color w:val="auto"/>
        </w:rPr>
      </w:pPr>
      <w:r>
        <w:rPr>
          <w:rFonts w:ascii="Arial" w:cs="Arial" w:eastAsia="Arial" w:hAnsi="Arial"/>
          <w:sz w:val="22"/>
          <w:szCs w:val="22"/>
          <w:color w:val="auto"/>
        </w:rPr>
        <w:t>Defined terms used but not defined herein shall have the meanings ascribed to them in the Executive Incentive Plan master document under which each annual Program is established.</w:t>
      </w:r>
    </w:p>
    <w:p>
      <w:pPr>
        <w:spacing w:after="0" w:line="133"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TERMS AND CONDITIONS</w:t>
      </w:r>
    </w:p>
    <w:p>
      <w:pPr>
        <w:ind w:left="340" w:right="420" w:hanging="332"/>
        <w:spacing w:after="0" w:line="227"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Unless otherwise determined by the Compensation Committee, the Performance Period shall be one calendar year.</w:t>
      </w:r>
    </w:p>
    <w:p>
      <w:pPr>
        <w:spacing w:after="0" w:line="149" w:lineRule="exact"/>
        <w:rPr>
          <w:rFonts w:ascii="Arial" w:cs="Arial" w:eastAsia="Arial" w:hAnsi="Arial"/>
          <w:sz w:val="22"/>
          <w:szCs w:val="22"/>
          <w:color w:val="auto"/>
        </w:rPr>
      </w:pPr>
    </w:p>
    <w:p>
      <w:pPr>
        <w:ind w:left="340" w:right="40" w:hanging="332"/>
        <w:spacing w:after="0" w:line="228" w:lineRule="auto"/>
        <w:tabs>
          <w:tab w:leader="none" w:pos="331" w:val="left"/>
        </w:tabs>
        <w:numPr>
          <w:ilvl w:val="0"/>
          <w:numId w:val="12"/>
        </w:numPr>
        <w:rPr>
          <w:rFonts w:ascii="Arial" w:cs="Arial" w:eastAsia="Arial" w:hAnsi="Arial"/>
          <w:sz w:val="21"/>
          <w:szCs w:val="21"/>
          <w:color w:val="auto"/>
        </w:rPr>
      </w:pPr>
      <w:r>
        <w:rPr>
          <w:rFonts w:ascii="Arial" w:cs="Arial" w:eastAsia="Arial" w:hAnsi="Arial"/>
          <w:sz w:val="21"/>
          <w:szCs w:val="21"/>
          <w:color w:val="auto"/>
        </w:rPr>
        <w:t>Each Participant shall receive a cash award in an amount equal to Participant’s base compensation multiplied by a target percentage established by the Committee based upon the position held by the Participant as approved by the Compensation Committee and set forth on Exhibit B, on file with the Committee (the “Target Percentage”) (an “Award”). The amount of any Award earned and payable is calculated with reference to the percentage achievement of certain Performance Measures established by the Committee and as described below.</w:t>
      </w:r>
    </w:p>
    <w:p>
      <w:pPr>
        <w:spacing w:after="0" w:line="148" w:lineRule="exact"/>
        <w:rPr>
          <w:rFonts w:ascii="Arial" w:cs="Arial" w:eastAsia="Arial" w:hAnsi="Arial"/>
          <w:sz w:val="21"/>
          <w:szCs w:val="21"/>
          <w:color w:val="auto"/>
        </w:rPr>
      </w:pPr>
    </w:p>
    <w:p>
      <w:pPr>
        <w:ind w:left="340" w:right="700" w:hanging="332"/>
        <w:spacing w:after="0" w:line="236"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color w:val="auto"/>
        </w:rPr>
        <w:t>Participant’s base compensation shall be the Participant’s salary on March 1 of the applicable Performance Period, rounded to the nearest whole dollar.</w:t>
      </w:r>
    </w:p>
    <w:p>
      <w:pPr>
        <w:spacing w:after="0" w:line="150" w:lineRule="exact"/>
        <w:rPr>
          <w:rFonts w:ascii="Arial" w:cs="Arial" w:eastAsia="Arial" w:hAnsi="Arial"/>
          <w:sz w:val="22"/>
          <w:szCs w:val="22"/>
          <w:color w:val="auto"/>
        </w:rPr>
      </w:pPr>
    </w:p>
    <w:p>
      <w:pPr>
        <w:ind w:left="340" w:right="280" w:hanging="332"/>
        <w:spacing w:after="0" w:line="236"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Participants in the Program are listed on Exhibit B on file with the Committee, which identifies each Participant’s title and Company operating unit, and Target Percentage for the applicable Performance Period.</w:t>
      </w:r>
    </w:p>
    <w:p>
      <w:pPr>
        <w:spacing w:after="0" w:line="150" w:lineRule="exact"/>
        <w:rPr>
          <w:rFonts w:ascii="Arial" w:cs="Arial" w:eastAsia="Arial" w:hAnsi="Arial"/>
          <w:sz w:val="22"/>
          <w:szCs w:val="22"/>
          <w:color w:val="auto"/>
        </w:rPr>
      </w:pPr>
    </w:p>
    <w:p>
      <w:pPr>
        <w:ind w:left="340" w:right="260" w:hanging="332"/>
        <w:spacing w:after="0" w:line="220"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Participant’s right, if any, to receive payout of an Award, if earned, shall be contingent upon Participant having executed a Confidentiality, Intellectual Property and Non-Compete Agreement in a form satisfactory to the Committee. Further, in order to receive any payout of an Award, the Participant must have begun employment with the Company by October 1 of the Program’s Performance Period.</w:t>
      </w:r>
    </w:p>
    <w:p>
      <w:pPr>
        <w:spacing w:after="0" w:line="152" w:lineRule="exact"/>
        <w:rPr>
          <w:rFonts w:ascii="Arial" w:cs="Arial" w:eastAsia="Arial" w:hAnsi="Arial"/>
          <w:sz w:val="22"/>
          <w:szCs w:val="22"/>
          <w:color w:val="auto"/>
        </w:rPr>
      </w:pPr>
    </w:p>
    <w:p>
      <w:pPr>
        <w:ind w:left="340" w:right="280" w:hanging="332"/>
        <w:spacing w:after="0" w:line="217" w:lineRule="auto"/>
        <w:tabs>
          <w:tab w:leader="none" w:pos="339"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the event a Participant changes from one position to another position or is promoted into one of the positions approved by the Committee during the Performance Period, the Target Percentage and base compensation for such Participant shall be pro-rated as applicable to each position held during the Performance Period, and such Award will be determined on the pro-rated basis based on the number of full months employed during the Performance Period.</w:t>
      </w:r>
    </w:p>
    <w:p>
      <w:pPr>
        <w:spacing w:after="0" w:line="152" w:lineRule="exact"/>
        <w:rPr>
          <w:rFonts w:ascii="Arial" w:cs="Arial" w:eastAsia="Arial" w:hAnsi="Arial"/>
          <w:sz w:val="22"/>
          <w:szCs w:val="22"/>
          <w:color w:val="auto"/>
        </w:rPr>
      </w:pPr>
    </w:p>
    <w:p>
      <w:pPr>
        <w:ind w:left="340" w:right="40" w:hanging="332"/>
        <w:spacing w:after="0" w:line="220" w:lineRule="auto"/>
        <w:tabs>
          <w:tab w:leader="none" w:pos="331"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order to be eligible to receive any payout of an Award, if earned, a Participant must be actively employed by the Company on the date the Award is paid. In no event is a Participant entitled to any pro-rata payment of an Award under the terms of this Program, except to the extent the Board has approved a Participant’s retirement or termination from the Company, in which case the Committee may</w:t>
      </w:r>
    </w:p>
    <w:p>
      <w:pPr>
        <w:sectPr>
          <w:pgSz w:w="11900" w:h="16838" w:orient="portrait"/>
          <w:cols w:equalWidth="0" w:num="1">
            <w:col w:w="11240"/>
          </w:cols>
          <w:pgMar w:left="320" w:top="104" w:right="339" w:bottom="1440" w:gutter="0" w:footer="0" w:header="0"/>
        </w:sectPr>
      </w:pPr>
    </w:p>
    <w:bookmarkStart w:id="27" w:name="page28"/>
    <w:bookmarkEnd w:id="27"/>
    <w:p>
      <w:pPr>
        <w:ind w:left="340" w:right="220"/>
        <w:spacing w:after="0" w:line="236" w:lineRule="auto"/>
        <w:rPr>
          <w:sz w:val="20"/>
          <w:szCs w:val="20"/>
          <w:color w:val="auto"/>
        </w:rPr>
      </w:pPr>
      <w:r>
        <w:rPr>
          <w:rFonts w:ascii="Arial" w:cs="Arial" w:eastAsia="Arial" w:hAnsi="Arial"/>
          <w:sz w:val="22"/>
          <w:szCs w:val="22"/>
          <w:color w:val="auto"/>
        </w:rPr>
        <w:t>provide a pro-rata payment based on the Participant’s active employment before the Board-approved retirement or termination.</w:t>
      </w:r>
    </w:p>
    <w:p>
      <w:pPr>
        <w:spacing w:after="0" w:line="134"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CALCULATING PAYOUT OF AWARDS</w:t>
      </w:r>
    </w:p>
    <w:p>
      <w:pPr>
        <w:spacing w:after="0"/>
        <w:rPr>
          <w:sz w:val="20"/>
          <w:szCs w:val="20"/>
          <w:color w:val="auto"/>
        </w:rPr>
      </w:pPr>
      <w:r>
        <w:rPr>
          <w:rFonts w:ascii="Arial" w:cs="Arial" w:eastAsia="Arial" w:hAnsi="Arial"/>
          <w:sz w:val="22"/>
          <w:szCs w:val="22"/>
          <w:color w:val="auto"/>
        </w:rPr>
        <w:t>The payout of Awards shall be calculated as set forth below:</w:t>
      </w:r>
    </w:p>
    <w:p>
      <w:pPr>
        <w:spacing w:after="0" w:line="186" w:lineRule="exact"/>
        <w:rPr>
          <w:sz w:val="20"/>
          <w:szCs w:val="20"/>
          <w:color w:val="auto"/>
        </w:rPr>
      </w:pPr>
    </w:p>
    <w:p>
      <w:pPr>
        <w:ind w:left="340" w:hanging="332"/>
        <w:spacing w:after="0" w:line="236" w:lineRule="auto"/>
        <w:tabs>
          <w:tab w:leader="none" w:pos="331"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Participant’s Award shall be determined and allocated by multiplying the Award by the Company’s adjusted level of attainment of the financial Performance Measures identified below, weighted as shown below:</w:t>
      </w:r>
    </w:p>
    <w:p>
      <w:pPr>
        <w:spacing w:after="0" w:line="197" w:lineRule="exact"/>
        <w:rPr>
          <w:sz w:val="20"/>
          <w:szCs w:val="20"/>
          <w:color w:val="auto"/>
        </w:rPr>
      </w:pPr>
    </w:p>
    <w:tbl>
      <w:tblPr>
        <w:tblLayout w:type="fixed"/>
        <w:tblInd w:w="190" w:type="dxa"/>
        <w:tblCellMar>
          <w:top w:w="0" w:type="dxa"/>
          <w:left w:w="0" w:type="dxa"/>
          <w:bottom w:w="0" w:type="dxa"/>
          <w:right w:w="0" w:type="dxa"/>
        </w:tblCellMar>
      </w:tblPr>
      <w:tr>
        <w:trPr>
          <w:trHeight w:val="176"/>
        </w:trPr>
        <w:tc>
          <w:tcPr>
            <w:tcW w:w="3580" w:type="dxa"/>
            <w:vAlign w:val="bottom"/>
            <w:tcBorders>
              <w:top w:val="single" w:sz="8" w:color="auto"/>
              <w:left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18"/>
                <w:szCs w:val="18"/>
                <w:b w:val="1"/>
                <w:bCs w:val="1"/>
                <w:color w:val="auto"/>
                <w:w w:val="99"/>
              </w:rPr>
              <w:t>Performance Measure</w:t>
            </w:r>
          </w:p>
        </w:tc>
        <w:tc>
          <w:tcPr>
            <w:tcW w:w="3540" w:type="dxa"/>
            <w:vAlign w:val="bottom"/>
            <w:tcBorders>
              <w:top w:val="single" w:sz="8" w:color="auto"/>
              <w:right w:val="single" w:sz="8" w:color="auto"/>
            </w:tcBorders>
            <w:shd w:val="clear" w:color="auto" w:fill="C6D9F0"/>
          </w:tcPr>
          <w:p>
            <w:pPr>
              <w:jc w:val="center"/>
              <w:spacing w:after="0" w:line="175" w:lineRule="exact"/>
              <w:rPr>
                <w:sz w:val="20"/>
                <w:szCs w:val="20"/>
                <w:color w:val="auto"/>
              </w:rPr>
            </w:pPr>
            <w:r>
              <w:rPr>
                <w:rFonts w:ascii="Arial" w:cs="Arial" w:eastAsia="Arial" w:hAnsi="Arial"/>
                <w:sz w:val="16"/>
                <w:szCs w:val="16"/>
                <w:b w:val="1"/>
                <w:bCs w:val="1"/>
                <w:color w:val="auto"/>
              </w:rPr>
              <w:t>CEO, CFO; CGO</w:t>
            </w:r>
          </w:p>
        </w:tc>
        <w:tc>
          <w:tcPr>
            <w:tcW w:w="3520" w:type="dxa"/>
            <w:vAlign w:val="bottom"/>
            <w:tcBorders>
              <w:top w:val="single" w:sz="8" w:color="auto"/>
              <w:right w:val="single" w:sz="8" w:color="auto"/>
            </w:tcBorders>
            <w:vMerge w:val="restart"/>
            <w:shd w:val="clear" w:color="auto" w:fill="C6D9F0"/>
          </w:tcPr>
          <w:p>
            <w:pPr>
              <w:jc w:val="center"/>
              <w:spacing w:after="0"/>
              <w:rPr>
                <w:sz w:val="20"/>
                <w:szCs w:val="20"/>
                <w:color w:val="auto"/>
              </w:rPr>
            </w:pPr>
            <w:r>
              <w:rPr>
                <w:rFonts w:ascii="Arial" w:cs="Arial" w:eastAsia="Arial" w:hAnsi="Arial"/>
                <w:sz w:val="16"/>
                <w:szCs w:val="16"/>
                <w:b w:val="1"/>
                <w:bCs w:val="1"/>
                <w:color w:val="auto"/>
              </w:rPr>
              <w:t>Executive SVPs or VPs Responsible for</w:t>
            </w:r>
          </w:p>
        </w:tc>
        <w:tc>
          <w:tcPr>
            <w:tcW w:w="0" w:type="dxa"/>
            <w:vAlign w:val="bottom"/>
          </w:tcPr>
          <w:p>
            <w:pPr>
              <w:spacing w:after="0"/>
              <w:rPr>
                <w:sz w:val="1"/>
                <w:szCs w:val="1"/>
                <w:color w:val="auto"/>
              </w:rPr>
            </w:pPr>
          </w:p>
        </w:tc>
      </w:tr>
      <w:tr>
        <w:trPr>
          <w:trHeight w:val="162"/>
        </w:trPr>
        <w:tc>
          <w:tcPr>
            <w:tcW w:w="3580" w:type="dxa"/>
            <w:vAlign w:val="bottom"/>
            <w:tcBorders>
              <w:left w:val="single" w:sz="8" w:color="auto"/>
              <w:right w:val="single" w:sz="8" w:color="auto"/>
            </w:tcBorders>
            <w:vMerge w:val="continue"/>
            <w:shd w:val="clear" w:color="auto" w:fill="C6D9F0"/>
          </w:tcPr>
          <w:p>
            <w:pPr>
              <w:spacing w:after="0"/>
              <w:rPr>
                <w:sz w:val="14"/>
                <w:szCs w:val="14"/>
                <w:color w:val="auto"/>
              </w:rPr>
            </w:pPr>
          </w:p>
        </w:tc>
        <w:tc>
          <w:tcPr>
            <w:tcW w:w="3540" w:type="dxa"/>
            <w:vAlign w:val="bottom"/>
            <w:tcBorders>
              <w:right w:val="single" w:sz="8" w:color="auto"/>
            </w:tcBorders>
            <w:shd w:val="clear" w:color="auto" w:fill="C6D9F0"/>
          </w:tcPr>
          <w:p>
            <w:pPr>
              <w:jc w:val="center"/>
              <w:spacing w:after="0" w:line="162" w:lineRule="exact"/>
              <w:rPr>
                <w:sz w:val="20"/>
                <w:szCs w:val="20"/>
                <w:color w:val="auto"/>
              </w:rPr>
            </w:pPr>
            <w:r>
              <w:rPr>
                <w:rFonts w:ascii="Arial" w:cs="Arial" w:eastAsia="Arial" w:hAnsi="Arial"/>
                <w:sz w:val="16"/>
                <w:szCs w:val="16"/>
                <w:b w:val="1"/>
                <w:bCs w:val="1"/>
                <w:color w:val="auto"/>
              </w:rPr>
              <w:t>SVP, HR &amp; Admin; SVP &amp; General Counsel;</w:t>
            </w:r>
          </w:p>
        </w:tc>
        <w:tc>
          <w:tcPr>
            <w:tcW w:w="3520" w:type="dxa"/>
            <w:vAlign w:val="bottom"/>
            <w:tcBorders>
              <w:right w:val="single" w:sz="8" w:color="auto"/>
            </w:tcBorders>
            <w:vMerge w:val="continue"/>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Borders>
              <w:left w:val="single" w:sz="8" w:color="auto"/>
              <w:bottom w:val="single" w:sz="8" w:color="auto"/>
              <w:right w:val="single" w:sz="8" w:color="auto"/>
            </w:tcBorders>
            <w:shd w:val="clear" w:color="auto" w:fill="C6D9F0"/>
          </w:tcPr>
          <w:p>
            <w:pPr>
              <w:spacing w:after="0"/>
              <w:rPr>
                <w:sz w:val="18"/>
                <w:szCs w:val="18"/>
                <w:color w:val="auto"/>
              </w:rPr>
            </w:pPr>
          </w:p>
        </w:tc>
        <w:tc>
          <w:tcPr>
            <w:tcW w:w="354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b w:val="1"/>
                <w:bCs w:val="1"/>
                <w:color w:val="auto"/>
              </w:rPr>
              <w:t>and Controller &amp; CAO</w:t>
            </w:r>
          </w:p>
        </w:tc>
        <w:tc>
          <w:tcPr>
            <w:tcW w:w="352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b w:val="1"/>
                <w:bCs w:val="1"/>
                <w:color w:val="auto"/>
              </w:rPr>
              <w:t>Operating Unit(s</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Corporate Adjusted EBITDA</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Corporate Working Capital</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Operating Unit Adjusted EBITDA</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349"/>
        </w:trPr>
        <w:tc>
          <w:tcPr>
            <w:tcW w:w="3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Operating Unit Working Capital</w:t>
            </w: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17"/>
        </w:trPr>
        <w:tc>
          <w:tcPr>
            <w:tcW w:w="35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54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40" w:right="20" w:hanging="332"/>
        <w:spacing w:after="0" w:line="217" w:lineRule="auto"/>
        <w:tabs>
          <w:tab w:leader="none" w:pos="331"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amount of an Award shall be calculated and adjusted upward or downward based on the level of attainment of the above Performance Measures, Adjusted EBITDA (Corporate and Operating Unit), and Working Capital (Corporate and Operating Unit), utilizing the targets as set forth in the tables below. (Tables shown below describe targets for the Consolidated Corporate Group. Targets for the business groups are shown in Exhibit A.) Straight-line interpolation will be used to determine the achievement between each level.</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Adjusted EBITDA Multiplier </w:t>
      </w:r>
      <w:r>
        <w:rPr>
          <w:rFonts w:ascii="Arial" w:cs="Arial" w:eastAsia="Arial" w:hAnsi="Arial"/>
          <w:sz w:val="28"/>
          <w:szCs w:val="28"/>
          <w:b w:val="1"/>
          <w:bCs w:val="1"/>
          <w:color w:val="auto"/>
          <w:vertAlign w:val="superscript"/>
        </w:rPr>
        <w:t>1</w:t>
      </w:r>
    </w:p>
    <w:tbl>
      <w:tblPr>
        <w:tblLayout w:type="fixed"/>
        <w:tblInd w:w="1410" w:type="dxa"/>
        <w:tblCellMar>
          <w:top w:w="0" w:type="dxa"/>
          <w:left w:w="0" w:type="dxa"/>
          <w:bottom w:w="0" w:type="dxa"/>
          <w:right w:w="0" w:type="dxa"/>
        </w:tblCellMar>
      </w:tblPr>
      <w:tr>
        <w:trPr>
          <w:trHeight w:val="186"/>
        </w:trPr>
        <w:tc>
          <w:tcPr>
            <w:tcW w:w="3520" w:type="dxa"/>
            <w:vAlign w:val="bottom"/>
            <w:tcBorders>
              <w:top w:val="single" w:sz="8" w:color="auto"/>
              <w:left w:val="single" w:sz="8" w:color="auto"/>
              <w:right w:val="single" w:sz="8" w:color="auto"/>
            </w:tcBorders>
            <w:shd w:val="clear" w:color="auto" w:fill="C6D9F0"/>
          </w:tcPr>
          <w:p>
            <w:pPr>
              <w:jc w:val="center"/>
              <w:spacing w:after="0" w:line="185" w:lineRule="exact"/>
              <w:rPr>
                <w:sz w:val="20"/>
                <w:szCs w:val="20"/>
                <w:color w:val="auto"/>
              </w:rPr>
            </w:pPr>
            <w:r>
              <w:rPr>
                <w:rFonts w:ascii="Arial" w:cs="Arial" w:eastAsia="Arial" w:hAnsi="Arial"/>
                <w:sz w:val="20"/>
                <w:szCs w:val="20"/>
                <w:b w:val="1"/>
                <w:bCs w:val="1"/>
                <w:color w:val="auto"/>
                <w:w w:val="98"/>
              </w:rPr>
              <w:t>Target</w:t>
            </w:r>
          </w:p>
        </w:tc>
        <w:tc>
          <w:tcPr>
            <w:tcW w:w="3200" w:type="dxa"/>
            <w:vAlign w:val="bottom"/>
            <w:tcBorders>
              <w:top w:val="single" w:sz="8" w:color="auto"/>
              <w:right w:val="single" w:sz="8" w:color="auto"/>
            </w:tcBorders>
            <w:shd w:val="clear" w:color="auto" w:fill="C6D9F0"/>
          </w:tcPr>
          <w:p>
            <w:pPr>
              <w:ind w:left="1160"/>
              <w:spacing w:after="0" w:line="185" w:lineRule="exact"/>
              <w:rPr>
                <w:sz w:val="20"/>
                <w:szCs w:val="20"/>
                <w:color w:val="auto"/>
              </w:rPr>
            </w:pPr>
            <w:r>
              <w:rPr>
                <w:rFonts w:ascii="Arial" w:cs="Arial" w:eastAsia="Arial" w:hAnsi="Arial"/>
                <w:sz w:val="20"/>
                <w:szCs w:val="20"/>
                <w:b w:val="1"/>
                <w:bCs w:val="1"/>
                <w:color w:val="auto"/>
              </w:rPr>
              <w:t>Multiplier</w:t>
            </w:r>
          </w:p>
        </w:tc>
      </w:tr>
      <w:tr>
        <w:trPr>
          <w:trHeight w:val="253"/>
        </w:trPr>
        <w:tc>
          <w:tcPr>
            <w:tcW w:w="3520" w:type="dxa"/>
            <w:vAlign w:val="bottom"/>
            <w:tcBorders>
              <w:left w:val="single" w:sz="8" w:color="auto"/>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20"/>
                <w:szCs w:val="20"/>
                <w:b w:val="1"/>
                <w:bCs w:val="1"/>
                <w:color w:val="auto"/>
                <w:w w:val="99"/>
              </w:rPr>
              <w:t>Adjusted EBITDA</w:t>
            </w:r>
          </w:p>
        </w:tc>
        <w:tc>
          <w:tcPr>
            <w:tcW w:w="3200" w:type="dxa"/>
            <w:vAlign w:val="bottom"/>
            <w:tcBorders>
              <w:bottom w:val="single" w:sz="8" w:color="auto"/>
              <w:right w:val="single" w:sz="8" w:color="auto"/>
            </w:tcBorders>
            <w:shd w:val="clear" w:color="auto" w:fill="C6D9F0"/>
          </w:tcPr>
          <w:p>
            <w:pPr>
              <w:spacing w:after="0"/>
              <w:rPr>
                <w:sz w:val="22"/>
                <w:szCs w:val="22"/>
                <w:color w:val="auto"/>
              </w:rPr>
            </w:pP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$32,000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r>
        <w:trPr>
          <w:trHeight w:val="250"/>
        </w:trPr>
        <w:tc>
          <w:tcPr>
            <w:tcW w:w="3520" w:type="dxa"/>
            <w:vAlign w:val="bottom"/>
            <w:tcBorders>
              <w:left w:val="single" w:sz="8" w:color="auto"/>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9"/>
              </w:rPr>
              <w:t>$26,400</w:t>
            </w:r>
          </w:p>
        </w:tc>
        <w:tc>
          <w:tcPr>
            <w:tcW w:w="3200" w:type="dxa"/>
            <w:vAlign w:val="bottom"/>
            <w:tcBorders>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7"/>
              </w:rPr>
              <w:t>100%</w:t>
            </w: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$21,120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5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Less than $21,120</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410" w:type="dxa"/>
        <w:tblCellMar>
          <w:top w:w="0" w:type="dxa"/>
          <w:left w:w="0" w:type="dxa"/>
          <w:bottom w:w="0" w:type="dxa"/>
          <w:right w:w="0" w:type="dxa"/>
        </w:tblCellMar>
      </w:tblPr>
      <w:tr>
        <w:trPr>
          <w:trHeight w:val="322"/>
        </w:trPr>
        <w:tc>
          <w:tcPr>
            <w:tcW w:w="30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ind w:left="260"/>
              <w:spacing w:after="0"/>
              <w:rPr>
                <w:sz w:val="20"/>
                <w:szCs w:val="20"/>
                <w:color w:val="auto"/>
              </w:rPr>
            </w:pPr>
            <w:r>
              <w:rPr>
                <w:rFonts w:ascii="Arial" w:cs="Arial" w:eastAsia="Arial" w:hAnsi="Arial"/>
                <w:sz w:val="22"/>
                <w:szCs w:val="22"/>
                <w:b w:val="1"/>
                <w:bCs w:val="1"/>
                <w:color w:val="auto"/>
              </w:rPr>
              <w:t xml:space="preserve">Working Capital </w:t>
            </w:r>
            <w:r>
              <w:rPr>
                <w:rFonts w:ascii="Arial" w:cs="Arial" w:eastAsia="Arial" w:hAnsi="Arial"/>
                <w:sz w:val="28"/>
                <w:szCs w:val="28"/>
                <w:b w:val="1"/>
                <w:bCs w:val="1"/>
                <w:color w:val="auto"/>
                <w:vertAlign w:val="superscript"/>
              </w:rPr>
              <w:t>1</w:t>
            </w:r>
          </w:p>
        </w:tc>
      </w:tr>
      <w:tr>
        <w:trPr>
          <w:trHeight w:val="250"/>
        </w:trPr>
        <w:tc>
          <w:tcPr>
            <w:tcW w:w="3080" w:type="dxa"/>
            <w:vAlign w:val="bottom"/>
            <w:tcBorders>
              <w:left w:val="single" w:sz="8" w:color="auto"/>
              <w:bottom w:val="single" w:sz="8" w:color="auto"/>
            </w:tcBorders>
            <w:shd w:val="clear" w:color="auto" w:fill="C6D9F0"/>
          </w:tcPr>
          <w:p>
            <w:pPr>
              <w:jc w:val="center"/>
              <w:ind w:left="341"/>
              <w:spacing w:after="0"/>
              <w:rPr>
                <w:sz w:val="20"/>
                <w:szCs w:val="20"/>
                <w:color w:val="auto"/>
              </w:rPr>
            </w:pPr>
            <w:r>
              <w:rPr>
                <w:rFonts w:ascii="Arial" w:cs="Arial" w:eastAsia="Arial" w:hAnsi="Arial"/>
                <w:sz w:val="20"/>
                <w:szCs w:val="20"/>
                <w:b w:val="1"/>
                <w:bCs w:val="1"/>
                <w:color w:val="auto"/>
                <w:w w:val="98"/>
              </w:rPr>
              <w:t>Target Working Capital</w:t>
            </w:r>
          </w:p>
        </w:tc>
        <w:tc>
          <w:tcPr>
            <w:tcW w:w="440" w:type="dxa"/>
            <w:vAlign w:val="bottom"/>
            <w:tcBorders>
              <w:bottom w:val="single" w:sz="8" w:color="auto"/>
              <w:right w:val="single" w:sz="8" w:color="auto"/>
            </w:tcBorders>
            <w:shd w:val="clear" w:color="auto" w:fill="C6D9F0"/>
          </w:tcPr>
          <w:p>
            <w:pPr>
              <w:spacing w:after="0"/>
              <w:rPr>
                <w:sz w:val="21"/>
                <w:szCs w:val="21"/>
                <w:color w:val="auto"/>
              </w:rPr>
            </w:pPr>
          </w:p>
        </w:tc>
        <w:tc>
          <w:tcPr>
            <w:tcW w:w="3200" w:type="dxa"/>
            <w:vAlign w:val="bottom"/>
            <w:tcBorders>
              <w:bottom w:val="single" w:sz="8" w:color="auto"/>
              <w:right w:val="single" w:sz="8" w:color="auto"/>
            </w:tcBorders>
            <w:shd w:val="clear" w:color="auto" w:fill="C6D9F0"/>
          </w:tcPr>
          <w:p>
            <w:pPr>
              <w:spacing w:after="0"/>
              <w:rPr>
                <w:sz w:val="21"/>
                <w:szCs w:val="21"/>
                <w:color w:val="auto"/>
              </w:rPr>
            </w:pPr>
          </w:p>
        </w:tc>
      </w:tr>
      <w:tr>
        <w:trPr>
          <w:trHeight w:val="250"/>
        </w:trPr>
        <w:tc>
          <w:tcPr>
            <w:tcW w:w="3080" w:type="dxa"/>
            <w:vAlign w:val="bottom"/>
            <w:tcBorders>
              <w:left w:val="single" w:sz="8" w:color="auto"/>
              <w:bottom w:val="single" w:sz="8" w:color="auto"/>
            </w:tcBorders>
          </w:tcPr>
          <w:p>
            <w:pPr>
              <w:jc w:val="center"/>
              <w:ind w:left="341"/>
              <w:spacing w:after="0"/>
              <w:rPr>
                <w:sz w:val="20"/>
                <w:szCs w:val="20"/>
                <w:color w:val="auto"/>
              </w:rPr>
            </w:pPr>
            <w:r>
              <w:rPr>
                <w:rFonts w:ascii="Arial" w:cs="Arial" w:eastAsia="Arial" w:hAnsi="Arial"/>
                <w:sz w:val="20"/>
                <w:szCs w:val="20"/>
                <w:color w:val="auto"/>
                <w:w w:val="98"/>
              </w:rPr>
              <w:t>20.7%</w:t>
            </w:r>
          </w:p>
        </w:tc>
        <w:tc>
          <w:tcPr>
            <w:tcW w:w="4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r>
        <w:trPr>
          <w:trHeight w:val="250"/>
        </w:trPr>
        <w:tc>
          <w:tcPr>
            <w:tcW w:w="3080" w:type="dxa"/>
            <w:vAlign w:val="bottom"/>
            <w:tcBorders>
              <w:left w:val="single" w:sz="8" w:color="auto"/>
              <w:bottom w:val="single" w:sz="8" w:color="auto"/>
            </w:tcBorders>
            <w:shd w:val="clear" w:color="auto" w:fill="92D050"/>
          </w:tcPr>
          <w:p>
            <w:pPr>
              <w:jc w:val="center"/>
              <w:ind w:left="341"/>
              <w:spacing w:after="0"/>
              <w:rPr>
                <w:sz w:val="20"/>
                <w:szCs w:val="20"/>
                <w:color w:val="auto"/>
              </w:rPr>
            </w:pPr>
            <w:r>
              <w:rPr>
                <w:rFonts w:ascii="Arial" w:cs="Arial" w:eastAsia="Arial" w:hAnsi="Arial"/>
                <w:sz w:val="20"/>
                <w:szCs w:val="20"/>
                <w:color w:val="auto"/>
                <w:w w:val="98"/>
              </w:rPr>
              <w:t>21.4%</w:t>
            </w:r>
          </w:p>
        </w:tc>
        <w:tc>
          <w:tcPr>
            <w:tcW w:w="440" w:type="dxa"/>
            <w:vAlign w:val="bottom"/>
            <w:tcBorders>
              <w:bottom w:val="single" w:sz="8" w:color="auto"/>
              <w:right w:val="single" w:sz="8" w:color="auto"/>
            </w:tcBorders>
            <w:shd w:val="clear" w:color="auto" w:fill="92D050"/>
          </w:tcPr>
          <w:p>
            <w:pPr>
              <w:spacing w:after="0"/>
              <w:rPr>
                <w:sz w:val="21"/>
                <w:szCs w:val="21"/>
                <w:color w:val="auto"/>
              </w:rPr>
            </w:pPr>
          </w:p>
        </w:tc>
        <w:tc>
          <w:tcPr>
            <w:tcW w:w="3200" w:type="dxa"/>
            <w:vAlign w:val="bottom"/>
            <w:tcBorders>
              <w:bottom w:val="single" w:sz="8" w:color="auto"/>
              <w:right w:val="single" w:sz="8" w:color="auto"/>
            </w:tcBorders>
            <w:shd w:val="clear" w:color="auto" w:fill="92D050"/>
          </w:tcPr>
          <w:p>
            <w:pPr>
              <w:jc w:val="center"/>
              <w:spacing w:after="0"/>
              <w:rPr>
                <w:sz w:val="20"/>
                <w:szCs w:val="20"/>
                <w:color w:val="auto"/>
              </w:rPr>
            </w:pPr>
            <w:r>
              <w:rPr>
                <w:rFonts w:ascii="Arial" w:cs="Arial" w:eastAsia="Arial" w:hAnsi="Arial"/>
                <w:sz w:val="20"/>
                <w:szCs w:val="20"/>
                <w:color w:val="auto"/>
                <w:w w:val="97"/>
              </w:rPr>
              <w:t>100%</w:t>
            </w:r>
          </w:p>
        </w:tc>
      </w:tr>
      <w:tr>
        <w:trPr>
          <w:trHeight w:val="250"/>
        </w:trPr>
        <w:tc>
          <w:tcPr>
            <w:tcW w:w="3080" w:type="dxa"/>
            <w:vAlign w:val="bottom"/>
            <w:tcBorders>
              <w:left w:val="single" w:sz="8" w:color="auto"/>
              <w:bottom w:val="single" w:sz="8" w:color="auto"/>
            </w:tcBorders>
          </w:tcPr>
          <w:p>
            <w:pPr>
              <w:jc w:val="center"/>
              <w:ind w:left="341"/>
              <w:spacing w:after="0"/>
              <w:rPr>
                <w:sz w:val="20"/>
                <w:szCs w:val="20"/>
                <w:color w:val="auto"/>
              </w:rPr>
            </w:pPr>
            <w:r>
              <w:rPr>
                <w:rFonts w:ascii="Arial" w:cs="Arial" w:eastAsia="Arial" w:hAnsi="Arial"/>
                <w:sz w:val="20"/>
                <w:szCs w:val="20"/>
                <w:color w:val="auto"/>
                <w:w w:val="98"/>
              </w:rPr>
              <w:t>21.8%</w:t>
            </w:r>
          </w:p>
        </w:tc>
        <w:tc>
          <w:tcPr>
            <w:tcW w:w="4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50"/>
        </w:trPr>
        <w:tc>
          <w:tcPr>
            <w:tcW w:w="3080" w:type="dxa"/>
            <w:vAlign w:val="bottom"/>
            <w:tcBorders>
              <w:left w:val="single" w:sz="8" w:color="auto"/>
              <w:bottom w:val="single" w:sz="8" w:color="auto"/>
            </w:tcBorders>
          </w:tcPr>
          <w:p>
            <w:pPr>
              <w:jc w:val="center"/>
              <w:ind w:left="341"/>
              <w:spacing w:after="0"/>
              <w:rPr>
                <w:sz w:val="20"/>
                <w:szCs w:val="20"/>
                <w:color w:val="auto"/>
              </w:rPr>
            </w:pPr>
            <w:r>
              <w:rPr>
                <w:rFonts w:ascii="Arial" w:cs="Arial" w:eastAsia="Arial" w:hAnsi="Arial"/>
                <w:sz w:val="20"/>
                <w:szCs w:val="20"/>
                <w:color w:val="auto"/>
                <w:w w:val="98"/>
              </w:rPr>
              <w:t>Greater than 21.8%</w:t>
            </w:r>
          </w:p>
        </w:tc>
        <w:tc>
          <w:tcPr>
            <w:tcW w:w="440" w:type="dxa"/>
            <w:vAlign w:val="bottom"/>
            <w:tcBorders>
              <w:bottom w:val="single" w:sz="8" w:color="auto"/>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bl>
    <w:p>
      <w:pPr>
        <w:spacing w:after="0" w:line="219" w:lineRule="exact"/>
        <w:rPr>
          <w:sz w:val="20"/>
          <w:szCs w:val="20"/>
          <w:color w:val="auto"/>
        </w:rPr>
      </w:pPr>
    </w:p>
    <w:p>
      <w:pPr>
        <w:ind w:left="1400" w:hanging="96"/>
        <w:spacing w:after="0"/>
        <w:tabs>
          <w:tab w:leader="none" w:pos="1400" w:val="left"/>
        </w:tabs>
        <w:numPr>
          <w:ilvl w:val="1"/>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Targets and Multipliers for Business Groups are shown on Exhibit A, on file with the Committee</w:t>
      </w:r>
    </w:p>
    <w:p>
      <w:pPr>
        <w:spacing w:after="0" w:line="116" w:lineRule="exact"/>
        <w:rPr>
          <w:rFonts w:ascii="Arial" w:cs="Arial" w:eastAsia="Arial" w:hAnsi="Arial"/>
          <w:sz w:val="19"/>
          <w:szCs w:val="19"/>
          <w:i w:val="1"/>
          <w:iCs w:val="1"/>
          <w:color w:val="auto"/>
          <w:vertAlign w:val="superscript"/>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Individual payout targets are shown on Exhibit B, on file with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396" w:right="359" w:bottom="1440" w:gutter="0" w:footer="0" w:header="0"/>
        </w:sectPr>
      </w:pPr>
    </w:p>
    <w:bookmarkStart w:id="28" w:name="page29"/>
    <w:bookmarkEnd w:id="28"/>
    <w:p>
      <w:pPr>
        <w:ind w:left="340" w:right="740" w:hanging="332"/>
        <w:spacing w:after="0" w:line="236" w:lineRule="auto"/>
        <w:tabs>
          <w:tab w:leader="none" w:pos="331" w:val="left"/>
        </w:tabs>
        <w:numPr>
          <w:ilvl w:val="0"/>
          <w:numId w:val="17"/>
        </w:numPr>
        <w:rPr>
          <w:rFonts w:ascii="Arial" w:cs="Arial" w:eastAsia="Arial" w:hAnsi="Arial"/>
          <w:sz w:val="22"/>
          <w:szCs w:val="22"/>
          <w:color w:val="auto"/>
        </w:rPr>
      </w:pPr>
      <w:r>
        <w:rPr>
          <w:rFonts w:ascii="Arial" w:cs="Arial" w:eastAsia="Arial" w:hAnsi="Arial"/>
          <w:sz w:val="22"/>
          <w:szCs w:val="22"/>
          <w:color w:val="auto"/>
        </w:rPr>
        <w:t>Operating results of an acquisition will be immediately included in the financial results, with Compensation Committee approval.</w:t>
      </w:r>
    </w:p>
    <w:p>
      <w:pPr>
        <w:spacing w:after="0" w:line="110" w:lineRule="exact"/>
        <w:rPr>
          <w:rFonts w:ascii="Arial" w:cs="Arial" w:eastAsia="Arial" w:hAnsi="Arial"/>
          <w:sz w:val="22"/>
          <w:szCs w:val="22"/>
          <w:color w:val="auto"/>
        </w:rPr>
      </w:pPr>
    </w:p>
    <w:p>
      <w:pPr>
        <w:ind w:left="340" w:right="100" w:hanging="332"/>
        <w:spacing w:after="0" w:line="236" w:lineRule="auto"/>
        <w:tabs>
          <w:tab w:leader="none" w:pos="331" w:val="left"/>
        </w:tabs>
        <w:numPr>
          <w:ilvl w:val="0"/>
          <w:numId w:val="17"/>
        </w:numPr>
        <w:rPr>
          <w:rFonts w:ascii="Arial" w:cs="Arial" w:eastAsia="Arial" w:hAnsi="Arial"/>
          <w:sz w:val="22"/>
          <w:szCs w:val="22"/>
          <w:color w:val="auto"/>
        </w:rPr>
      </w:pPr>
      <w:r>
        <w:rPr>
          <w:rFonts w:ascii="Arial" w:cs="Arial" w:eastAsia="Arial" w:hAnsi="Arial"/>
          <w:sz w:val="22"/>
          <w:szCs w:val="22"/>
          <w:color w:val="auto"/>
        </w:rPr>
        <w:t>Definitions of the Performance Measures and possible financial adjustments are noted on Schedule 1.0 attached hereto.</w:t>
      </w:r>
    </w:p>
    <w:p>
      <w:pPr>
        <w:spacing w:after="0" w:line="107"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RECOUPMENT</w:t>
      </w:r>
    </w:p>
    <w:p>
      <w:pPr>
        <w:spacing w:after="0" w:line="213" w:lineRule="auto"/>
        <w:rPr>
          <w:sz w:val="20"/>
          <w:szCs w:val="20"/>
          <w:color w:val="auto"/>
        </w:rPr>
      </w:pPr>
      <w:r>
        <w:rPr>
          <w:rFonts w:ascii="Arial" w:cs="Arial" w:eastAsia="Arial" w:hAnsi="Arial"/>
          <w:sz w:val="22"/>
          <w:szCs w:val="22"/>
          <w:color w:val="auto"/>
        </w:rPr>
        <w:t>All Awards granted hereunder are made subject to the L.B. Foster Executive Recoupment Policy which is incorporated herein by reference (the “Policy.”) The Policy provides for the clawback by the Company and repayment by the Participant of cash awards paid hereunder in the event of an accounting restatement applicable to any financial reporting period within the Performance Period due to noncompliance of the Company with any financial reporting requirement under the securities or other applicable laws.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b w:val="1"/>
          <w:bCs w:val="1"/>
          <w:u w:val="single" w:color="auto"/>
          <w:color w:val="auto"/>
        </w:rPr>
        <w:t>COMPENSATION COMMITTEE</w:t>
      </w:r>
    </w:p>
    <w:p>
      <w:pPr>
        <w:ind w:right="20"/>
        <w:spacing w:after="0" w:line="212" w:lineRule="auto"/>
        <w:rPr>
          <w:sz w:val="20"/>
          <w:szCs w:val="20"/>
          <w:color w:val="auto"/>
        </w:rPr>
      </w:pPr>
      <w:r>
        <w:rPr>
          <w:rFonts w:ascii="Arial" w:cs="Arial" w:eastAsia="Arial" w:hAnsi="Arial"/>
          <w:sz w:val="22"/>
          <w:szCs w:val="22"/>
          <w:color w:val="auto"/>
        </w:rPr>
        <w:t>As set forth in the ExIP document, the Compensation Committee retains all rights and discretion to modify, eliminate, or replace the ExIP and the Program at any time. The Committee will interpret and apply the ExIP and this Program at its discretion, and may adjust financial Performance Measures, weighting, and/or multipliers as it deems appropriate in its sole discretion, or increase, decrease, or eliminate any Award or payout hereunder. All determinations with respect to any Award shall be made by the Committee and shall be final, conclusive and binding on the Company, the Participant and any and all interested parties.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Chairman of the Compensation Committee hereby certifies, on behalf of the Committee, that the</w:t>
      </w:r>
    </w:p>
    <w:p>
      <w:pPr>
        <w:spacing w:after="0" w:line="204" w:lineRule="auto"/>
        <w:rPr>
          <w:sz w:val="20"/>
          <w:szCs w:val="20"/>
          <w:color w:val="auto"/>
        </w:rPr>
      </w:pPr>
      <w:r>
        <w:rPr>
          <w:rFonts w:ascii="Arial" w:cs="Arial" w:eastAsia="Arial" w:hAnsi="Arial"/>
          <w:sz w:val="22"/>
          <w:szCs w:val="22"/>
          <w:color w:val="auto"/>
        </w:rPr>
        <w:t>performance goals and other material terms applicable have been determined and approved at the Committee</w:t>
      </w:r>
    </w:p>
    <w:p>
      <w:pPr>
        <w:spacing w:after="0" w:line="205" w:lineRule="auto"/>
        <w:rPr>
          <w:sz w:val="20"/>
          <w:szCs w:val="20"/>
          <w:color w:val="auto"/>
        </w:rPr>
      </w:pPr>
      <w:r>
        <w:rPr>
          <w:rFonts w:ascii="Arial" w:cs="Arial" w:eastAsia="Arial" w:hAnsi="Arial"/>
          <w:sz w:val="22"/>
          <w:szCs w:val="22"/>
          <w:color w:val="auto"/>
        </w:rPr>
        <w:t>meeting held in February of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Program’s Performance Period.</w:t>
      </w:r>
    </w:p>
    <w:p>
      <w:pPr>
        <w:ind w:left="4440"/>
        <w:spacing w:after="0" w:line="229" w:lineRule="auto"/>
        <w:rPr>
          <w:sz w:val="20"/>
          <w:szCs w:val="20"/>
          <w:color w:val="auto"/>
        </w:rPr>
      </w:pPr>
      <w:r>
        <w:rPr>
          <w:rFonts w:ascii="Arial" w:cs="Arial" w:eastAsia="Arial" w:hAnsi="Arial"/>
          <w:sz w:val="18"/>
          <w:szCs w:val="18"/>
          <w:color w:val="auto"/>
        </w:rPr>
        <w:t>_____________________________</w:t>
      </w:r>
    </w:p>
    <w:p>
      <w:pPr>
        <w:ind w:left="4440"/>
        <w:spacing w:after="0" w:line="204" w:lineRule="auto"/>
        <w:rPr>
          <w:sz w:val="20"/>
          <w:szCs w:val="20"/>
          <w:color w:val="auto"/>
        </w:rPr>
      </w:pPr>
      <w:r>
        <w:rPr>
          <w:rFonts w:ascii="Arial" w:cs="Arial" w:eastAsia="Arial" w:hAnsi="Arial"/>
          <w:sz w:val="18"/>
          <w:szCs w:val="18"/>
          <w:color w:val="auto"/>
        </w:rPr>
        <w:t>John E. Kunz</w:t>
      </w:r>
    </w:p>
    <w:p>
      <w:pPr>
        <w:ind w:left="4440"/>
        <w:spacing w:after="0"/>
        <w:rPr>
          <w:sz w:val="20"/>
          <w:szCs w:val="20"/>
          <w:color w:val="auto"/>
        </w:rPr>
      </w:pPr>
      <w:r>
        <w:rPr>
          <w:rFonts w:ascii="Arial" w:cs="Arial" w:eastAsia="Arial" w:hAnsi="Arial"/>
          <w:sz w:val="18"/>
          <w:szCs w:val="18"/>
          <w:color w:val="auto"/>
        </w:rPr>
        <w:t>Chairman, Compensation Committee</w:t>
      </w:r>
    </w:p>
    <w:p>
      <w:pPr>
        <w:spacing w:after="0" w:line="1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_____________________________</w:t>
      </w:r>
    </w:p>
    <w:p>
      <w:pPr>
        <w:ind w:left="44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1396" w:right="419" w:bottom="1440" w:gutter="0" w:footer="0" w:header="0"/>
        </w:sectPr>
      </w:pPr>
    </w:p>
    <w:bookmarkStart w:id="29" w:name="page30"/>
    <w:bookmarkEnd w:id="29"/>
    <w:p>
      <w:pPr>
        <w:ind w:left="9920"/>
        <w:spacing w:after="0"/>
        <w:rPr>
          <w:sz w:val="20"/>
          <w:szCs w:val="20"/>
          <w:color w:val="auto"/>
        </w:rPr>
      </w:pPr>
      <w:r>
        <w:rPr>
          <w:rFonts w:ascii="Arial" w:cs="Arial" w:eastAsia="Arial" w:hAnsi="Arial"/>
          <w:sz w:val="21"/>
          <w:szCs w:val="21"/>
          <w:b w:val="1"/>
          <w:bCs w:val="1"/>
          <w:color w:val="auto"/>
        </w:rPr>
        <w:t>Schedule 1.0</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MEASURES AND ADJUSTMENTS</w:t>
      </w:r>
    </w:p>
    <w:p>
      <w:pPr>
        <w:spacing w:after="0" w:line="206" w:lineRule="exact"/>
        <w:rPr>
          <w:sz w:val="20"/>
          <w:szCs w:val="20"/>
          <w:color w:val="auto"/>
        </w:rPr>
      </w:pPr>
    </w:p>
    <w:p>
      <w:pPr>
        <w:ind w:right="160"/>
        <w:spacing w:after="0" w:line="218" w:lineRule="auto"/>
        <w:rPr>
          <w:sz w:val="20"/>
          <w:szCs w:val="20"/>
          <w:color w:val="auto"/>
        </w:rPr>
      </w:pPr>
      <w:r>
        <w:rPr>
          <w:rFonts w:ascii="Arial" w:cs="Arial" w:eastAsia="Arial" w:hAnsi="Arial"/>
          <w:sz w:val="22"/>
          <w:szCs w:val="22"/>
          <w:b w:val="1"/>
          <w:bCs w:val="1"/>
          <w:color w:val="auto"/>
        </w:rPr>
        <w:t xml:space="preserve">Adjusted Earnings Before Interest, Taxes, Depreciation and Amortization </w:t>
      </w:r>
      <w:r>
        <w:rPr>
          <w:rFonts w:ascii="Arial" w:cs="Arial" w:eastAsia="Arial" w:hAnsi="Arial"/>
          <w:sz w:val="22"/>
          <w:szCs w:val="22"/>
          <w:color w:val="auto"/>
        </w:rPr>
        <w:t>(Adjusted EBITDA): shall mean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Company or an Operating Unit, for the Fiscal Year (a) income from continuing operations; (b) plus income tax expense; (c) plus interest expense; (d) minus interest income; (e) plus depreciation expense; and (f) plus amortization expense; (g) plus and minus the adjustments below. Adjusted EBITDA is to be calculated including the effect of expense associated with the program.</w:t>
      </w:r>
    </w:p>
    <w:p>
      <w:pPr>
        <w:spacing w:after="0" w:line="174" w:lineRule="exact"/>
        <w:rPr>
          <w:sz w:val="20"/>
          <w:szCs w:val="20"/>
          <w:color w:val="auto"/>
        </w:rPr>
      </w:pPr>
    </w:p>
    <w:p>
      <w:pPr>
        <w:ind w:right="80"/>
        <w:spacing w:after="0" w:line="218" w:lineRule="auto"/>
        <w:rPr>
          <w:sz w:val="20"/>
          <w:szCs w:val="20"/>
          <w:color w:val="auto"/>
        </w:rPr>
      </w:pPr>
      <w:r>
        <w:rPr>
          <w:rFonts w:ascii="Arial" w:cs="Arial" w:eastAsia="Arial" w:hAnsi="Arial"/>
          <w:sz w:val="22"/>
          <w:szCs w:val="22"/>
          <w:b w:val="1"/>
          <w:bCs w:val="1"/>
          <w:color w:val="auto"/>
        </w:rPr>
        <w:t xml:space="preserve">Working Capital as a Percentage of Sales </w:t>
      </w:r>
      <w:r>
        <w:rPr>
          <w:rFonts w:ascii="Arial" w:cs="Arial" w:eastAsia="Arial" w:hAnsi="Arial"/>
          <w:sz w:val="22"/>
          <w:szCs w:val="22"/>
          <w:color w:val="auto"/>
        </w:rPr>
        <w:t>(“W/C as a % of Sales”): shall mean with respect to the Company, or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for an Operating Unit, for the Fiscal Year, the average monthly balances (in all cases calculated utilizing a 13-point average method) of Inventory, Contract Assets and Accounts Receivable less the average monthly balances of Accounts Payable and Deferred Revenue divided by annual net sales. Results shall be determined incorporating approved adjustments below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adjustments are guidelines subject to board approval.</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200" w:type="dxa"/>
            <w:vAlign w:val="bottom"/>
            <w:tcBorders>
              <w:top w:val="single" w:sz="8" w:color="auto"/>
              <w:left w:val="single" w:sz="8" w:color="auto"/>
              <w:right w:val="single" w:sz="8" w:color="auto"/>
            </w:tcBorders>
            <w:shd w:val="clear" w:color="auto" w:fill="FFFFCC"/>
          </w:tcPr>
          <w:p>
            <w:pPr>
              <w:ind w:left="80"/>
              <w:spacing w:after="0" w:line="216" w:lineRule="exact"/>
              <w:rPr>
                <w:sz w:val="20"/>
                <w:szCs w:val="20"/>
                <w:color w:val="auto"/>
              </w:rPr>
            </w:pPr>
            <w:r>
              <w:rPr>
                <w:rFonts w:ascii="Arial" w:cs="Arial" w:eastAsia="Arial" w:hAnsi="Arial"/>
                <w:sz w:val="22"/>
                <w:szCs w:val="22"/>
                <w:b w:val="1"/>
                <w:bCs w:val="1"/>
                <w:color w:val="auto"/>
              </w:rPr>
              <w:t>Adjustment Description</w:t>
            </w:r>
          </w:p>
        </w:tc>
        <w:tc>
          <w:tcPr>
            <w:tcW w:w="1540" w:type="dxa"/>
            <w:vAlign w:val="bottom"/>
            <w:tcBorders>
              <w:top w:val="single" w:sz="8" w:color="auto"/>
              <w:right w:val="single" w:sz="8" w:color="auto"/>
            </w:tcBorders>
            <w:shd w:val="clear" w:color="auto" w:fill="FFFFCC"/>
          </w:tcPr>
          <w:p>
            <w:pPr>
              <w:jc w:val="center"/>
              <w:spacing w:after="0" w:line="216" w:lineRule="exact"/>
              <w:rPr>
                <w:sz w:val="20"/>
                <w:szCs w:val="20"/>
                <w:color w:val="auto"/>
              </w:rPr>
            </w:pPr>
            <w:r>
              <w:rPr>
                <w:rFonts w:ascii="Arial" w:cs="Arial" w:eastAsia="Arial" w:hAnsi="Arial"/>
                <w:sz w:val="22"/>
                <w:szCs w:val="22"/>
                <w:color w:val="auto"/>
                <w:w w:val="98"/>
              </w:rPr>
              <w:t>Adjusted</w:t>
            </w:r>
          </w:p>
        </w:tc>
        <w:tc>
          <w:tcPr>
            <w:tcW w:w="1520" w:type="dxa"/>
            <w:vAlign w:val="bottom"/>
            <w:tcBorders>
              <w:top w:val="single" w:sz="8" w:color="auto"/>
              <w:right w:val="single" w:sz="8" w:color="auto"/>
            </w:tcBorders>
            <w:shd w:val="clear" w:color="auto" w:fill="FFFFCC"/>
          </w:tcPr>
          <w:p>
            <w:pPr>
              <w:jc w:val="center"/>
              <w:spacing w:after="0" w:line="216" w:lineRule="exact"/>
              <w:rPr>
                <w:sz w:val="20"/>
                <w:szCs w:val="20"/>
                <w:color w:val="auto"/>
              </w:rPr>
            </w:pPr>
            <w:r>
              <w:rPr>
                <w:rFonts w:ascii="Arial" w:cs="Arial" w:eastAsia="Arial" w:hAnsi="Arial"/>
                <w:sz w:val="22"/>
                <w:szCs w:val="22"/>
                <w:color w:val="auto"/>
                <w:w w:val="96"/>
              </w:rPr>
              <w:t>Working</w:t>
            </w: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shd w:val="clear" w:color="auto" w:fill="FFFFCC"/>
          </w:tcPr>
          <w:p>
            <w:pPr>
              <w:ind w:left="80"/>
              <w:spacing w:after="0"/>
              <w:rPr>
                <w:sz w:val="20"/>
                <w:szCs w:val="20"/>
                <w:color w:val="auto"/>
              </w:rPr>
            </w:pPr>
            <w:r>
              <w:rPr>
                <w:rFonts w:ascii="Arial" w:cs="Arial" w:eastAsia="Arial" w:hAnsi="Arial"/>
                <w:sz w:val="22"/>
                <w:szCs w:val="22"/>
                <w:b w:val="1"/>
                <w:bCs w:val="1"/>
                <w:color w:val="auto"/>
              </w:rPr>
              <w:t>Unplanned reductions or add-backs to results for gains and losses</w:t>
            </w:r>
          </w:p>
        </w:tc>
        <w:tc>
          <w:tcPr>
            <w:tcW w:w="15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Arial" w:cs="Arial" w:eastAsia="Arial" w:hAnsi="Arial"/>
                <w:sz w:val="22"/>
                <w:szCs w:val="22"/>
                <w:color w:val="auto"/>
                <w:w w:val="98"/>
              </w:rPr>
              <w:t>EBITDA</w:t>
            </w:r>
          </w:p>
        </w:tc>
        <w:tc>
          <w:tcPr>
            <w:tcW w:w="1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Arial" w:cs="Arial" w:eastAsia="Arial" w:hAnsi="Arial"/>
                <w:sz w:val="22"/>
                <w:szCs w:val="22"/>
                <w:color w:val="auto"/>
                <w:w w:val="96"/>
              </w:rPr>
              <w:t>Capital</w:t>
            </w:r>
          </w:p>
        </w:tc>
        <w:tc>
          <w:tcPr>
            <w:tcW w:w="0" w:type="dxa"/>
            <w:vAlign w:val="bottom"/>
          </w:tcPr>
          <w:p>
            <w:pPr>
              <w:spacing w:after="0"/>
              <w:rPr>
                <w:sz w:val="1"/>
                <w:szCs w:val="1"/>
                <w:color w:val="auto"/>
              </w:rPr>
            </w:pPr>
          </w:p>
        </w:tc>
      </w:tr>
      <w:tr>
        <w:trPr>
          <w:trHeight w:val="263"/>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Effects of changes in accounting or tax law</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Divestitures of properties, businesses, investments, equity in affiliates or held for</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175"/>
        </w:trPr>
        <w:tc>
          <w:tcPr>
            <w:tcW w:w="8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sale as discontinued operations</w:t>
            </w:r>
          </w:p>
        </w:tc>
        <w:tc>
          <w:tcPr>
            <w:tcW w:w="154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Costs of an acquisition or potential acquisition, and purchase accounting of an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175"/>
        </w:trPr>
        <w:tc>
          <w:tcPr>
            <w:tcW w:w="82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color w:val="auto"/>
              </w:rPr>
              <w:t>acquisition completed during the year.</w:t>
            </w:r>
          </w:p>
        </w:tc>
        <w:tc>
          <w:tcPr>
            <w:tcW w:w="154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8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w w:val="99"/>
              </w:rPr>
              <w:t>Any significant or non-recurring item(s) (these items include, but are not limited to a</w:t>
            </w: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restructuring, long-lived asset impairment, warranty costs, product liability, legal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175"/>
        </w:trPr>
        <w:tc>
          <w:tcPr>
            <w:tcW w:w="8200" w:type="dxa"/>
            <w:vAlign w:val="bottom"/>
            <w:tcBorders>
              <w:left w:val="single" w:sz="8" w:color="auto"/>
              <w:right w:val="single" w:sz="8" w:color="auto"/>
            </w:tcBorders>
            <w:vMerge w:val="restart"/>
          </w:tcPr>
          <w:p>
            <w:pPr>
              <w:ind w:left="80"/>
              <w:spacing w:after="0" w:line="216" w:lineRule="exact"/>
              <w:rPr>
                <w:sz w:val="20"/>
                <w:szCs w:val="20"/>
                <w:color w:val="auto"/>
              </w:rPr>
            </w:pPr>
            <w:r>
              <w:rPr>
                <w:rFonts w:ascii="Arial" w:cs="Arial" w:eastAsia="Arial" w:hAnsi="Arial"/>
                <w:sz w:val="22"/>
                <w:szCs w:val="22"/>
                <w:color w:val="auto"/>
              </w:rPr>
              <w:t>settlement, environmental charges) that in total exceed $200,000 in EBITDA</w:t>
            </w:r>
          </w:p>
        </w:tc>
        <w:tc>
          <w:tcPr>
            <w:tcW w:w="154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200" w:type="dxa"/>
            <w:vAlign w:val="bottom"/>
            <w:tcBorders>
              <w:left w:val="single" w:sz="8" w:color="auto"/>
              <w:right w:val="single" w:sz="8" w:color="auto"/>
            </w:tcBorders>
            <w:vMerge w:val="continue"/>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(favorable or unfavorable)</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The impact on any Operating Unit attributable to any administrative intercompany</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charges related to transfer pricing compliance where the consolidated impact is</w:t>
            </w:r>
          </w:p>
        </w:tc>
        <w:tc>
          <w:tcPr>
            <w:tcW w:w="154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zero.</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0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Other adjustments for unforeseen extraordinary circumstances as deemed</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X</w:t>
            </w:r>
          </w:p>
        </w:tc>
        <w:tc>
          <w:tcPr>
            <w:tcW w:w="0" w:type="dxa"/>
            <w:vAlign w:val="bottom"/>
          </w:tcPr>
          <w:p>
            <w:pPr>
              <w:spacing w:after="0"/>
              <w:rPr>
                <w:sz w:val="1"/>
                <w:szCs w:val="1"/>
                <w:color w:val="auto"/>
              </w:rPr>
            </w:pPr>
          </w:p>
        </w:tc>
      </w:tr>
      <w:tr>
        <w:trPr>
          <w:trHeight w:val="216"/>
        </w:trPr>
        <w:tc>
          <w:tcPr>
            <w:tcW w:w="820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appropriate in the sole discretion of the Compensation Committee of the Board of</w:t>
            </w:r>
          </w:p>
        </w:tc>
        <w:tc>
          <w:tcPr>
            <w:tcW w:w="154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Directors</w:t>
            </w:r>
          </w:p>
        </w:tc>
        <w:tc>
          <w:tcPr>
            <w:tcW w:w="15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60"/>
          </w:cols>
          <w:pgMar w:left="320" w:top="1394" w:right="31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(EXECUTIVE)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6 Of The 2022 Equity and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Restricted Stock Agreement set forth below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is dated as of </w:t>
      </w:r>
      <w:r>
        <w:rPr>
          <w:rFonts w:ascii="Times New Roman" w:cs="Times New Roman" w:eastAsia="Times New Roman" w:hAnsi="Times New Roman"/>
          <w:sz w:val="22"/>
          <w:szCs w:val="22"/>
          <w:b w:val="1"/>
          <w:bCs w:val="1"/>
          <w:color w:val="auto"/>
        </w:rPr>
        <w:t>_________________</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Issue</w:t>
      </w:r>
    </w:p>
    <w:p>
      <w:pPr>
        <w:spacing w:after="0" w:line="204" w:lineRule="auto"/>
        <w:rPr>
          <w:sz w:val="20"/>
          <w:szCs w:val="20"/>
          <w:color w:val="auto"/>
        </w:rPr>
      </w:pP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and is between L. B. Foster Company, a Pennsylvania corporation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________________</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Shareholder</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The Company has established its 2022 Equity and Incentive Compensation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to advance the interests of the Company and its Shareholders by providing incentives to certain eligible persons who contribute significantly to the strategic and long-term performance objectives and growth of the Company. All capitalized terms not otherwise defined in this Agreement have the same meaning given them in the Plan.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Pursuant to the provisions of the Plan, the Committee has full power and authority to direct the execution and delivery of this Agreement in the name and on behalf of the Company and has authorized the execution and delivery of this Agreement.</w:t>
      </w:r>
    </w:p>
    <w:p>
      <w:pPr>
        <w:spacing w:after="0" w:line="1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intending to be legally bound hereby, agree as follows:</w:t>
      </w:r>
    </w:p>
    <w:p>
      <w:pPr>
        <w:spacing w:after="0" w:line="173"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i w:val="1"/>
          <w:iCs w:val="1"/>
          <w:color w:val="auto"/>
        </w:rPr>
        <w:t>Issuance of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and pursuant to all terms and conditions stated in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Plan, as of the Issue Date the Company hereby grants to </w:t>
      </w:r>
      <w:r>
        <w:rPr>
          <w:rFonts w:ascii="Times New Roman" w:cs="Times New Roman" w:eastAsia="Times New Roman" w:hAnsi="Times New Roman"/>
          <w:sz w:val="22"/>
          <w:szCs w:val="22"/>
          <w:b w:val="1"/>
          <w:bCs w:val="1"/>
          <w:color w:val="auto"/>
        </w:rPr>
        <w:t>Shareholder ________</w:t>
      </w:r>
      <w:r>
        <w:rPr>
          <w:rFonts w:ascii="Times New Roman" w:cs="Times New Roman" w:eastAsia="Times New Roman" w:hAnsi="Times New Roman"/>
          <w:sz w:val="22"/>
          <w:szCs w:val="22"/>
          <w:color w:val="auto"/>
        </w:rPr>
        <w:t xml:space="preserve"> restricted shares of Company Common Stock,</w:t>
      </w:r>
    </w:p>
    <w:p>
      <w:pPr>
        <w:jc w:val="both"/>
        <w:spacing w:after="0" w:line="225" w:lineRule="auto"/>
        <w:rPr>
          <w:sz w:val="20"/>
          <w:szCs w:val="20"/>
          <w:color w:val="auto"/>
        </w:rPr>
      </w:pPr>
      <w:r>
        <w:rPr>
          <w:rFonts w:ascii="Times New Roman" w:cs="Times New Roman" w:eastAsia="Times New Roman" w:hAnsi="Times New Roman"/>
          <w:sz w:val="21"/>
          <w:szCs w:val="21"/>
          <w:color w:val="auto"/>
        </w:rPr>
        <w:t>par value $0.01 per share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pursuant to Section 6 of the Plan. For purposes of this Agreement,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shall include all of the shares of Common Stock issued to Shareholder pursuant to this Agreement or issued with respect to such shares of Common Stock, including, but not limited to, shares of Company capital stock issued by way of a stock dividend or stock split or in connection with a combination of shares, recapitalization, merger, consolidation or other reorganization.</w:t>
      </w:r>
    </w:p>
    <w:p>
      <w:pPr>
        <w:spacing w:after="0" w:line="14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i w:val="1"/>
          <w:iCs w:val="1"/>
          <w:color w:val="auto"/>
        </w:rPr>
        <w:t>Vesting; Rights; Obligations; and Restrictions on Transfer</w:t>
      </w:r>
      <w:r>
        <w:rPr>
          <w:rFonts w:ascii="Times New Roman" w:cs="Times New Roman" w:eastAsia="Times New Roman" w:hAnsi="Times New Roman"/>
          <w:sz w:val="21"/>
          <w:szCs w:val="21"/>
          <w:b w:val="1"/>
          <w:bCs w:val="1"/>
          <w:color w:val="auto"/>
        </w:rPr>
        <w:t>.</w:t>
      </w:r>
    </w:p>
    <w:p>
      <w:pPr>
        <w:spacing w:after="0" w:line="185" w:lineRule="exact"/>
        <w:rPr>
          <w:sz w:val="20"/>
          <w:szCs w:val="20"/>
          <w:color w:val="auto"/>
        </w:rPr>
      </w:pPr>
    </w:p>
    <w:p>
      <w:pPr>
        <w:jc w:val="both"/>
        <w:ind w:left="660" w:firstLine="1292"/>
        <w:spacing w:after="0" w:line="213" w:lineRule="auto"/>
        <w:tabs>
          <w:tab w:leader="none" w:pos="260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Shares may be sold, transferred, pledged, hypothecated or otherwise encumbered or disposed of until they have vested in accordance with the terms of this Section 2. Except as set forth in this Section 2, effective at the close of business on the date Shareholder ceases to be employed by the Company or an affiliate of the Company, any Shares that are not vested in accordance with this Section 2, and any dividends accrued pursuant to Section 2(c) below, shall be automatically forfeited without any further obligation on the part of the Company. Shareholder hereby assigns and transfers any forfeited Shares and the stock certificate(s) or other evidence of ownership representing such Shares to the Company.</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All of the Shares will vest 33 1/3% on each of the first, second, and third anniversaries. </w:t>
      </w:r>
      <w:r>
        <w:rPr>
          <w:rFonts w:ascii="Times New Roman" w:cs="Times New Roman" w:eastAsia="Times New Roman" w:hAnsi="Times New Roman"/>
          <w:sz w:val="22"/>
          <w:szCs w:val="22"/>
          <w:color w:val="auto"/>
        </w:rPr>
        <w:t>However, if a Change of Control occurs prior to the end of the full vesting period and (i) Shareholder experiences an involuntary Separation from Service by the Company other than (A) a Termination for Cause, (B) death, or (C) Disability, or the Shareholder terminates for Good Reason (as defined below) within the 90-day period immediately preceding a Change of Control, or on or within the two-year period immediately following a Change of Control, or (ii) the acquiring entity in a Change of Control does not assume this Agreement and convert the Shares into a substantially comparable award of capital stock or other equity incentive instrument in such acquiring entity as determined by the Board of Directors, any unvested Shares shall immediately vest. Vesting shall be tolled during any period in which Shareholder is on</w:t>
      </w:r>
    </w:p>
    <w:p>
      <w:pPr>
        <w:sectPr>
          <w:pgSz w:w="11900" w:h="16838" w:orient="portrait"/>
          <w:cols w:equalWidth="0" w:num="1">
            <w:col w:w="11240"/>
          </w:cols>
          <w:pgMar w:left="320" w:top="1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an approved leave of absence from employment with the Company or an affiliate of the Company.</w:t>
      </w:r>
    </w:p>
    <w:p>
      <w:pPr>
        <w:spacing w:after="0" w:line="179" w:lineRule="exact"/>
        <w:rPr>
          <w:sz w:val="20"/>
          <w:szCs w:val="20"/>
          <w:color w:val="auto"/>
        </w:rPr>
      </w:pPr>
    </w:p>
    <w:p>
      <w:pPr>
        <w:jc w:val="both"/>
        <w:ind w:firstLine="1292"/>
        <w:spacing w:after="0" w:line="211"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foregoing provisions of this Section 2 and the provisions of the Plan, Shareholder shall have all rights of a shareholder with respect to the Shares, including the right to vote the Shares and to receive dividends,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until such time as the Shares, or portion thereof, shall have vested, the Company shall accrue on its books and records for the benefit of the Shareholder an amount equal to the dividend payment that would otherwise have been received on the Shares but for this agreement to accrue the dividend payments. Dividends accrued for the benefit of the Shareholder shall be payable as the Shares vest with payment to be made by the Company, or its agent, within ten (10) business days after vesting. For purposes of clarity, if this Agreement provides that only a portion of the Shares vest on a given date, accrued dividends shall only be payable on that portion of Shares vesting and not on any Shares that remain unvested.</w:t>
      </w:r>
    </w:p>
    <w:p>
      <w:pPr>
        <w:spacing w:after="0" w:line="158" w:lineRule="exact"/>
        <w:rPr>
          <w:rFonts w:ascii="Times New Roman" w:cs="Times New Roman" w:eastAsia="Times New Roman" w:hAnsi="Times New Roman"/>
          <w:sz w:val="22"/>
          <w:szCs w:val="22"/>
          <w:color w:val="auto"/>
        </w:rPr>
      </w:pPr>
    </w:p>
    <w:p>
      <w:pPr>
        <w:ind w:firstLine="1292"/>
        <w:spacing w:after="0" w:line="236"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“Good Reason” means the Shareholder’s Separation from Service as a result of the occurrence, without the Shareholder’s written consent, of one of the following events:</w:t>
      </w:r>
    </w:p>
    <w:p>
      <w:pPr>
        <w:spacing w:after="0" w:line="150" w:lineRule="exact"/>
        <w:rPr>
          <w:rFonts w:ascii="Times New Roman" w:cs="Times New Roman" w:eastAsia="Times New Roman" w:hAnsi="Times New Roman"/>
          <w:sz w:val="22"/>
          <w:szCs w:val="22"/>
          <w:color w:val="auto"/>
        </w:rPr>
      </w:pPr>
    </w:p>
    <w:p>
      <w:pPr>
        <w:jc w:val="both"/>
        <w:ind w:left="640" w:firstLine="1300"/>
        <w:spacing w:after="0" w:line="225" w:lineRule="auto"/>
        <w:tabs>
          <w:tab w:leader="none" w:pos="257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Shareholder’s annual base salary (unless such reduction relates to an across-the-board reduction similarly affecting Shareholder and all or substantially all other executives of the Company and its affiliates);</w:t>
      </w:r>
    </w:p>
    <w:p>
      <w:pPr>
        <w:spacing w:after="0" w:line="152" w:lineRule="exact"/>
        <w:rPr>
          <w:rFonts w:ascii="Times New Roman" w:cs="Times New Roman" w:eastAsia="Times New Roman" w:hAnsi="Times New Roman"/>
          <w:sz w:val="22"/>
          <w:szCs w:val="22"/>
          <w:color w:val="auto"/>
        </w:rPr>
      </w:pPr>
    </w:p>
    <w:p>
      <w:pPr>
        <w:jc w:val="both"/>
        <w:ind w:left="640" w:firstLine="1300"/>
        <w:spacing w:after="0" w:line="211" w:lineRule="auto"/>
        <w:tabs>
          <w:tab w:leader="none" w:pos="257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the Subsidiary employing Shareholder) makes or causes to be made a material adverse change in the Shareholder’s position, authority, duties or responsibilities which results in a significant diminution in the Shareholder’s position, authority, duties or responsibilities, excluding any change made in connection with (A) a reassignment to a New Job Position (as defined herein), or (B) a termination of Shareholder’s employment with the Company for Disability, Termination for Cause, death, or temporarily as a result of Participant’s incapacity or other absence for an extended period; (For purposes of this Agreement, “New Job Position” means a change in the Shareholder’s position, authority, duties or responsibilities with the Company or any affiliate due to the Shareholder’s demonstrated inadequate or unsatisfactory performance, provided the Shareholder had been notified of such inadequate performance and had been given at least 30 days to cure such inadequate performance.);</w:t>
      </w:r>
    </w:p>
    <w:p>
      <w:pPr>
        <w:spacing w:after="0" w:line="151" w:lineRule="exact"/>
        <w:rPr>
          <w:rFonts w:ascii="Times New Roman" w:cs="Times New Roman" w:eastAsia="Times New Roman" w:hAnsi="Times New Roman"/>
          <w:sz w:val="22"/>
          <w:szCs w:val="22"/>
          <w:color w:val="auto"/>
        </w:rPr>
      </w:pPr>
    </w:p>
    <w:p>
      <w:pPr>
        <w:jc w:val="both"/>
        <w:ind w:left="640" w:firstLine="1300"/>
        <w:spacing w:after="0" w:line="225" w:lineRule="auto"/>
        <w:tabs>
          <w:tab w:leader="none" w:pos="258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the Company’s principal place of business, or of Shareholder’s own office as assigned to Shareholder by the Company or the Subsidiary employing Shareholder to a location that increases Shareholder’s normal work commute by more than 50 miles; or</w:t>
      </w:r>
    </w:p>
    <w:p>
      <w:pPr>
        <w:spacing w:after="0" w:line="152" w:lineRule="exact"/>
        <w:rPr>
          <w:rFonts w:ascii="Times New Roman" w:cs="Times New Roman" w:eastAsia="Times New Roman" w:hAnsi="Times New Roman"/>
          <w:sz w:val="22"/>
          <w:szCs w:val="22"/>
          <w:color w:val="auto"/>
        </w:rPr>
      </w:pPr>
    </w:p>
    <w:p>
      <w:pPr>
        <w:ind w:left="640" w:firstLine="1300"/>
        <w:spacing w:after="0" w:line="255" w:lineRule="auto"/>
        <w:tabs>
          <w:tab w:leader="none" w:pos="2572"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action by the Company or the Subsidiary employing Shareholder that constitutes a material breach of the employment agreement, if any, under which Shareholder’s services are to be performed.</w:t>
      </w:r>
    </w:p>
    <w:p>
      <w:pPr>
        <w:spacing w:after="0" w:line="13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order for Shareholder to terminate for Good Reason, (A) the Company must be notified by Shareholder in writing within 90 days of the event constituting Good Reason, (B) the event must remain uncorrected by the Company for 30 days following such notice (the “Notice Period”), and (C) such termination must occur within 60 days after the expiration of the Notice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80"/>
          </w:cols>
          <w:pgMar w:left="980" w:top="1138" w:right="339" w:bottom="1440" w:gutter="0" w:footer="0" w:header="0"/>
        </w:sectPr>
      </w:pPr>
    </w:p>
    <w:bookmarkStart w:id="32" w:name="page33"/>
    <w:bookmarkEnd w:id="32"/>
    <w:p>
      <w:pPr>
        <w:ind w:left="2600" w:hanging="648"/>
        <w:spacing w:after="0"/>
        <w:tabs>
          <w:tab w:leader="none" w:pos="26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certificates, if any, representing unvested Shares will bear the following or similar legend:</w:t>
      </w:r>
    </w:p>
    <w:p>
      <w:pPr>
        <w:spacing w:after="0" w:line="179" w:lineRule="exact"/>
        <w:rPr>
          <w:sz w:val="20"/>
          <w:szCs w:val="20"/>
          <w:color w:val="auto"/>
        </w:rPr>
      </w:pPr>
    </w:p>
    <w:p>
      <w:pPr>
        <w:jc w:val="both"/>
        <w:ind w:left="660" w:right="660"/>
        <w:spacing w:after="0" w:line="236" w:lineRule="auto"/>
        <w:rPr>
          <w:sz w:val="20"/>
          <w:szCs w:val="20"/>
          <w:color w:val="auto"/>
        </w:rPr>
      </w:pPr>
      <w:r>
        <w:rPr>
          <w:rFonts w:ascii="Times New Roman" w:cs="Times New Roman" w:eastAsia="Times New Roman" w:hAnsi="Times New Roman"/>
          <w:sz w:val="21"/>
          <w:szCs w:val="21"/>
          <w:color w:val="auto"/>
        </w:rPr>
        <w:t>“The securities represented by this certificate are subject to forfeiture and restrictions on transfer as set forth in the Restricted Stock Agreement between the issuer and the initial holder of these shares. A copy of that document may be obtained by the holder without charge at the issuer’s principal place of business or upon written request.”</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b w:val="1"/>
          <w:bCs w:val="1"/>
          <w:i w:val="1"/>
          <w:iCs w:val="1"/>
          <w:color w:val="auto"/>
        </w:rPr>
        <w:t>Investment Representation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 hereby acknowledges that the Shares cannot be sold, transferred,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pledged or hypothecated in the absence of an effective registration statement for the shares under the Securities Act of 1933, as amended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and applicable state securities laws or an applicable exemption from the registration requirements of the Securities Act and any applicable state securities laws or as otherwise provided herein or in the Plan. Shareholder also agrees that the Shares which Shareholder acquires pursuant to this Agreement will not be sold or otherwise disposed of in any manner which would constitute a violation of any applicable securities laws, whether federal or state.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i w:val="1"/>
          <w:iCs w:val="1"/>
          <w:color w:val="auto"/>
        </w:rPr>
        <w:t>Book Entry Account</w:t>
      </w:r>
      <w:r>
        <w:rPr>
          <w:rFonts w:ascii="Times New Roman" w:cs="Times New Roman" w:eastAsia="Times New Roman" w:hAnsi="Times New Roman"/>
          <w:sz w:val="22"/>
          <w:szCs w:val="22"/>
          <w:color w:val="auto"/>
        </w:rPr>
        <w:t>. At the discretion of the Company, certificates for the shares may not be issued.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lieu of certificates, the Company may establish a book entry account for the Shares, until vested, in the name of the Shareholder with the Company’s transfer agent for its Common Stock.</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i w:val="1"/>
          <w:iCs w:val="1"/>
          <w:color w:val="auto"/>
        </w:rPr>
        <w:t>Income Taxes</w:t>
      </w:r>
      <w:r>
        <w:rPr>
          <w:rFonts w:ascii="Times New Roman" w:cs="Times New Roman" w:eastAsia="Times New Roman" w:hAnsi="Times New Roman"/>
          <w:sz w:val="21"/>
          <w:szCs w:val="21"/>
          <w:color w:val="auto"/>
        </w:rPr>
        <w:t>. Shareholder acknowledges that any income for federal, state, or local income tax purposes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Shareholder is required to recognize on account of the issuance of the Shares to Shareholder shall be subject to withholding of tax by the Company. In order to satisfy Shareholder’s statutory withholding tax obligations, if any, on account of the vesting of Shares hereunder, the Company shall withhold a number of vested Shares issued hereunder equal to the applicable statutory withholding tax obligation for such Shareholder. Shareholder agrees further to notify the Company promptly if Shareholder files an election pursuant to Section 83(b)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with respect to any Shares.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i w:val="1"/>
          <w:iCs w:val="1"/>
          <w:color w:val="auto"/>
        </w:rPr>
        <w:t>No Right to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the Plan nor this Agreement shall be deemed to give Shareholder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to be employed by the Company, nor shall the Plan or the Agreement be deemed to limit in any way the Company’s right to terminate the employment of the Shareholder at any time.</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b w:val="1"/>
          <w:bCs w:val="1"/>
          <w:i w:val="1"/>
          <w:iCs w:val="1"/>
          <w:color w:val="auto"/>
        </w:rPr>
        <w:t>Further Assistance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 will provide assistance reasonably requested by the Company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actions taken by Shareholder while employed by the Company, including but not limited to assistance in connection with any lawsuits or other claims against the Company arising from events during the period in which Shareholder was employed by the Company.</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b w:val="1"/>
          <w:bCs w:val="1"/>
          <w:i w:val="1"/>
          <w:iCs w:val="1"/>
          <w:color w:val="auto"/>
        </w:rPr>
        <w:t>Binding Effect; No Third Party Beneficiaries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the Company and Shareholder and their respective heirs, representatives, successors and permitted assigns. This Agreement shall not confer any rights or remedies upon any person other than the Company and the Shareholder and their respective heirs, representatives, successors and permitted assigns. The parties agree that this Agreement shall survive the issuance of the Shares.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i w:val="1"/>
          <w:iCs w:val="1"/>
          <w:color w:val="auto"/>
        </w:rPr>
        <w:t>Agreement to Abide by Plan; Conflict between Plan and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is hereby incorporated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into this Agreement and is made a part hereof as though fully set forth in this Agreement. Shareholder, by execution of this Agreement, represents that he or she is familiar with the terms and provisions of the Plan and agrees to abide by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38" w:right="339" w:bottom="1440" w:gutter="0" w:footer="0" w:header="0"/>
        </w:sectPr>
      </w:pPr>
    </w:p>
    <w:bookmarkStart w:id="33" w:name="page34"/>
    <w:bookmarkEnd w:id="33"/>
    <w:p>
      <w:pPr>
        <w:jc w:val="both"/>
        <w:spacing w:after="0" w:line="215" w:lineRule="auto"/>
        <w:rPr>
          <w:sz w:val="20"/>
          <w:szCs w:val="20"/>
          <w:color w:val="auto"/>
        </w:rPr>
      </w:pPr>
      <w:r>
        <w:rPr>
          <w:rFonts w:ascii="Times New Roman" w:cs="Times New Roman" w:eastAsia="Times New Roman" w:hAnsi="Times New Roman"/>
          <w:sz w:val="22"/>
          <w:szCs w:val="22"/>
          <w:color w:val="auto"/>
        </w:rPr>
        <w:t>the terms and conditions of this Agreement and the Plan. Shareholder accepts as binding, conclusive and final all decisions or interpretations of the Committee upon any question arising under the Plan or this Agreement (including, without limitation, the date of any termination of Shareholder’s employment with the Company). In the event of any conflict between the Plan and this Agreement, the Plan shall control and this Agreement shall be deemed to be modified accordingly, except to the extent that the Plan gives the Committee the express authority to vary the terms of the Plan by means of this Agreement, in which case this Agreement shall govern.</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i w:val="1"/>
          <w:iCs w:val="1"/>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herein, this Agreement and the Plan, which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reviewed and accepted in connection with the grant of the Shares reflected by this Agreement, constitute the entire agreement between the parties and supersede any prior understandings, agreements, or representations by or between the parties, written or oral, to the extent they related in any way to the subject matter of this Agreement.</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b w:val="1"/>
          <w:bCs w:val="1"/>
          <w:i w:val="1"/>
          <w:iCs w:val="1"/>
          <w:color w:val="auto"/>
        </w:rPr>
        <w:t>Choice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not superseded by federal law, the laws of the Commonwealth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Pennsylvania (without regard to the conflicts laws thereof) shall control in all matters relating to this Agreement and any action relating to this Agreement must be brought in State or Federal Courts located in the Commonwealth of Pennsylvania.</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2"/>
          <w:szCs w:val="22"/>
          <w:b w:val="1"/>
          <w:bCs w:val="1"/>
          <w:i w:val="1"/>
          <w:iCs w:val="1"/>
          <w:color w:val="auto"/>
        </w:rPr>
        <w:t>otice</w:t>
      </w:r>
      <w:r>
        <w:rPr>
          <w:rFonts w:ascii="Times New Roman" w:cs="Times New Roman" w:eastAsia="Times New Roman" w:hAnsi="Times New Roman"/>
          <w:sz w:val="22"/>
          <w:szCs w:val="22"/>
          <w:color w:val="auto"/>
        </w:rPr>
        <w:t>. All notices, requests, demands, claims, and other communications under this Agreement shall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Any notice, request, demand, claim, or other communication under this Agreement shall be deemed duly given if (and then two business days after) it is sent by registered or certified mail, return receipt requested, postage prepaid, and addressed to the intended recipient at the following address: If to the Company, L. B. Foster Company, 415 Holiday Drive, Suite 100, Pittsburgh, PA 15220, Attn: Secretary; and if to the Shareholder, to his or her address as it appears on the Company’s records. Either party to this Agreement may send any notice, request, demand, claim, or other communication under this Agreement to the intended recipient at such address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intended recipient. Either party to this Agreement may change the address to which notices, requests, demands, claims, and other communications hereunder are to be delivered by giving the other party notice in the manner set forth in this section.</w:t>
      </w:r>
    </w:p>
    <w:p>
      <w:pPr>
        <w:spacing w:after="0" w:line="1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i w:val="1"/>
          <w:iCs w:val="1"/>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amended or modified at any time by an instrument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by the parties hereto, or as otherwise provided under the Plan. Notwithstanding, the Company may, in its sole discretion and without the Shareholder’s consent, modify or amend the terms of this Agreement, impose conditions on the timing and effectiveness of the issuance of the Shares, or take any other action it deems necessary or advisable, to cause this Award to be excepted from Section 409A of the Code (or to comply therewith to the extent the Company determines it is not excepted).</w:t>
      </w:r>
    </w:p>
    <w:p>
      <w:pPr>
        <w:spacing w:after="0" w:line="14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b w:val="1"/>
          <w:bCs w:val="1"/>
          <w:i w:val="1"/>
          <w:iCs w:val="1"/>
          <w:color w:val="auto"/>
        </w:rPr>
        <w:t>Acknowledgments.</w:t>
      </w:r>
    </w:p>
    <w:p>
      <w:pPr>
        <w:spacing w:after="0" w:line="185" w:lineRule="exact"/>
        <w:rPr>
          <w:sz w:val="20"/>
          <w:szCs w:val="20"/>
          <w:color w:val="auto"/>
        </w:rPr>
      </w:pPr>
    </w:p>
    <w:p>
      <w:pPr>
        <w:jc w:val="both"/>
        <w:ind w:left="660" w:right="20" w:firstLine="1292"/>
        <w:spacing w:after="0" w:line="225" w:lineRule="auto"/>
        <w:tabs>
          <w:tab w:leader="none" w:pos="260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the Shares, the Shareholder acknowledges receipt of a copy of the Plan and agrees to be bound by the terms and conditions set forth in the Plan and this Agreement, as in effect and/or amended from time to time.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related documents may be delivered to you electronically. Such means of delivery may include but do not necessarily include the delivery of a link to a Company intranet site or the internet site of a third party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38" w:right="339" w:bottom="1440" w:gutter="0" w:footer="0" w:header="0"/>
        </w:sectPr>
      </w:pPr>
    </w:p>
    <w:bookmarkStart w:id="34" w:name="page35"/>
    <w:bookmarkEnd w:id="34"/>
    <w:p>
      <w:pPr>
        <w:jc w:val="both"/>
        <w:spacing w:after="0" w:line="225" w:lineRule="auto"/>
        <w:rPr>
          <w:sz w:val="20"/>
          <w:szCs w:val="20"/>
          <w:color w:val="auto"/>
        </w:rPr>
      </w:pPr>
      <w:r>
        <w:rPr>
          <w:rFonts w:ascii="Times New Roman" w:cs="Times New Roman" w:eastAsia="Times New Roman" w:hAnsi="Times New Roman"/>
          <w:sz w:val="22"/>
          <w:szCs w:val="22"/>
          <w:color w:val="auto"/>
        </w:rPr>
        <w:t>in administering the Plan, the delivery of the documents via e-mail or CD-ROM or such other delivery determined at the Committee’s discretion. Both Internet Email and the World Wide Web are required in order to access documents electronically.</w:t>
      </w:r>
    </w:p>
    <w:p>
      <w:pPr>
        <w:spacing w:after="0" w:line="153" w:lineRule="exact"/>
        <w:rPr>
          <w:sz w:val="20"/>
          <w:szCs w:val="20"/>
          <w:color w:val="auto"/>
        </w:rPr>
      </w:pPr>
    </w:p>
    <w:p>
      <w:pPr>
        <w:jc w:val="both"/>
        <w:ind w:firstLine="1292"/>
        <w:spacing w:after="0" w:line="220"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excepted from coverage under Section 409A of the Code and the regulations promulgated thereunder and shall be interpreted and construed accordingly. Notwithstanding, Shareholder recognizes and acknowledges that Section 409A of the Code may impose upon the Shareholder certain taxes or interest charges for which the Shareholder is and shall remain solely responsible.</w:t>
      </w:r>
    </w:p>
    <w:p>
      <w:pPr>
        <w:spacing w:after="0" w:line="152" w:lineRule="exact"/>
        <w:rPr>
          <w:rFonts w:ascii="Times New Roman" w:cs="Times New Roman" w:eastAsia="Times New Roman" w:hAnsi="Times New Roman"/>
          <w:sz w:val="22"/>
          <w:szCs w:val="22"/>
          <w:color w:val="auto"/>
        </w:rPr>
      </w:pPr>
    </w:p>
    <w:p>
      <w:pPr>
        <w:jc w:val="both"/>
        <w:ind w:firstLine="1292"/>
        <w:spacing w:after="0" w:line="213"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 acknowledges that, by receipt of this Award, Shareholder has read this Section 15 and consents to the electronic delivery of the Plan and related documents, as described in this Section 15. Shareholder acknowledges that Shareholder may receive from the Company a paper copy of any documents delivered electronically at no cost if Shareholder contacts the Company’s General Counsel by telephone at (412) 928-7829 or by mail to L.B. Foster Company, 415 Holiday Drive, Suite 100, Pittsburgh, PA 15220 ATTN: General Counsel. Shareholder further acknowledges that Shareholder will be provided with a paper copy of any documents delivered electronically if electronic delivery fails.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138" w:right="339" w:bottom="1440" w:gutter="0" w:footer="0" w:header="0"/>
        </w:sectPr>
      </w:pPr>
    </w:p>
    <w:bookmarkStart w:id="35" w:name="page36"/>
    <w:bookmarkEnd w:id="35"/>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has caused a duly authorized officer to execute this Agreement on its behalf, and the Shareholder has placed his/her signature hereon, effective as of the Issue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 B. FOSTER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0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John E. Kunz</w:t>
      </w:r>
    </w:p>
    <w:p>
      <w:pPr>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16"/>
          <w:szCs w:val="16"/>
          <w:color w:val="auto"/>
        </w:rPr>
        <w:t>Director and Chairman of the Compensation Committee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00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3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Performance Share Unit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L. B. Foster Company</w:t>
      </w:r>
    </w:p>
    <w:p>
      <w:pPr>
        <w:ind w:left="3440"/>
        <w:spacing w:after="0" w:line="197" w:lineRule="auto"/>
        <w:rPr>
          <w:sz w:val="20"/>
          <w:szCs w:val="20"/>
          <w:color w:val="auto"/>
        </w:rPr>
      </w:pPr>
      <w:r>
        <w:rPr>
          <w:rFonts w:ascii="Times New Roman" w:cs="Times New Roman" w:eastAsia="Times New Roman" w:hAnsi="Times New Roman"/>
          <w:sz w:val="20"/>
          <w:szCs w:val="20"/>
          <w:b w:val="1"/>
          <w:bCs w:val="1"/>
          <w:color w:val="auto"/>
        </w:rPr>
        <w:t>2023 PERFORMANCE SHARE UNIT PROGRAM</w:t>
      </w:r>
    </w:p>
    <w:p>
      <w:pPr>
        <w:jc w:val="center"/>
        <w:spacing w:after="0"/>
        <w:rPr>
          <w:sz w:val="20"/>
          <w:szCs w:val="20"/>
          <w:color w:val="auto"/>
        </w:rPr>
      </w:pPr>
      <w:r>
        <w:rPr>
          <w:rFonts w:ascii="Times New Roman" w:cs="Times New Roman" w:eastAsia="Times New Roman" w:hAnsi="Times New Roman"/>
          <w:sz w:val="20"/>
          <w:szCs w:val="20"/>
          <w:b w:val="1"/>
          <w:bCs w:val="1"/>
          <w:color w:val="auto"/>
        </w:rPr>
        <w:t>(2023-2025)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AND ADDRESS]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[NAME]: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Pursuant to the terms and conditions of the L. B. Foster Company 2023 Performance Share Unit Program (the “Program”), a</w:t>
      </w:r>
    </w:p>
    <w:p>
      <w:pPr>
        <w:ind w:right="20"/>
        <w:spacing w:after="0" w:line="215" w:lineRule="auto"/>
        <w:rPr>
          <w:sz w:val="20"/>
          <w:szCs w:val="20"/>
          <w:color w:val="auto"/>
        </w:rPr>
      </w:pPr>
      <w:r>
        <w:rPr>
          <w:rFonts w:ascii="Times New Roman" w:cs="Times New Roman" w:eastAsia="Times New Roman" w:hAnsi="Times New Roman"/>
          <w:sz w:val="19"/>
          <w:szCs w:val="19"/>
          <w:color w:val="auto"/>
        </w:rPr>
        <w:t>component of the Long-Term Incentive Program, the Compensation Committee of the Board of Directors of L. B. Foster Company (the “Committee”) has awarded you ___________ Performance Share Units (the “Award”). The terms and conditions of your Award are governed</w:t>
      </w:r>
    </w:p>
    <w:p>
      <w:pPr>
        <w:spacing w:after="0" w:line="197" w:lineRule="auto"/>
        <w:rPr>
          <w:sz w:val="20"/>
          <w:szCs w:val="20"/>
          <w:color w:val="auto"/>
        </w:rPr>
      </w:pPr>
      <w:r>
        <w:rPr>
          <w:rFonts w:ascii="Times New Roman" w:cs="Times New Roman" w:eastAsia="Times New Roman" w:hAnsi="Times New Roman"/>
          <w:sz w:val="20"/>
          <w:szCs w:val="20"/>
          <w:color w:val="auto"/>
        </w:rPr>
        <w:t xml:space="preserve">by the provisions of the Program document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terms of which are hereby incorporated by reference.</w:t>
      </w: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each have the meaning assigned to them in the Program.</w:t>
      </w:r>
    </w:p>
    <w:p>
      <w:pPr>
        <w:spacing w:after="0" w:line="1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_________________________________________</w:t>
      </w:r>
    </w:p>
    <w:p>
      <w:pPr>
        <w:ind w:left="3900"/>
        <w:spacing w:after="0" w:line="207" w:lineRule="auto"/>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___________________________________</w:t>
      </w: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___________________________________</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 hereby acknowledge and accept the Award described above subject to all of the terms and conditions of the Program including,</w:t>
      </w:r>
    </w:p>
    <w:p>
      <w:pPr>
        <w:spacing w:after="0" w:line="215" w:lineRule="auto"/>
        <w:rPr>
          <w:sz w:val="20"/>
          <w:szCs w:val="20"/>
          <w:color w:val="auto"/>
        </w:rPr>
      </w:pPr>
      <w:r>
        <w:rPr>
          <w:rFonts w:ascii="Times New Roman" w:cs="Times New Roman" w:eastAsia="Times New Roman" w:hAnsi="Times New Roman"/>
          <w:sz w:val="19"/>
          <w:szCs w:val="19"/>
          <w:color w:val="auto"/>
        </w:rPr>
        <w:t>without limitation, the forfeiture and covenant provisions set forth in Sections 11, 12 and 13 of the Program, regardless of whether the Award ever results in a payment under the Program. I further acknowledge receipt of a copy of the Program document and the L. B. Foster 2022</w:t>
      </w:r>
    </w:p>
    <w:p>
      <w:pPr>
        <w:ind w:right="20"/>
        <w:spacing w:after="0" w:line="228" w:lineRule="auto"/>
        <w:rPr>
          <w:sz w:val="20"/>
          <w:szCs w:val="20"/>
          <w:color w:val="auto"/>
        </w:rPr>
      </w:pPr>
      <w:r>
        <w:rPr>
          <w:rFonts w:ascii="Times New Roman" w:cs="Times New Roman" w:eastAsia="Times New Roman" w:hAnsi="Times New Roman"/>
          <w:sz w:val="20"/>
          <w:szCs w:val="20"/>
          <w:color w:val="auto"/>
        </w:rPr>
        <w:t>Equity and Incentive Compensation Plan, and I agree to be bound by all the provisions of the Program and the Plan, as amended from time to time.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By signing below, I acknowledge that: (i) I have read and understand the Program including, without limitation, the provisions that require me to repay monies to the Company if (A) I breach Section 11 or 12 of the Program or (B) the Company is required to prepare an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accounting restatement to the extent set forth in Section 13(c) of the Program; (ii) the Performance Share Units that have been awarded to me have no independent economic value, but rather are mere units of measurement to be used in calculating benefits, if any, available under the</w:t>
      </w:r>
    </w:p>
    <w:p>
      <w:pPr>
        <w:spacing w:after="0" w:line="211" w:lineRule="auto"/>
        <w:rPr>
          <w:sz w:val="20"/>
          <w:szCs w:val="20"/>
          <w:color w:val="auto"/>
        </w:rPr>
      </w:pPr>
      <w:r>
        <w:rPr>
          <w:rFonts w:ascii="Times New Roman" w:cs="Times New Roman" w:eastAsia="Times New Roman" w:hAnsi="Times New Roman"/>
          <w:sz w:val="20"/>
          <w:szCs w:val="20"/>
          <w:color w:val="auto"/>
        </w:rPr>
        <w:t>Program; (iii) I agree to accept as binding, conclusive and final all decisions or interpretations of the Compensation Committee upon any</w:t>
      </w:r>
    </w:p>
    <w:p>
      <w:pPr>
        <w:spacing w:after="0" w:line="204" w:lineRule="auto"/>
        <w:rPr>
          <w:sz w:val="20"/>
          <w:szCs w:val="20"/>
          <w:color w:val="auto"/>
        </w:rPr>
      </w:pPr>
      <w:r>
        <w:rPr>
          <w:rFonts w:ascii="Times New Roman" w:cs="Times New Roman" w:eastAsia="Times New Roman" w:hAnsi="Times New Roman"/>
          <w:sz w:val="20"/>
          <w:szCs w:val="20"/>
          <w:color w:val="auto"/>
        </w:rPr>
        <w:t>questions arising under this Award, the Program or the Plan; and (iv) my decision to participate in the Program is completely voluntary and done with full knowledge of its terms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 further acknowledge and agree that, except as otherwise specifically provided in the Program,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the event I terminate employment prior to the Payment Date, the Performance Share Units awarded to me shall be cancelled and forfeited, whether payable or not, without payment by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20"/>
          <w:szCs w:val="20"/>
          <w:color w:val="auto"/>
        </w:rPr>
        <w:t>Signature: ____________________________</w:t>
      </w:r>
      <w:r>
        <w:rPr>
          <w:sz w:val="20"/>
          <w:szCs w:val="20"/>
          <w:color w:val="auto"/>
        </w:rPr>
        <w:tab/>
      </w:r>
      <w:r>
        <w:rPr>
          <w:rFonts w:ascii="Times New Roman" w:cs="Times New Roman" w:eastAsia="Times New Roman" w:hAnsi="Times New Roman"/>
          <w:sz w:val="19"/>
          <w:szCs w:val="19"/>
          <w:color w:val="auto"/>
        </w:rPr>
        <w:t>Date: ______________________________</w:t>
      </w:r>
    </w:p>
    <w:p>
      <w:pPr>
        <w:ind w:left="20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3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i w:val="1"/>
          <w:iCs w:val="1"/>
          <w:color w:val="auto"/>
        </w:rPr>
        <w:t>Performance Share Unit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 B. FOSTER COMPANY</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2023 PERFORMANCE SHARE UNIT PROGRAM</w:t>
      </w:r>
    </w:p>
    <w:p>
      <w:pPr>
        <w:jc w:val="center"/>
        <w:spacing w:after="0"/>
        <w:rPr>
          <w:sz w:val="20"/>
          <w:szCs w:val="20"/>
          <w:color w:val="auto"/>
        </w:rPr>
      </w:pPr>
      <w:r>
        <w:rPr>
          <w:rFonts w:ascii="Times New Roman" w:cs="Times New Roman" w:eastAsia="Times New Roman" w:hAnsi="Times New Roman"/>
          <w:sz w:val="20"/>
          <w:szCs w:val="20"/>
          <w:b w:val="1"/>
          <w:bCs w:val="1"/>
          <w:color w:val="auto"/>
        </w:rPr>
        <w:t>(2023-2025)</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L. B. FOSTER COMPANY, a Pennsylvania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hereby establishes this L. B. FOSTER COMPANY 2023 PERFORMANCE SHARE UNIT PROGRAM (the "</w:t>
      </w:r>
      <w:r>
        <w:rPr>
          <w:rFonts w:ascii="Times New Roman" w:cs="Times New Roman" w:eastAsia="Times New Roman" w:hAnsi="Times New Roman"/>
          <w:sz w:val="19"/>
          <w:szCs w:val="19"/>
          <w:u w:val="single" w:color="auto"/>
          <w:color w:val="auto"/>
        </w:rPr>
        <w:t>Program</w:t>
      </w:r>
      <w:r>
        <w:rPr>
          <w:rFonts w:ascii="Times New Roman" w:cs="Times New Roman" w:eastAsia="Times New Roman" w:hAnsi="Times New Roman"/>
          <w:sz w:val="19"/>
          <w:szCs w:val="19"/>
          <w:color w:val="auto"/>
        </w:rPr>
        <w:t>"), in accordance with the provisions of the L. B. FOSTER COMPANY 2023</w:t>
      </w:r>
    </w:p>
    <w:p>
      <w:pPr>
        <w:spacing w:after="0"/>
        <w:rPr>
          <w:sz w:val="20"/>
          <w:szCs w:val="20"/>
          <w:color w:val="auto"/>
        </w:rPr>
      </w:pPr>
      <w:r>
        <w:rPr>
          <w:rFonts w:ascii="Times New Roman" w:cs="Times New Roman" w:eastAsia="Times New Roman" w:hAnsi="Times New Roman"/>
          <w:sz w:val="20"/>
          <w:szCs w:val="20"/>
          <w:color w:val="auto"/>
        </w:rPr>
        <w:t>Equity and Incentive Compensation Plan (the “Plan”), and the terms and conditions provided 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maintains the Plan for the benefit of its and its Subsidiaries’ key employees; and</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WHEREAS, in order to align the interests of key employees with the interests of the Company's shareholders and to enhance the Company's ability to retain the employment of its key employees, the Company desires to provide long-term incentive compensation; and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Section 8 of the Plan authorizes the Company to make performance-based awards.</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NOW, THEREFORE, the Compensation Committee of the Board of Directors of the Company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hereby adopts the Program on the following terms and conditions:</w:t>
      </w:r>
    </w:p>
    <w:p>
      <w:pPr>
        <w:spacing w:after="0" w:line="148" w:lineRule="exact"/>
        <w:rPr>
          <w:sz w:val="20"/>
          <w:szCs w:val="20"/>
          <w:color w:val="auto"/>
        </w:rPr>
      </w:pPr>
    </w:p>
    <w:p>
      <w:pPr>
        <w:jc w:val="both"/>
        <w:ind w:firstLine="656"/>
        <w:spacing w:after="0" w:line="220" w:lineRule="auto"/>
        <w:tabs>
          <w:tab w:leader="none" w:pos="129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In addition to the terms and conditions set forth herein, Awards under the Program are subject to, and governed by, the terms and conditions set forth in the Plan, which are hereby incorporated by reference. Unless the context otherwise requires, capitalized terms used in this Program and not otherwise defined herein shall have the meanings set forth in the Plan. In the event of any conflict between the provisions of the Program and the Plan, the Compensation Committee shall have full authority and discretion to resolve such conflict and any such determination shall be final, conclusive and binding on the Participant and all interested parties.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effective date of this Program is January 1, 2023.</w:t>
      </w:r>
    </w:p>
    <w:p>
      <w:pPr>
        <w:spacing w:after="0" w:line="17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The Committee shall select those individuals who shall participate in the Program (the "</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In the event that an employee is hired by the Company or a Subsidiary during the Performance Period, upon recommendation by the CEO, the Committee shall determine whether such employee will become a Participant in the Program, subject to such terms, conditions and adjustments as the Committee determines to be necessary or desirable.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Share Unit Awards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determine the number of performance share units (the "</w:t>
      </w:r>
      <w:r>
        <w:rPr>
          <w:rFonts w:ascii="Times New Roman" w:cs="Times New Roman" w:eastAsia="Times New Roman" w:hAnsi="Times New Roman"/>
          <w:sz w:val="20"/>
          <w:szCs w:val="20"/>
          <w:u w:val="single" w:color="auto"/>
          <w:color w:val="auto"/>
        </w:rPr>
        <w:t>Performance Share Units</w:t>
      </w:r>
      <w:r>
        <w:rPr>
          <w:rFonts w:ascii="Times New Roman" w:cs="Times New Roman" w:eastAsia="Times New Roman" w:hAnsi="Times New Roman"/>
          <w:sz w:val="20"/>
          <w:szCs w:val="20"/>
          <w:color w:val="auto"/>
        </w:rPr>
        <w:t>") to be awarded to each Participant. Each Performance Share Unit awarded under the Program shall represent a contingent right to receive up to two shares of the Company's common stock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as described more fully herein, to the extent such Performance Share Unit is earned and becomes payable pursuant to the terms of this Program. Performance Share Units have no independent economic value, but rather are mere units of measurement used for purpose of calculating the number of shares, if any, to be paid under the Program.</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Share Units shall be increased and/or decreased in accordance with the terms of the Program as described more fully herein. Notwithstanding any provision of this Program to the contrary the Committee, in its sole discretion, may increase or reduce the amount of any Performance Share Units that would otherwise be earned by a Participant upon attainment of the Performance Conditions (as defined below) if it concludes that such reduction is necessary or appropriate.</w:t>
      </w:r>
    </w:p>
    <w:p>
      <w:pPr>
        <w:sectPr>
          <w:pgSz w:w="11900" w:h="16838" w:orient="portrait"/>
          <w:cols w:equalWidth="0" w:num="1">
            <w:col w:w="11240"/>
          </w:cols>
          <w:pgMar w:left="320" w:top="362" w:right="339" w:bottom="1440" w:gutter="0" w:footer="0" w:header="0"/>
        </w:sectPr>
      </w:pPr>
    </w:p>
    <w:bookmarkStart w:id="38" w:name="page39"/>
    <w:bookmarkEnd w:id="38"/>
    <w:p>
      <w:pPr>
        <w:jc w:val="both"/>
        <w:ind w:left="-656" w:firstLine="656"/>
        <w:spacing w:after="0" w:line="216" w:lineRule="auto"/>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Conditions of the Performance Share Units</w:t>
      </w:r>
      <w:r>
        <w:rPr>
          <w:rFonts w:ascii="Times New Roman" w:cs="Times New Roman" w:eastAsia="Times New Roman" w:hAnsi="Times New Roman"/>
          <w:sz w:val="20"/>
          <w:szCs w:val="20"/>
          <w:color w:val="auto"/>
        </w:rPr>
        <w:t>. The total number of shares of the Company’s Common Stock that may be earned by a Participant will be based on the Company's attainment of performance goals relating to the Company's return on invested capital ("ROIC") and Earnings Before Interest, Taxes, Depreciation and Amortization (“Cumulative EBITDA”) during the Performance Period (as defined below) as approved by (and in accordance with the procedures established by) the Committee on February 14, 2023 and on file with the Committee (the "</w:t>
      </w:r>
      <w:r>
        <w:rPr>
          <w:rFonts w:ascii="Times New Roman" w:cs="Times New Roman" w:eastAsia="Times New Roman" w:hAnsi="Times New Roman"/>
          <w:sz w:val="20"/>
          <w:szCs w:val="20"/>
          <w:u w:val="single" w:color="auto"/>
          <w:color w:val="auto"/>
        </w:rPr>
        <w:t>Performance Conditions</w:t>
      </w:r>
      <w:r>
        <w:rPr>
          <w:rFonts w:ascii="Times New Roman" w:cs="Times New Roman" w:eastAsia="Times New Roman" w:hAnsi="Times New Roman"/>
          <w:sz w:val="20"/>
          <w:szCs w:val="20"/>
          <w:color w:val="auto"/>
        </w:rPr>
        <w:t>"), for the performance period of January 1, 2023 through December 31, 2025 (the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provided, however, that except as otherwise specifically provided herein, the ability to earn shares of the Company’s Common Stock and to receive payment thereon under the Program is expressly contingent upon achievement of the threshold for the Performance Conditions and otherwise satisfying all other terms and conditions of the Program.</w:t>
      </w:r>
    </w:p>
    <w:p>
      <w:pPr>
        <w:spacing w:after="0" w:line="16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Distribution</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56" w:firstLine="1304"/>
        <w:spacing w:after="0" w:line="226" w:lineRule="auto"/>
        <w:tabs>
          <w:tab w:leader="none" w:pos="127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end of the Performance Period, the Committee shall certify in writing the extent to which the applicable Performance Conditions and any other material terms of the Program have been achieved. For purposes of this provision, and for so long as the Code permits, the approved minutes of the Committee meeting in which the certification is made may be treated as written certification.</w:t>
      </w:r>
    </w:p>
    <w:p>
      <w:pPr>
        <w:spacing w:after="0" w:line="160" w:lineRule="exact"/>
        <w:rPr>
          <w:rFonts w:ascii="Times New Roman" w:cs="Times New Roman" w:eastAsia="Times New Roman" w:hAnsi="Times New Roman"/>
          <w:sz w:val="20"/>
          <w:szCs w:val="20"/>
          <w:color w:val="auto"/>
        </w:rPr>
      </w:pPr>
    </w:p>
    <w:p>
      <w:pPr>
        <w:jc w:val="both"/>
        <w:ind w:left="-656" w:firstLine="1304"/>
        <w:spacing w:after="0" w:line="235" w:lineRule="auto"/>
        <w:tabs>
          <w:tab w:leader="none" w:pos="127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Program, Performance Share Units will be settled and paid in shares of the Company's common stock in the calendar year immediately following the end of the Performance Period on a date determined in the Company's discretion, but in no event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such calendar year (the "</w:t>
      </w:r>
      <w:r>
        <w:rPr>
          <w:rFonts w:ascii="Times New Roman" w:cs="Times New Roman" w:eastAsia="Times New Roman" w:hAnsi="Times New Roman"/>
          <w:sz w:val="20"/>
          <w:szCs w:val="20"/>
          <w:u w:val="single" w:color="auto"/>
          <w:color w:val="auto"/>
        </w:rPr>
        <w:t>Payment Date</w:t>
      </w:r>
      <w:r>
        <w:rPr>
          <w:rFonts w:ascii="Times New Roman" w:cs="Times New Roman" w:eastAsia="Times New Roman" w:hAnsi="Times New Roman"/>
          <w:sz w:val="20"/>
          <w:szCs w:val="20"/>
          <w:color w:val="auto"/>
        </w:rPr>
        <w:t>").</w:t>
      </w:r>
    </w:p>
    <w:p>
      <w:pPr>
        <w:spacing w:after="0" w:line="78" w:lineRule="exact"/>
        <w:rPr>
          <w:rFonts w:ascii="Times New Roman" w:cs="Times New Roman" w:eastAsia="Times New Roman" w:hAnsi="Times New Roman"/>
          <w:sz w:val="20"/>
          <w:szCs w:val="20"/>
          <w:color w:val="auto"/>
        </w:rPr>
      </w:pPr>
    </w:p>
    <w:p>
      <w:pPr>
        <w:jc w:val="both"/>
        <w:ind w:left="-656" w:firstLine="1304"/>
        <w:spacing w:after="0" w:line="212" w:lineRule="auto"/>
        <w:tabs>
          <w:tab w:leader="none" w:pos="127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Program, in the event of a Change of Control, the Committee may, in its sole discretion, terminate the Program and, unless otherwise determined by the Committee, the Participant shall be deemed to earn shares of the Company’s Common Stock at the target level; provided, however, the Participant shall only be entitled to a prorated portion of such shares of the Company’s Common Stock determined based on the ratio of the number of complete months the Participant is employed or serves during the Performance Period through the date of the change of control to the total number of originally scheduled months in the Performance Period (or the number of originally scheduled remaining months in the Performance Period if the Participant becomes an employee of the Company and/or its Subsidiaries after the start of the Performance Period). Any such earned shares of the Company’s Common Stock shall be issued contemporaneous with the Change of Control on the closing date of the Change of Control; provided, further, in the event of a Change of Control, Performance Share Units may, in the Committee’s discretion, be settled in cash and/or securities or other property.</w:t>
      </w:r>
    </w:p>
    <w:p>
      <w:pPr>
        <w:spacing w:after="0" w:line="16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Performance Share Units will not be credited with dividends that are paid on the Company's Common Stock.</w:t>
      </w:r>
    </w:p>
    <w:p>
      <w:pPr>
        <w:spacing w:after="0" w:line="175" w:lineRule="exact"/>
        <w:rPr>
          <w:rFonts w:ascii="Times New Roman" w:cs="Times New Roman" w:eastAsia="Times New Roman" w:hAnsi="Times New Roman"/>
          <w:sz w:val="20"/>
          <w:szCs w:val="20"/>
          <w:color w:val="auto"/>
        </w:rPr>
      </w:pPr>
    </w:p>
    <w:p>
      <w:pPr>
        <w:jc w:val="both"/>
        <w:ind w:left="-656" w:firstLine="656"/>
        <w:spacing w:after="0" w:line="212" w:lineRule="auto"/>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Participant's Status</w:t>
      </w:r>
      <w:r>
        <w:rPr>
          <w:rFonts w:ascii="Times New Roman" w:cs="Times New Roman" w:eastAsia="Times New Roman" w:hAnsi="Times New Roman"/>
          <w:sz w:val="20"/>
          <w:szCs w:val="20"/>
          <w:color w:val="auto"/>
        </w:rPr>
        <w:t>. In the event a Participant's employment with the Company or any Subsidiary is terminated (i) by reason of Retirement on or after January 1, 2023 (or such earlier date as may be expressly authorized by the Committee), or (ii) on account of death or total and permanent Disability prior to the Payment Date, the Participant shall be entitled to retain the Performance Share Units and receive payment therefore to the extent earned and payable pursuant to the provisions of this Program; provided, however, the Participant shall only be entitled to retain a prorated portion of the Performance Share Units determined at the end of the Performance Period and based on the ratio of the number of complete months the Participant is employed or serves during the Performance Period to the total number of months in the Performance Period (or the number of remaining months in the Performance Period if the Participant becomes an employee of the Company and/or its Subsidiaries after the start of the Performance Period). In the event a Participant's employment with the Company or any Subsidiary is terminated for any other reason, including, but not limited to, by the Participant voluntarily, or by the Company on account of a Termination for Cause or without cause, prior to the Payment Date, the Performance Share Units awarded to the Participant shall be cancelled and forfeited, whether payable or not, without payment by the Company or any Subsidiary. Any payments due a deceased Participant shall be paid to his estate as provided herein after the end of the Performance Period.</w:t>
      </w:r>
    </w:p>
    <w:p>
      <w:pPr>
        <w:sectPr>
          <w:pgSz w:w="11900" w:h="16838" w:orient="portrait"/>
          <w:cols w:equalWidth="0" w:num="1">
            <w:col w:w="10584"/>
          </w:cols>
          <w:pgMar w:left="976" w:top="1426" w:right="339" w:bottom="1440" w:gutter="0" w:footer="0" w:header="0"/>
        </w:sectPr>
      </w:pPr>
    </w:p>
    <w:bookmarkStart w:id="39" w:name="page40"/>
    <w:bookmarkEnd w:id="39"/>
    <w:p>
      <w:pPr>
        <w:jc w:val="both"/>
        <w:ind w:left="-656" w:firstLine="656"/>
        <w:spacing w:after="0" w:line="215" w:lineRule="auto"/>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Responsibilities of the Compensation Committee</w:t>
      </w:r>
      <w:r>
        <w:rPr>
          <w:rFonts w:ascii="Times New Roman" w:cs="Times New Roman" w:eastAsia="Times New Roman" w:hAnsi="Times New Roman"/>
          <w:sz w:val="20"/>
          <w:szCs w:val="20"/>
          <w:color w:val="auto"/>
        </w:rPr>
        <w:t>. In addition to the authority granted to the Compensation Committee under the Plan, the Compensation Committee has responsibility for all aspects of the Program's administration, including but not limited to: ensuring that the Program is administered in accordance with the provisions of the Program and the Plan; approving Participants; authorizing Performance Share Unit Awards to Participants; and adjusting Performance Share Units as authorized hereunder consistent with the terms of the Program and the Plan. All decisions of the Compensation Committee under the Program shall be final, conclusive and binding on all interest parties. No member of the Compensation Committee shall be liable for any action or determination made in good faith as to the Program or any Performance Share Units awarded thereunder.</w:t>
      </w:r>
    </w:p>
    <w:p>
      <w:pPr>
        <w:spacing w:after="0" w:line="16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Consequences/Withholding</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56" w:firstLine="1304"/>
        <w:spacing w:after="0" w:line="222" w:lineRule="auto"/>
        <w:tabs>
          <w:tab w:leader="none" w:pos="127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(i) a Participant's Performance Share Units shall be considered to be subject to a substantial risk of forfeiture in accordance with those terms as defined in Section 409A and 3121(v)(2) of the Code; and (ii) a Participant shall have merely an unfunded, unsecured promise to be paid a benefit, and such unfunded promise shall not consist of a transfer of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within the meaning of Code Section 83.</w:t>
      </w:r>
    </w:p>
    <w:p>
      <w:pPr>
        <w:spacing w:after="0" w:line="161" w:lineRule="exact"/>
        <w:rPr>
          <w:rFonts w:ascii="Times New Roman" w:cs="Times New Roman" w:eastAsia="Times New Roman" w:hAnsi="Times New Roman"/>
          <w:sz w:val="20"/>
          <w:szCs w:val="20"/>
          <w:color w:val="auto"/>
        </w:rPr>
      </w:pPr>
    </w:p>
    <w:p>
      <w:pPr>
        <w:jc w:val="both"/>
        <w:ind w:left="-656" w:firstLine="1304"/>
        <w:spacing w:after="0" w:line="215" w:lineRule="auto"/>
        <w:tabs>
          <w:tab w:leader="none" w:pos="127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any income for foreign, federal, state or local income tax purposes, including payroll taxes, that the Participant is required to recognize on account of the vesting of the Performance Share Units and/or issuance of the shares of Common Stock under this Award to Participant shall be subject to withholding of tax by the Company. In accordance with administrative procedures established by the Company, in order to satisfy Participant’s minimum statutory withholding tax obligations, if any, on account of the vesting of the Performance Share Units and/or issuance of shares of Common Stock under this Award, the Company will withhold from the Performance Share Units to be issued to the Participant a sufficient number of whole shares distributable in connection with this Award equal to the applicable minimum statutory withholding tax obligation.</w:t>
      </w:r>
    </w:p>
    <w:p>
      <w:pPr>
        <w:spacing w:after="0" w:line="150" w:lineRule="exact"/>
        <w:rPr>
          <w:rFonts w:ascii="Times New Roman" w:cs="Times New Roman" w:eastAsia="Times New Roman" w:hAnsi="Times New Roman"/>
          <w:sz w:val="20"/>
          <w:szCs w:val="20"/>
          <w:color w:val="auto"/>
        </w:rPr>
      </w:pPr>
    </w:p>
    <w:p>
      <w:pPr>
        <w:jc w:val="both"/>
        <w:ind w:left="-656" w:firstLine="1304"/>
        <w:spacing w:after="0" w:line="215" w:lineRule="auto"/>
        <w:tabs>
          <w:tab w:leader="none" w:pos="127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Program is intended to be excepted from coverage under Section 409A and shall be construed accordingly. Notwithstanding any provision of this Program to the contrary, if any benefit provided under this Program is subject to the provisions of Section 409A, the provisions of the Program will be administered, interpreted and construed in a manner necessary to comply with Section 409A (or disregarded to the extent such provision cannot be so administered, interpreted or construed). Notwithstanding, Section 409A may impose upon the Participant certain taxes or other charges for which the Participant is and shall remain solely responsible, and nothing contained in this Program or the Plan shall be construed to obligate the Compensation Committee, the Company or any Subsidiary for any such taxes or other charges</w:t>
      </w:r>
    </w:p>
    <w:p>
      <w:pPr>
        <w:spacing w:after="0" w:line="164"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56" w:firstLine="1304"/>
        <w:spacing w:after="0" w:line="216" w:lineRule="auto"/>
        <w:tabs>
          <w:tab w:leader="none" w:pos="127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hereunder agree that this Section 11 is reasonable and necessary in order to protect the legitimate business interests and goodwill of the Company, including the Company's trade secrets, valuable confidential business and professional information, substantial relationships with prospective and existing customers and clients, and specialized training provided to Participants and other employees of the Company. The Participants acknowledge and recognize the highly competitive nature of the business of the Company and its Subsidiaries and accordingly agree that during the term of each of their employment and for a period of two (2) years after the termination thereof:</w:t>
      </w:r>
    </w:p>
    <w:p>
      <w:pPr>
        <w:spacing w:after="0" w:line="175" w:lineRule="exact"/>
        <w:rPr>
          <w:rFonts w:ascii="Times New Roman" w:cs="Times New Roman" w:eastAsia="Times New Roman" w:hAnsi="Times New Roman"/>
          <w:sz w:val="20"/>
          <w:szCs w:val="20"/>
          <w:color w:val="auto"/>
        </w:rPr>
      </w:pPr>
    </w:p>
    <w:p>
      <w:pPr>
        <w:jc w:val="both"/>
        <w:ind w:left="-656" w:firstLine="1952"/>
        <w:spacing w:after="0" w:line="215" w:lineRule="auto"/>
        <w:tabs>
          <w:tab w:leader="none" w:pos="1924"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engage in any business substantially similar to any line of business conducted by the Company or any of its Subsidiaries, including, but not limited to, where such engagement is as an officer, director, proprietor, employee, partner, investor (other than as a holder of less than 1% of the outstanding capital stock of a publicly traded corporation), consultant, advisor, agent or sales representative, in any geographic region in which the Company or any of its Subsidiaries conducted business;</w:t>
      </w:r>
    </w:p>
    <w:p>
      <w:pPr>
        <w:sectPr>
          <w:pgSz w:w="11900" w:h="16838" w:orient="portrait"/>
          <w:cols w:equalWidth="0" w:num="1">
            <w:col w:w="10584"/>
          </w:cols>
          <w:pgMar w:left="976" w:top="1426" w:right="339" w:bottom="1440" w:gutter="0" w:footer="0" w:header="0"/>
        </w:sectPr>
      </w:pPr>
    </w:p>
    <w:bookmarkStart w:id="40" w:name="page41"/>
    <w:bookmarkEnd w:id="40"/>
    <w:p>
      <w:pPr>
        <w:ind w:left="-656" w:firstLine="1952"/>
        <w:spacing w:after="0" w:line="229" w:lineRule="auto"/>
        <w:tabs>
          <w:tab w:leader="none" w:pos="193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contact, solicit, perform services for, or accept business from any customer or prospective customer of the Company or any of its Subsidiaries in any line of business conducted by the Company or any of its subsidiaries;</w:t>
      </w:r>
    </w:p>
    <w:p>
      <w:pPr>
        <w:spacing w:after="0" w:line="173" w:lineRule="exact"/>
        <w:rPr>
          <w:rFonts w:ascii="Times New Roman" w:cs="Times New Roman" w:eastAsia="Times New Roman" w:hAnsi="Times New Roman"/>
          <w:sz w:val="22"/>
          <w:szCs w:val="22"/>
          <w:color w:val="auto"/>
        </w:rPr>
      </w:pPr>
    </w:p>
    <w:p>
      <w:pPr>
        <w:jc w:val="both"/>
        <w:ind w:left="-656" w:firstLine="1952"/>
        <w:spacing w:after="0" w:line="212" w:lineRule="auto"/>
        <w:tabs>
          <w:tab w:leader="none" w:pos="1936"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induce any employee of the Company or any of its Subsidiaries to: (1) engage in any activity or conduct which is prohibited pursuant to subparagraph 11(a)(i) or (2) terminate such employee's employment with the Company or any of its Subsidiaries. Moreover, the Participants will not directly or indirectly employ or offer employment (in connection with any business substantially similar to any line of business conducted by the Company or any of its Subsidiaries) to any person who was employed by the Company or any of its Subsidiaries unless such person shall have ceased to be employed by the Company or any of its Subsidiaries for a period of at least 12 months; and</w:t>
      </w:r>
    </w:p>
    <w:p>
      <w:pPr>
        <w:spacing w:after="0" w:line="178" w:lineRule="exact"/>
        <w:rPr>
          <w:rFonts w:ascii="Times New Roman" w:cs="Times New Roman" w:eastAsia="Times New Roman" w:hAnsi="Times New Roman"/>
          <w:sz w:val="22"/>
          <w:szCs w:val="22"/>
          <w:color w:val="auto"/>
        </w:rPr>
      </w:pPr>
    </w:p>
    <w:p>
      <w:pPr>
        <w:ind w:left="-656" w:firstLine="1952"/>
        <w:spacing w:after="0" w:line="229" w:lineRule="auto"/>
        <w:tabs>
          <w:tab w:leader="none" w:pos="192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will not directly or indirectly assist others in engaging in any of the activities, which are prohibited under subparagraphs (a)(i-iii) above.</w:t>
      </w:r>
    </w:p>
    <w:p>
      <w:pPr>
        <w:spacing w:after="0" w:line="160" w:lineRule="exact"/>
        <w:rPr>
          <w:rFonts w:ascii="Times New Roman" w:cs="Times New Roman" w:eastAsia="Times New Roman" w:hAnsi="Times New Roman"/>
          <w:sz w:val="22"/>
          <w:szCs w:val="22"/>
          <w:color w:val="auto"/>
        </w:rPr>
      </w:pPr>
    </w:p>
    <w:p>
      <w:pPr>
        <w:jc w:val="both"/>
        <w:ind w:left="-656" w:firstLine="1304"/>
        <w:spacing w:after="0" w:line="213" w:lineRule="auto"/>
        <w:tabs>
          <w:tab w:leader="none" w:pos="127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expressly understood and agreed that although the Participants and the Company consider the restrictions contained in this Section 11 to be reasonable, if a final judicial determination is made by a court of competent jurisdiction that the time or territory or any other restriction contained in this Program is an unenforceable restriction against any Participant, the provisions of this Program shall not be rendered void but shall be deemed amended to apply as to such maximum time and territory and to such maximum extent as such court may judicially determine or indicate to be enforceable against such Participant. Alternatively, if any court of competent jurisdiction finds that any restriction contained in this Program is unenforceable, and such restriction cannot be amended so as to make it enforceable, such finding shall not affect the enforceability of any of the other restrictions contained herein. The restrictive covenants set forth in this Section 11 shall be extended by any amount of time that a Participant is in breach of such covenants, such that the Company receives the full benefit of the time duration set forth above.</w:t>
      </w:r>
    </w:p>
    <w:p>
      <w:pPr>
        <w:spacing w:after="0" w:line="147" w:lineRule="exact"/>
        <w:rPr>
          <w:rFonts w:ascii="Times New Roman" w:cs="Times New Roman" w:eastAsia="Times New Roman" w:hAnsi="Times New Roman"/>
          <w:sz w:val="20"/>
          <w:szCs w:val="20"/>
          <w:color w:val="auto"/>
        </w:rPr>
      </w:pPr>
    </w:p>
    <w:p>
      <w:pPr>
        <w:jc w:val="both"/>
        <w:ind w:left="-656" w:firstLine="656"/>
        <w:spacing w:after="0" w:line="222" w:lineRule="auto"/>
        <w:tabs>
          <w:tab w:leader="none" w:pos="631"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and Trade Secrets</w:t>
      </w:r>
      <w:r>
        <w:rPr>
          <w:rFonts w:ascii="Times New Roman" w:cs="Times New Roman" w:eastAsia="Times New Roman" w:hAnsi="Times New Roman"/>
          <w:sz w:val="19"/>
          <w:szCs w:val="19"/>
          <w:color w:val="auto"/>
        </w:rPr>
        <w:t>. The Participants and the Company agree that certain materials, including, but not limited to, information, data and other materials relating to customers, development programs, costs, marketing, trading, investment, sales activities, promotion, credit and financial data, manufacturing processes, financing methods, plans or the business and affairs of the Company and its Subsidiaries, constitute proprietary confidential information and trade secrets. Accordingly, the Participants will not at any time during or after a Participant's employment with the Company (including any Subsidiary) disclose or use for such Participant's own benefit or purposes or the benefit or purposes of any other person, firm, partnership, joint venture, association, corporation or other business organization, entity or enterprise other than the Company and any of its affiliates, any proprietary confidential information or trade secrets, provided that the foregoing shall not apply to information which is not unique to the Company or any of its Subsidiaries or which is generally known to the industry or the public other than as a result of such Participant's breach of this covenant. The Participants agree that upon termination of employment with the Company (including any Subsidiary) for any reason, the Participants will immediately return to the Company all memoranda, books, papers, plans, information, letters and other data, and all copies thereof or therefrom, which in any way relate to the business of the Company and its Subsidiaries, except that the Participants may retain personal notes, notebooks and diaries. The Participants further agree that the Participants will not retain or use for their own account at any time any trade names, trademark or other proprietary business designation used or owned in connection with the business of the Company or any of its Subsidiaries.</w:t>
      </w:r>
    </w:p>
    <w:p>
      <w:pPr>
        <w:spacing w:after="0" w:line="167" w:lineRule="exact"/>
        <w:rPr>
          <w:rFonts w:ascii="Times New Roman" w:cs="Times New Roman" w:eastAsia="Times New Roman" w:hAnsi="Times New Roman"/>
          <w:sz w:val="19"/>
          <w:szCs w:val="19"/>
          <w:color w:val="auto"/>
        </w:rPr>
      </w:pPr>
    </w:p>
    <w:p>
      <w:pPr>
        <w:ind w:left="644" w:hanging="644"/>
        <w:spacing w:after="0"/>
        <w:tabs>
          <w:tab w:leader="none" w:pos="6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Remedies/Forfeiture/Recoupment</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56" w:firstLine="1304"/>
        <w:spacing w:after="0" w:line="220" w:lineRule="auto"/>
        <w:tabs>
          <w:tab w:leader="none" w:pos="127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acknowledge that a violation or attempted violation on a Participant's part of Sections 11 and 12 will cause irreparable damage to the Company and its Subsidiaries, and the Participants therefore agree that the Company and its Subsidiaries shall be entitled as a matter of right to an injunction, out of any court of competent jurisdiction, restraining any violation or further violation of such promises by the Participants or a Participant's employees, partners or agents. The Participants agree that such right to an injunction is cumulative and in addition to whatever other</w:t>
      </w:r>
    </w:p>
    <w:p>
      <w:pPr>
        <w:sectPr>
          <w:pgSz w:w="11900" w:h="16838" w:orient="portrait"/>
          <w:cols w:equalWidth="0" w:num="1">
            <w:col w:w="10584"/>
          </w:cols>
          <w:pgMar w:left="976"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9"/>
          <w:szCs w:val="19"/>
          <w:color w:val="auto"/>
        </w:rPr>
        <w:t>remedies the Company (including any Subsidiary) may have under law or equity, and the Participants' obligations to make timely payment to</w:t>
      </w:r>
    </w:p>
    <w:p>
      <w:pPr>
        <w:spacing w:after="0" w:line="203" w:lineRule="auto"/>
        <w:rPr>
          <w:sz w:val="20"/>
          <w:szCs w:val="20"/>
          <w:color w:val="auto"/>
        </w:rPr>
      </w:pPr>
      <w:r>
        <w:rPr>
          <w:rFonts w:ascii="Times New Roman" w:cs="Times New Roman" w:eastAsia="Times New Roman" w:hAnsi="Times New Roman"/>
          <w:sz w:val="20"/>
          <w:szCs w:val="20"/>
          <w:color w:val="auto"/>
        </w:rPr>
        <w:t xml:space="preserve">the Company as set forth in Section 13(b) of this Program. </w:t>
      </w:r>
      <w:r>
        <w:rPr>
          <w:rFonts w:ascii="Times New Roman" w:cs="Times New Roman" w:eastAsia="Times New Roman" w:hAnsi="Times New Roman"/>
          <w:sz w:val="20"/>
          <w:szCs w:val="20"/>
          <w:b w:val="1"/>
          <w:bCs w:val="1"/>
          <w:i w:val="1"/>
          <w:iCs w:val="1"/>
          <w:color w:val="auto"/>
        </w:rPr>
        <w:t>The Participants further acknowledge and agree that a Participant's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Performance Share Units shall be cancelled and forfeited without payment by the Company if such Participant breaches any of his or her obligations set forth in Section 11 and 12 herein.</w:t>
      </w:r>
    </w:p>
    <w:p>
      <w:pPr>
        <w:spacing w:after="0" w:line="162" w:lineRule="exact"/>
        <w:rPr>
          <w:sz w:val="20"/>
          <w:szCs w:val="20"/>
          <w:color w:val="auto"/>
        </w:rPr>
      </w:pPr>
    </w:p>
    <w:p>
      <w:pPr>
        <w:jc w:val="both"/>
        <w:ind w:firstLine="1304"/>
        <w:spacing w:after="0" w:line="222" w:lineRule="auto"/>
        <w:tabs>
          <w:tab w:leader="none" w:pos="1932"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point after becoming aware of a breach of any obligation set forth in Sections 11 and/or 12 of this Program, the Company shall provide notice of such breach to a Participant. By agreeing to participate in this Program, the Participants agree that within ten (10) days after the date the Company provides such notice, a Participant shall pay to the Company in cash an amount equal to any and all distributions paid to or on behalf of such Participant under this Program within the six (6) months prior to the date of the earliest breach. The Participant agrees that failure to make such timely payment to the Company constitutes an independent and material breach of the terms and conditions of this Program, for which the Company may seek recovery of the unpaid amount as liquidated damages, in addition to all other rights and remedies the Company may have resulting from a Participant's breach of the obligations set forth in Sections 11 and 12. The Participants agree that timely payment to the Company as set forth in this provision of the Program is reasonable and necessary because the compensatory damages that will result from breaches of Sections 11 and/or 12 cannot readily be ascertained. Further, the Participants agree that timely payment to the Company as set forth in this provision of the Program is not a penalty, and it does not preclude the Company from seeking all other remedies that may be available to the Company, including without limitation those set forth in this Section 13.</w:t>
      </w:r>
    </w:p>
    <w:p>
      <w:pPr>
        <w:spacing w:after="0" w:line="166" w:lineRule="exact"/>
        <w:rPr>
          <w:rFonts w:ascii="Times New Roman" w:cs="Times New Roman" w:eastAsia="Times New Roman" w:hAnsi="Times New Roman"/>
          <w:sz w:val="19"/>
          <w:szCs w:val="19"/>
          <w:color w:val="auto"/>
        </w:rPr>
      </w:pPr>
    </w:p>
    <w:p>
      <w:pPr>
        <w:ind w:right="60" w:firstLine="1304"/>
        <w:spacing w:after="0" w:line="211" w:lineRule="auto"/>
        <w:tabs>
          <w:tab w:leader="none" w:pos="193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provisions herein, any Performance Share Units or other compensation (equity or cash) subject to recovery under any law, government regulation, stock exchange listing requirement, or Company policy, including the L.B. Foster Executive Recoupment Policy (incorporated herein by reference), shall be subject to such deductions, recoupment, and clawback as may be required to be made pursuant to such law, government regulation, stock exchange listing requirement or Company policy, as may be in effect from time to time, and which may operate to create additional rights for the Company with respect to this Award and any other compensation paid or payable by the Company and recovery of such amounts relating thereto. By accepting this Award, Participant agrees and acknowledges that he or she is obligated to cooperate with, and provide any and all assistance necessary to, the Company to recover, recoup, or recapture this Award or any other applicable compensatory amounts pursuant to such law, government regulation, stock exchange listing requirement or Company policy. Such cooperation and assistance shall include, but is not limited to, executing, completing and submitting any documentation necessary to recover, recoup or recapture this Award or such other compensatory amounts from Participant’s accounts, or pending or future compensation or other grants.</w:t>
      </w:r>
    </w:p>
    <w:p>
      <w:pPr>
        <w:spacing w:after="0" w:line="16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Assignment/Nonassignment</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the right to assign this Program, including without limitation Section 11, and the Participants agree to remain obligated by all provisions of this Program that are assigned to any successor, assign or surviving entity. The obligations of the Company under the Program shall be binding upon the successors and assigns of the Company. Any successor to the Company is an intended third party beneficiary of this Program.</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Share Units shall not be sold, pledged, assigned, hypothecated, transferred or disposed of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in any manner, other than by will or the laws of descent and distribution. Any attempt by a Participant to Transfer the Performance Share Units in violation of the terms of the Program shall render the Performance Share Units null and void, and result in the immediate forfeiture of such Performance Share Units, without payment by the Company or any Subsidiary.</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on Benefit Plans</w:t>
      </w:r>
      <w:r>
        <w:rPr>
          <w:rFonts w:ascii="Times New Roman" w:cs="Times New Roman" w:eastAsia="Times New Roman" w:hAnsi="Times New Roman"/>
          <w:sz w:val="20"/>
          <w:szCs w:val="20"/>
          <w:color w:val="auto"/>
        </w:rPr>
        <w:t>. Payments under the Program shall not be considered as earnings for purposes of the Company's and/or Affiliate's qualified retirement plans or any such retirement or benefit plan unless specifically provided for therein. Nothing herein shall prevent the Company or any Affiliate from maintaining additional compensation plans and arrangements for its employees.</w:t>
      </w:r>
    </w:p>
    <w:p>
      <w:pPr>
        <w:sectPr>
          <w:pgSz w:w="11900" w:h="16838" w:orient="portrait"/>
          <w:cols w:equalWidth="0" w:num="1">
            <w:col w:w="11240"/>
          </w:cols>
          <w:pgMar w:left="320" w:top="1426" w:right="339" w:bottom="1440" w:gutter="0" w:footer="0" w:header="0"/>
        </w:sectPr>
      </w:pPr>
    </w:p>
    <w:bookmarkStart w:id="42" w:name="page43"/>
    <w:bookmarkEnd w:id="42"/>
    <w:p>
      <w:pPr>
        <w:jc w:val="both"/>
        <w:ind w:left="-656" w:firstLine="656"/>
        <w:spacing w:after="0" w:line="220" w:lineRule="auto"/>
        <w:tabs>
          <w:tab w:leader="none" w:pos="6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Stock</w:t>
      </w:r>
      <w:r>
        <w:rPr>
          <w:rFonts w:ascii="Times New Roman" w:cs="Times New Roman" w:eastAsia="Times New Roman" w:hAnsi="Times New Roman"/>
          <w:sz w:val="20"/>
          <w:szCs w:val="20"/>
          <w:color w:val="auto"/>
        </w:rPr>
        <w:t>. In the event of a stock split, stock dividend, or similar event, the Performance Share Units and the shares of Company common stock on which the Performance Conditions are based shall be appropriately adjusted to prevent dilution or enlargement of the rights of Participants which would otherwise result from any such transaction, provided such adjustment shall be consistent with Code Section 409A. In the case of a Change of Control, any obligation under the Program shall be handled in accordance with the terms of Section 6(c) hereof.</w:t>
      </w:r>
    </w:p>
    <w:p>
      <w:pPr>
        <w:spacing w:after="0" w:line="147"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and Venue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56" w:firstLine="1304"/>
        <w:spacing w:after="0"/>
        <w:tabs>
          <w:tab w:leader="none" w:pos="127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Program shall be governed by and construed in accordance with the laws of the Commonwealth of Pennsylvania, without giving effect to the principles of conflicts of law.</w:t>
      </w:r>
    </w:p>
    <w:p>
      <w:pPr>
        <w:spacing w:after="0" w:line="147" w:lineRule="exact"/>
        <w:rPr>
          <w:rFonts w:ascii="Times New Roman" w:cs="Times New Roman" w:eastAsia="Times New Roman" w:hAnsi="Times New Roman"/>
          <w:sz w:val="20"/>
          <w:szCs w:val="20"/>
          <w:color w:val="auto"/>
        </w:rPr>
      </w:pPr>
    </w:p>
    <w:p>
      <w:pPr>
        <w:jc w:val="both"/>
        <w:ind w:left="-656" w:firstLine="1304"/>
        <w:spacing w:after="0" w:line="220" w:lineRule="auto"/>
        <w:tabs>
          <w:tab w:leader="none" w:pos="127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irrevocably submits to the personal and exclusive jurisdiction of the United States District Court for the Western District of Pennsylvania or the Court of Common Pleas of Allegheny County, Pennsylvania in any action or proceeding arising out of, or relating to, this Program (whether such action or proceeding arises under contract, tort, equity or otherwise). Participant hereby irrevocably waives any objection which Participant now or hereafter may have to the laying of venue or personal jurisdiction of any such action or proceeding brought in said courts.</w:t>
      </w:r>
    </w:p>
    <w:p>
      <w:pPr>
        <w:spacing w:after="0" w:line="147" w:lineRule="exact"/>
        <w:rPr>
          <w:rFonts w:ascii="Times New Roman" w:cs="Times New Roman" w:eastAsia="Times New Roman" w:hAnsi="Times New Roman"/>
          <w:sz w:val="20"/>
          <w:szCs w:val="20"/>
          <w:color w:val="auto"/>
        </w:rPr>
      </w:pPr>
    </w:p>
    <w:p>
      <w:pPr>
        <w:ind w:left="-656" w:right="20" w:firstLine="1304"/>
        <w:spacing w:after="0"/>
        <w:tabs>
          <w:tab w:leader="none" w:pos="127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Jurisdiction over, and venue of, any such action or proceeding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xml:space="preserve"> be exclusively vested in the United States District Court for the Western District of Pennsylvania or the Court of Common Pleas of Allegheny County, Pennsylvania.</w:t>
      </w:r>
    </w:p>
    <w:p>
      <w:pPr>
        <w:spacing w:after="0" w:line="161" w:lineRule="exact"/>
        <w:rPr>
          <w:rFonts w:ascii="Times New Roman" w:cs="Times New Roman" w:eastAsia="Times New Roman" w:hAnsi="Times New Roman"/>
          <w:sz w:val="20"/>
          <w:szCs w:val="20"/>
          <w:color w:val="auto"/>
        </w:rPr>
      </w:pPr>
    </w:p>
    <w:p>
      <w:pPr>
        <w:jc w:val="both"/>
        <w:ind w:left="-656" w:firstLine="1304"/>
        <w:spacing w:after="0" w:line="216" w:lineRule="auto"/>
        <w:tabs>
          <w:tab w:leader="none" w:pos="127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the Company commences any such action or proceeding in the courts identified in Section 17(b), Participant irrevocably waives Participant's right to object to or challenge the above selected forum on the basis of inconvenience or unfairness under 28 U.S.C. § 1404, 42 Pa. C.S. § 5322 or similar state or federal statutes. Participant agrees to reimburse the Company for all of the attorney fees and costs it incurs to oppose Participant's efforts to challenge or object to litigation proceeding in the courts identified in Section 17(b) with respect to actions arising out of or relating to this Program (whether such actions arise under contract, tort, equity or otherwise).</w:t>
      </w:r>
    </w:p>
    <w:p>
      <w:pPr>
        <w:spacing w:after="0" w:line="162" w:lineRule="exact"/>
        <w:rPr>
          <w:rFonts w:ascii="Times New Roman" w:cs="Times New Roman" w:eastAsia="Times New Roman" w:hAnsi="Times New Roman"/>
          <w:sz w:val="20"/>
          <w:szCs w:val="20"/>
          <w:color w:val="auto"/>
        </w:rPr>
      </w:pPr>
    </w:p>
    <w:p>
      <w:pPr>
        <w:ind w:left="-656" w:firstLine="656"/>
        <w:spacing w:after="0" w:line="233" w:lineRule="auto"/>
        <w:tabs>
          <w:tab w:leader="none" w:pos="6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Enforce Not a Waiver</w:t>
      </w:r>
      <w:r>
        <w:rPr>
          <w:rFonts w:ascii="Times New Roman" w:cs="Times New Roman" w:eastAsia="Times New Roman" w:hAnsi="Times New Roman"/>
          <w:sz w:val="20"/>
          <w:szCs w:val="20"/>
          <w:color w:val="auto"/>
        </w:rPr>
        <w:t>. The failure of the Company to enforce at any time any provision of this Program shall in no way be construed to be a waiver of such provision or of any other provision hereof.</w:t>
      </w:r>
    </w:p>
    <w:p>
      <w:pPr>
        <w:spacing w:after="0" w:line="160" w:lineRule="exact"/>
        <w:rPr>
          <w:rFonts w:ascii="Times New Roman" w:cs="Times New Roman" w:eastAsia="Times New Roman" w:hAnsi="Times New Roman"/>
          <w:sz w:val="20"/>
          <w:szCs w:val="20"/>
          <w:color w:val="auto"/>
        </w:rPr>
      </w:pPr>
    </w:p>
    <w:p>
      <w:pPr>
        <w:ind w:left="-656" w:right="20" w:firstLine="656"/>
        <w:spacing w:after="0"/>
        <w:tabs>
          <w:tab w:leader="none" w:pos="6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one or more of the provisions of this Program shall be held to be invalid, illegal or unenforceable, the validity, legality or enforceability of the remaining provisions shall not in any way be affected or impaired thereby.</w:t>
      </w:r>
    </w:p>
    <w:p>
      <w:pPr>
        <w:spacing w:after="0" w:line="147" w:lineRule="exact"/>
        <w:rPr>
          <w:rFonts w:ascii="Times New Roman" w:cs="Times New Roman" w:eastAsia="Times New Roman" w:hAnsi="Times New Roman"/>
          <w:sz w:val="20"/>
          <w:szCs w:val="20"/>
          <w:color w:val="auto"/>
        </w:rPr>
      </w:pPr>
    </w:p>
    <w:p>
      <w:pPr>
        <w:jc w:val="both"/>
        <w:ind w:left="-656" w:firstLine="656"/>
        <w:spacing w:after="0" w:line="220" w:lineRule="auto"/>
        <w:tabs>
          <w:tab w:leader="none" w:pos="6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w:t>
      </w:r>
      <w:r>
        <w:rPr>
          <w:rFonts w:ascii="Times New Roman" w:cs="Times New Roman" w:eastAsia="Times New Roman" w:hAnsi="Times New Roman"/>
          <w:sz w:val="20"/>
          <w:szCs w:val="20"/>
          <w:color w:val="auto"/>
        </w:rPr>
        <w:t>. The Program is not funded and all amounts payable hereunder, if any, shall be paid from the general assets of the Company or its Affiliate, as applicable. No provision contained in this Program or the Plan and no action taken pursuant to the provisions of this Program or the Plan shall create a trust of any kind or require the Company to maintain or set aside any specific funds to pay benefits hereunder. To the extent a Participant acquires a right to receive payments from the Company under the Program, such right shall be no greater than the right of any unsecured general creditor of the Company.</w:t>
      </w:r>
    </w:p>
    <w:p>
      <w:pPr>
        <w:spacing w:after="0" w:line="160" w:lineRule="exact"/>
        <w:rPr>
          <w:rFonts w:ascii="Times New Roman" w:cs="Times New Roman" w:eastAsia="Times New Roman" w:hAnsi="Times New Roman"/>
          <w:sz w:val="20"/>
          <w:szCs w:val="20"/>
          <w:color w:val="auto"/>
        </w:rPr>
      </w:pPr>
    </w:p>
    <w:p>
      <w:pPr>
        <w:ind w:left="-656" w:firstLine="656"/>
        <w:spacing w:after="0" w:line="233" w:lineRule="auto"/>
        <w:tabs>
          <w:tab w:leader="none" w:pos="6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descriptive headings of the Sections of this Program are inserted for convenience of reference only and shall not constitute a part of this Program.</w:t>
      </w:r>
    </w:p>
    <w:p>
      <w:pPr>
        <w:spacing w:after="0" w:line="160" w:lineRule="exact"/>
        <w:rPr>
          <w:rFonts w:ascii="Times New Roman" w:cs="Times New Roman" w:eastAsia="Times New Roman" w:hAnsi="Times New Roman"/>
          <w:sz w:val="20"/>
          <w:szCs w:val="20"/>
          <w:color w:val="auto"/>
        </w:rPr>
      </w:pPr>
    </w:p>
    <w:p>
      <w:pPr>
        <w:jc w:val="both"/>
        <w:ind w:left="-656" w:firstLine="656"/>
        <w:spacing w:after="0" w:line="216" w:lineRule="auto"/>
        <w:tabs>
          <w:tab w:leader="none" w:pos="63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 of this Program</w:t>
      </w:r>
      <w:r>
        <w:rPr>
          <w:rFonts w:ascii="Times New Roman" w:cs="Times New Roman" w:eastAsia="Times New Roman" w:hAnsi="Times New Roman"/>
          <w:sz w:val="20"/>
          <w:szCs w:val="20"/>
          <w:color w:val="auto"/>
        </w:rPr>
        <w:t>. This Program may be modified, amended, suspended or terminated by the Committee at any time. Notwithstanding the foregoing or any provision of this Program to the contrary, the Committee may, in the sole discretion and without the Participants’ consent, modify or amend the terms of the Program or a Performance Grant, or take any other action it deems necessary or advisable, to cause the Program to comply with Section 409A. Any modification, amendment, suspension or termination shall only be effective upon a writing issued by the Committee, and a Participant shall not offer evidence of any purported oral modifications or amendments to vary or contradict the terms of this Program document.</w:t>
      </w:r>
    </w:p>
    <w:p>
      <w:pPr>
        <w:sectPr>
          <w:pgSz w:w="11900" w:h="16838" w:orient="portrait"/>
          <w:cols w:equalWidth="0" w:num="1">
            <w:col w:w="10584"/>
          </w:cols>
          <w:pgMar w:left="976" w:top="1426" w:right="339"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this Program on the day and year indicated below. This Program may be</w:t>
      </w:r>
    </w:p>
    <w:p>
      <w:pPr>
        <w:spacing w:after="0" w:line="221" w:lineRule="auto"/>
        <w:rPr>
          <w:sz w:val="20"/>
          <w:szCs w:val="20"/>
          <w:color w:val="auto"/>
        </w:rPr>
      </w:pPr>
      <w:r>
        <w:rPr>
          <w:rFonts w:ascii="Times New Roman" w:cs="Times New Roman" w:eastAsia="Times New Roman" w:hAnsi="Times New Roman"/>
          <w:sz w:val="20"/>
          <w:szCs w:val="20"/>
          <w:color w:val="auto"/>
        </w:rPr>
        <w:t>executed in more than one counterpart, each of which is deemed to be an original and all of which taken together constitute one and the same agreement.</w:t>
      </w:r>
    </w:p>
    <w:p>
      <w:pPr>
        <w:sectPr>
          <w:pgSz w:w="11900" w:h="16838" w:orient="portrait"/>
          <w:cols w:equalWidth="0" w:num="1">
            <w:col w:w="11240"/>
          </w:cols>
          <w:pgMar w:left="320" w:top="14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10, 2023</w:t>
            </w:r>
          </w:p>
        </w:tc>
        <w:tc>
          <w:tcPr>
            <w:tcW w:w="280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98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May 10, 2023</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March 31, 2023,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10, 2023</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10, 2023</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30"/>
        </w:trPr>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234"/>
        </w:trPr>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upperLetter"/>
      <w:start w:val="9"/>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upperLetter"/>
      <w:start w:val="35"/>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upperLetter"/>
      <w:start w:val="6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2"/>
    </w:lvl>
  </w:abstractNum>
  <w:abstractNum w:abstractNumId="15">
    <w:nsid w:val="4353D0CD"/>
    <w:multiLevelType w:val="hybridMultilevel"/>
    <w:lvl w:ilvl="0">
      <w:lvlJc w:val="left"/>
      <w:lvlText w:val="%1."/>
      <w:numFmt w:val="lowerLetter"/>
      <w:start w:val="2"/>
    </w:lvl>
    <w:lvl w:ilvl="1">
      <w:lvlJc w:val="left"/>
      <w:lvlText w:val="1"/>
      <w:numFmt w:val="bullet"/>
      <w:start w:val="1"/>
    </w:lvl>
  </w:abstractNum>
  <w:abstractNum w:abstractNumId="16">
    <w:nsid w:val="B03E0C6"/>
    <w:multiLevelType w:val="hybridMultilevel"/>
    <w:lvl w:ilvl="0">
      <w:lvlJc w:val="left"/>
      <w:lvlText w:val="%1."/>
      <w:numFmt w:val="lowerLetter"/>
      <w:start w:val="4"/>
    </w:lvl>
  </w:abstractNum>
  <w:abstractNum w:abstractNumId="17">
    <w:nsid w:val="189A769B"/>
    <w:multiLevelType w:val="hybridMultilevel"/>
    <w:lvl w:ilvl="0">
      <w:lvlJc w:val="left"/>
      <w:lvlText w:val="%1."/>
      <w:numFmt w:val="upperLetter"/>
      <w:start w:val="6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3"/>
    </w:lvl>
    <w:lvl w:ilvl="1">
      <w:lvlJc w:val="left"/>
      <w:lvlText w:val="(%2)"/>
      <w:numFmt w:val="lowerRoman"/>
      <w:start w:val="1"/>
    </w:lvl>
  </w:abstractNum>
  <w:abstractNum w:abstractNumId="20">
    <w:nsid w:val="2CA88611"/>
    <w:multiLevelType w:val="hybridMultilevel"/>
    <w:lvl w:ilvl="0">
      <w:lvlJc w:val="left"/>
      <w:lvlText w:val="(%1)"/>
      <w:numFmt w:val="lowerLetter"/>
      <w:start w:val="5"/>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3"/>
    </w:lvl>
  </w:abstractNum>
  <w:abstractNum w:abstractNumId="23">
    <w:nsid w:val="3A95F874"/>
    <w:multiLevelType w:val="hybridMultilevel"/>
    <w:lvl w:ilvl="0">
      <w:lvlJc w:val="left"/>
      <w:lvlText w:val="%1."/>
      <w:numFmt w:val="decimal"/>
      <w:start w:val="1"/>
    </w:lvl>
    <w:lvl w:ilvl="1">
      <w:lvlJc w:val="left"/>
      <w:lvlText w:val="(%2)"/>
      <w:numFmt w:val="lowerLetter"/>
      <w:start w:val="1"/>
    </w:lvl>
  </w:abstractNum>
  <w:abstractNum w:abstractNumId="24">
    <w:nsid w:val="8138641"/>
    <w:multiLevelType w:val="hybridMultilevel"/>
    <w:lvl w:ilvl="0">
      <w:lvlJc w:val="left"/>
      <w:lvlText w:val="%1."/>
      <w:numFmt w:val="decimal"/>
      <w:start w:val="5"/>
    </w:lvl>
    <w:lvl w:ilvl="1">
      <w:lvlJc w:val="left"/>
      <w:lvlText w:val="(%2)"/>
      <w:numFmt w:val="lowerLetter"/>
      <w:start w:val="1"/>
    </w:lvl>
  </w:abstractNum>
  <w:abstractNum w:abstractNumId="25">
    <w:nsid w:val="1E7FF52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6">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
    <w:nsid w:val="737B8D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
    <w:nsid w:val="6CEAF087"/>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9">
    <w:nsid w:val="22221A70"/>
    <w:multiLevelType w:val="hybridMultilevel"/>
    <w:lvl w:ilvl="0">
      <w:lvlJc w:val="left"/>
      <w:lvlText w:val="%1"/>
      <w:numFmt w:val="decimal"/>
      <w:start w:val="1"/>
    </w:lvl>
    <w:lvl w:ilvl="1">
      <w:lvlJc w:val="left"/>
      <w:lvlText w:val="(%2)"/>
      <w:numFmt w:val="lowerLetter"/>
      <w:start w:val="2"/>
    </w:lvl>
  </w:abstractNum>
  <w:abstractNum w:abstractNumId="30">
    <w:nsid w:val="4516DDE9"/>
    <w:multiLevelType w:val="hybridMultilevel"/>
    <w:lvl w:ilvl="0">
      <w:lvlJc w:val="left"/>
      <w:lvlText w:val="%1."/>
      <w:numFmt w:val="decimal"/>
      <w:start w:val="14"/>
    </w:lvl>
    <w:lvl w:ilvl="1">
      <w:lvlJc w:val="left"/>
      <w:lvlText w:val="(%2)"/>
      <w:numFmt w:val="lowerLetter"/>
      <w:start w:val="1"/>
    </w:lvl>
  </w:abstractNum>
  <w:abstractNum w:abstractNumId="31">
    <w:nsid w:val="3006C83E"/>
    <w:multiLevelType w:val="hybridMultilevel"/>
    <w:lvl w:ilvl="0">
      <w:lvlJc w:val="left"/>
      <w:lvlText w:val="%1."/>
      <w:numFmt w:val="decimal"/>
      <w:start w:val="16"/>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2023-05-10T11:36:02Z</dcterms:created>
  <dcterms:modified xsi:type="dcterms:W3CDTF">2023-05-10T11:36:02Z</dcterms:modified>
</cp:coreProperties>
</file>