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jc w:val="right"/>
        <w:ind w:left="3840" w:right="3820" w:hanging="3814"/>
        <w:spacing w:after="0" w:line="414" w:lineRule="auto"/>
        <w:tabs>
          <w:tab w:leader="none" w:pos="65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7500" w:type="dxa"/>
            <w:vAlign w:val="bottom"/>
            <w:gridSpan w:val="6"/>
          </w:tcPr>
          <w:p>
            <w:pPr>
              <w:jc w:val="center"/>
              <w:ind w:right="22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30, 2026, there were 10,458,680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1"/>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6"/>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8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8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3"/>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479"/>
        </w:trPr>
        <w:tc>
          <w:tcPr>
            <w:tcW w:w="3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480"/>
        </w:trPr>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480"/>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8"/>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480"/>
        </w:trPr>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5"/>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r>
      <w:tr>
        <w:trPr>
          <w:trHeight w:val="194"/>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330,372</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24,266</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6"/>
        </w:trPr>
        <w:tc>
          <w:tcPr>
            <w:tcW w:w="8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March 31, 2026 and December 31,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2025, 11,115,779; shares outstanding at March 31, 2026 and December 31, 2025, 10,326,247 and 10,135,410,</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44,782</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175,124</w:t>
            </w: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 at cost, 789,532 and 980,369 common stock shares at March 31, 2026 and December 31, 2025,</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175,276</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175,998</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330,372</w:t>
            </w:r>
          </w:p>
        </w:tc>
      </w:tr>
      <w:tr>
        <w:trPr>
          <w:trHeight w:val="21"/>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86,548</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97,792</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66,938</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r>
      <w:tr>
        <w:trPr>
          <w:trHeight w:val="22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77,641</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20,151</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1"/>
        </w:trPr>
        <w:tc>
          <w:tcPr>
            <w:tcW w:w="8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L.B. Foster Company</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196"/>
        </w:trPr>
        <w:tc>
          <w:tcPr>
            <w:tcW w:w="8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(loss) per common share</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r>
    </w:tbl>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(loss) on cash flow hedges, net of tax expense of $0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L.B. Foster Company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8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2025</w:t>
            </w:r>
          </w:p>
        </w:tc>
      </w:tr>
      <w:tr>
        <w:trPr>
          <w:trHeight w:val="220"/>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9"/>
                <w:szCs w:val="19"/>
                <w:color w:val="auto"/>
              </w:rPr>
            </w:pPr>
          </w:p>
        </w:tc>
      </w:tr>
      <w:tr>
        <w:trPr>
          <w:trHeight w:val="23"/>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w:t>
            </w: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(26,136)</w:t>
            </w:r>
          </w:p>
        </w:tc>
      </w:tr>
      <w:tr>
        <w:trPr>
          <w:trHeight w:val="20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(71,314)</w:t>
            </w: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106,205</w:t>
            </w: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28,820</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311"/>
        </w:trPr>
        <w:tc>
          <w:tcPr>
            <w:tcW w:w="9980" w:type="dxa"/>
            <w:vAlign w:val="bottom"/>
            <w:gridSpan w:val="4"/>
          </w:tcPr>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48"/>
        </w:trPr>
        <w:tc>
          <w:tcPr>
            <w:tcW w:w="86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ind w:left="580"/>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9"/>
              </w:rPr>
              <w:t>Common</w:t>
            </w:r>
          </w:p>
        </w:tc>
        <w:tc>
          <w:tcPr>
            <w:tcW w:w="26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Noncontrolling</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7"/>
                <w:szCs w:val="17"/>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175,998</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net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 on</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190,837 common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net of shares withheld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8"/>
          </w:tcPr>
          <w:p>
            <w:pPr>
              <w:ind w:left="580"/>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w w:val="99"/>
              </w:rPr>
              <w:t>Common</w:t>
            </w:r>
          </w:p>
        </w:tc>
        <w:tc>
          <w:tcPr>
            <w:tcW w:w="26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w:t>
            </w:r>
          </w:p>
        </w:tc>
        <w:tc>
          <w:tcPr>
            <w:tcW w:w="22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Treasury</w:t>
            </w: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Noncontrolling</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Earnings</w:t>
            </w: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7"/>
                <w:szCs w:val="17"/>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179,014</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(2,110)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 on</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168,911 common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 treasury</w:t>
            </w: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95,952 common</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net of shares withheld</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taxes</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48"/>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40" w:type="dxa"/>
            <w:vAlign w:val="bottom"/>
            <w:gridSpan w:val="19"/>
          </w:tcPr>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months ended March 31, 2026 are not necessarily indicative of the results that may be expected for the year ending December 31, 2026. This Quarterly Report on Form 10-Q should be read in conjunction with the consolidated financial statements and footnotes thereto included in L.B. Foster Company’s Annual Report on Form 10-K for the year ended December 31, 2025. In this Quarterly Report on Form 10-Q, references to “we,” “us,” “our,” and the “Company” refer collectively to L.B. Foster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2025-12, Codification Improvements (“ASU 2025-12”), to clarify guidance, correct technical errors, remove outdated language and improve consistency across various topics in the Accounting Standards Codification. The amendments in this ASU are effective for annual reporting periods beginning after December 15, 2026, including interim reporting periods within those annual periods. Early adoption is permitted. The Company is currently evaluating the impact of adopting this guidance on the consolidated financial statements.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2025-11, Interim Reporting (Topic 270): Narrow-Scope Improvements (“ASU 2025-11”), to clarify the guidance in Topic 270 to improve consistency of interim financial reporting. ASU 2025-11 provides a list of required interim disclosures and established a disclosure principle requiring entities to disclose events since the end of the last annual report period that have a material impact on the entity. The amendments in ASU 2025-11 are effective for fiscal years beginning after December 15, 2027, including interim reporting periods within those fiscal years, with early adoption permitted. The Company is currently evaluating the impact of adopting this guidance on the consolidated financial statements.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(“ASU 2024-03”), which requires entities to provide more detailed disaggregation of expenses in the income statement, focusing on the nature of the expenses rather than their function. The new disclosures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 determines its operating segments based on how the Company's Chief Operating Decision Maker (“CODM”), the Company's President and Chief Executive Officer, manages the businesses, including resource allocation and operating decisions. The Company is organized into two operating segments, which represent the individual businesses that are run separately within this operational structure.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two reportable segments: Rail, Technologies, and Services (“Rail”), and Infrastructure Solutions (“Infrastructure”).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w:t>
      </w:r>
    </w:p>
    <w:p>
      <w:pPr>
        <w:spacing w:after="0" w:line="1" w:lineRule="exact"/>
        <w:rPr>
          <w:sz w:val="20"/>
          <w:szCs w:val="20"/>
          <w:color w:val="auto"/>
        </w:rPr>
      </w:pPr>
    </w:p>
    <w:p>
      <w:pPr>
        <w:jc w:val="both"/>
        <w:ind w:firstLine="8"/>
        <w:spacing w:after="0" w:line="255"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 The CODM uses segment operating income to determine resources to allocate to each segment (including personnel and financial resources) during the annual budgeting process. The CODM evaluates segment performance regularly by comparing the segment operating income to the budgeted measure.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evaluated on their segment operating income contribution to the Company’s consolidated results. The Company considers the aggregation of operating segments into reporting segments based on the nature of offerings, nature of production services, the type or class of customer for products and services, methods used to distribute products and services, and economic and regulatory environment conditions.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operating income includes reportable segment gross profit and direct expenses such as salaries, benefits, restructuring, research and development, professional and purchased services expenditures, amortization expense, bad debt expense, and other segment expenses. Additionally, segment operating income includes allocated corporate operating expenses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are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insurance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net and certain other items included in “Other income - net”, which are managed on a consolidated basis, are not allocated to the operating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200" w:lineRule="exact"/>
        <w:rPr>
          <w:sz w:val="20"/>
          <w:szCs w:val="20"/>
          <w:color w:val="auto"/>
        </w:rPr>
      </w:pPr>
    </w:p>
    <w:p>
      <w:pPr>
        <w:spacing w:after="0" w:line="33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2026</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color w:val="auto"/>
              </w:rPr>
              <w:t>Rail,</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Infrastructure</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124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Technologies, and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Solutions</w:t>
            </w:r>
          </w:p>
        </w:tc>
        <w:tc>
          <w:tcPr>
            <w:tcW w:w="2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administrative employment costs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Purchased services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administrative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48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 (loss)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Purchased services costs generally include contractor services, insurance expenditures, rental expense, and legal services.</w:t>
      </w: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General administrative costs generally include office supplies, utilities, advertising, bad debt expense, and any restructuring expenditures.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reportable depreciation and amortization and expenditures for long-lived assets to the Company’s consolidated totals are as follows for the periods presented:</w:t>
      </w:r>
    </w:p>
    <w:p>
      <w:pPr>
        <w:spacing w:after="0" w:line="22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0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3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Expenditures for Long-</w:t>
            </w:r>
          </w:p>
        </w:tc>
        <w:tc>
          <w:tcPr>
            <w:tcW w:w="80" w:type="dxa"/>
            <w:vAlign w:val="bottom"/>
          </w:tcPr>
          <w:p>
            <w:pPr>
              <w:spacing w:after="0"/>
              <w:rPr>
                <w:sz w:val="12"/>
                <w:szCs w:val="12"/>
                <w:color w:val="auto"/>
              </w:rPr>
            </w:pPr>
          </w:p>
        </w:tc>
        <w:tc>
          <w:tcPr>
            <w:tcW w:w="1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Depreciation/Amortization</w:t>
            </w:r>
          </w:p>
        </w:tc>
        <w:tc>
          <w:tcPr>
            <w:tcW w:w="14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4"/>
                <w:szCs w:val="14"/>
                <w:color w:val="auto"/>
              </w:rPr>
              <w:t>Expenditures for Long-</w:t>
            </w: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Lived Assets</w:t>
            </w:r>
          </w:p>
        </w:tc>
        <w:tc>
          <w:tcPr>
            <w:tcW w:w="1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Lived Assets</w:t>
            </w:r>
          </w:p>
        </w:tc>
        <w:tc>
          <w:tcPr>
            <w:tcW w:w="0" w:type="dxa"/>
            <w:vAlign w:val="bottom"/>
          </w:tcPr>
          <w:p>
            <w:pPr>
              <w:spacing w:after="0"/>
              <w:rPr>
                <w:sz w:val="1"/>
                <w:szCs w:val="1"/>
                <w:color w:val="auto"/>
              </w:rPr>
            </w:pP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assets by reportable segment for the following periods: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155,552</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138,939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284,648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284,041</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46,331</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333,783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330,372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announced the discontinuation of its Automation and Materials Handling (“AMH”) product line which was reported in the Technology Services and Solutions business unit within the Rail segment. AMH had net sales of $407 for the three months ended March 31, 2025. The Company completed the remaining customer obligations in 2025, and all exit costs were incurred in the second quarter of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announced a restructuring program aligned with its strategy to reduce costs within the UK-based Technology Services and Solutions businesses within the Rail segment. The restructuring action has been completed as of December 31, 2025. The Company does not expect to incur additional material expenses associated with this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beginning and ending restructuring liability balance for all programs through March 31, 2026:</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Restructuring</w:t>
            </w:r>
          </w:p>
        </w:tc>
        <w:tc>
          <w:tcPr>
            <w:tcW w:w="0" w:type="dxa"/>
            <w:vAlign w:val="bottom"/>
          </w:tcPr>
          <w:p>
            <w:pPr>
              <w:spacing w:after="0"/>
              <w:rPr>
                <w:sz w:val="1"/>
                <w:szCs w:val="1"/>
                <w:color w:val="auto"/>
              </w:rPr>
            </w:pPr>
          </w:p>
        </w:tc>
      </w:tr>
      <w:tr>
        <w:trPr>
          <w:trHeight w:val="193"/>
        </w:trPr>
        <w:tc>
          <w:tcPr>
            <w:tcW w:w="400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Liability</w:t>
            </w:r>
          </w:p>
        </w:tc>
        <w:tc>
          <w:tcPr>
            <w:tcW w:w="0" w:type="dxa"/>
            <w:vAlign w:val="bottom"/>
          </w:tcPr>
          <w:p>
            <w:pPr>
              <w:spacing w:after="0"/>
              <w:rPr>
                <w:sz w:val="1"/>
                <w:szCs w:val="1"/>
                <w:color w:val="auto"/>
              </w:rPr>
            </w:pP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9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6"/>
              </w:rPr>
              <w:t>846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5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6"/>
              </w:rPr>
              <w:t>576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00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288"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r>
      <w:tr>
        <w:trPr>
          <w:trHeight w:val="22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54,015</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97,792</w:t>
            </w: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were as follows for the periods presented: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6"/>
          </w:tcPr>
          <w:p>
            <w:pPr>
              <w:jc w:val="center"/>
              <w:ind w:left="657"/>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20" w:type="dxa"/>
            <w:vAlign w:val="bottom"/>
          </w:tcPr>
          <w:p>
            <w:pPr>
              <w:spacing w:after="0"/>
              <w:rPr>
                <w:sz w:val="11"/>
                <w:szCs w:val="11"/>
                <w:color w:val="auto"/>
              </w:rPr>
            </w:pPr>
          </w:p>
        </w:tc>
        <w:tc>
          <w:tcPr>
            <w:tcW w:w="10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94,477</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6"/>
          </w:tcPr>
          <w:p>
            <w:pPr>
              <w:jc w:val="center"/>
              <w:ind w:left="657"/>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20" w:type="dxa"/>
            <w:vAlign w:val="bottom"/>
          </w:tcPr>
          <w:p>
            <w:pPr>
              <w:spacing w:after="0"/>
              <w:rPr>
                <w:sz w:val="11"/>
                <w:szCs w:val="11"/>
                <w:color w:val="auto"/>
              </w:rPr>
            </w:pPr>
          </w:p>
        </w:tc>
        <w:tc>
          <w:tcPr>
            <w:tcW w:w="10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within the Steel Products division in the Infrastructure segment. Revenue under these long-term agreements is generally recognized over time using an input measure based upon the proportion of actual costs incurred to estimated total project costs or an output method, specifically units delivered, based upon certain customer acceptance and delivery requirements.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Contract estimates are based on various assumptions to project the outcome of future events that may span several years. These assumptions include, among other things, labor productivity, cost and availability of materials, and timing of funding by customers. The nature of these long-term agreements may give rise to several types of variable consideration, such as claims and awards. Contract estimates may include additional revenue for submitted contract modifications, including at times unapproved change orders, if there exists an enforceable right to the modification, the amount can be reasonably estimated, and its realization is probable. These estimates are based on historical collection experience, anticipated performance, and the Company’s best judgment at that time. These amounts are generally included in the contract’s transaction price and are allocated over the remaining performance obligations.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The Company’s estimates related to these long-term agreements are further described in “Note 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of the Notes to the Company’s Consolidated Financial Statements contained in its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3"/>
        </w:trPr>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94"/>
        </w:trPr>
        <w:tc>
          <w:tcPr>
            <w:tcW w:w="5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2025</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16,814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16.9</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26,667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but not yet billed</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0"/>
        </w:trPr>
        <w:tc>
          <w:tcPr>
            <w:tcW w:w="9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9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approximately $209,573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9.8% of the March 31, 2026 backlog was related to projects that are anticipated to extend beyond March 31, 2027.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 which includes the impacts of current economic conditions, including but not limited to concerns related to inflation, tariffs, labor markets, supply chains, and changes in trade policy. However, these factors can be unpredictable and are subject to change. No interim goodwill impairment test was required as a result of the evaluation of qualitative factors as of March 31, 2026. However, future impairment charges could result if future projections diverge unfavorably from current expectations.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March 31, 2026</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are recorded net of recoveries of previous write-offs. During the three months ended March 31, 2026 and 2025, the Company recorded a net expense of $300 and $191, respectively. The changes in reserves for uncollectible accounts are net of recoveries of previous write-offs of $522 and $203 for the three months ended March 31, 2026 and 2025,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288"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960" w:hanging="96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1,630</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w:t>
      </w:r>
    </w:p>
    <w:p>
      <w:pPr>
        <w:spacing w:after="0" w:line="2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(522)</w:t>
      </w:r>
    </w:p>
    <w:p>
      <w:pPr>
        <w:spacing w:after="0" w:line="31" w:lineRule="exact"/>
        <w:rPr>
          <w:sz w:val="20"/>
          <w:szCs w:val="20"/>
          <w:color w:val="auto"/>
        </w:rPr>
      </w:pPr>
    </w:p>
    <w:p>
      <w:pPr>
        <w:ind w:left="960" w:hanging="96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60,219</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8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24"/>
                <w:szCs w:val="2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42,194</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42,756</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which expires on June 27, 2030, provides for a five-year, revolving credit 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the grant of a security interest by the Borrowers in substantially all of the assets owned by such entities. Additionally, the equity interests in each of the loan parties, other than the Company, and the equity interests held by each loan party in their subsidiaries, have been pledged to the lenders as collateral for the lending obligations.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rates based upon either the base rate or Term SOFR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0.50%, (b) the Prime Rate, or (c) the Daily Simple SOFR rate plus 1.00% so long as the Daily Simple SOFR rate is offered, ascertainable and not unlawful (each as defined in the Credit Agreement). The base rate and Term SOFR rate spreads range from 0.25% to 1.50% and 1.25% to 2.50%,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includes two financial covenants: (a) Maximum Gross Leverage Ratio, defined as the Company’s Consolidated Indebtedness divided by the Company’s Consolidated EBITDA, which must not exceed (i) 3.50 to 1.00 for all testing periods other than during an Acquisition Period, and (ii) 4.00 to 1.00 for all testing periods occurring during an Acquisition Period, and (b) Minimum Consolidated Fixed Charge Coverage Ratio, defined as the Company’s Consolidated EBITDA divided by the Company’s Fixed Charges, which must be more than 1.10 to 1.00.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was in compliance with the covenants in the Credit Agreement, as amended, and had outstanding letters of credit of approximately $832.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for the periods indicated:</w:t>
      </w:r>
    </w:p>
    <w:p>
      <w:pPr>
        <w:spacing w:after="0" w:line="200" w:lineRule="exact"/>
        <w:rPr>
          <w:sz w:val="20"/>
          <w:szCs w:val="20"/>
          <w:color w:val="auto"/>
        </w:rPr>
      </w:pPr>
    </w:p>
    <w:p>
      <w:pPr>
        <w:spacing w:after="0" w:line="3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(loss) per common share: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L.B. Foster Company</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(loss) per common share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Denominator for diluted earnings (loss) per common share - adjusted weighted average shares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10,540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 for the three months ended March 31, 2026 excluded 53 antidilutive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an income tax benefit of $81 and $631, respectively, on pre-tax income (loss) of $1,411 and ($2,748), respectively, for an effective income tax rate of (5.7%) and 23.0%, respectively. The Company's effective income tax rate for the three months ended March 31, 2026 differed from the federal statutory rate of 21% primarily due to the discrete impact of excess tax benefits related to share-based compensation, offset by the impact of pre-tax losses in the United Kingdom, for which no income tax benefit was recognized due to a valuation allowance. Changes in pre-tax income projections, combined with the seasonal nature of our businesses, also impact the effective income tax rate each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$1,882 and $834 for the three months ended March 31, 2026 and 2025, respectively, related to restricted stock awards, restricted stock units, and performance-based stock and stock unit awards. As of March 31, 2026, unrecognized compensation expense for awards that the Company expects to vest approximated $7,140. The Company will recognize this unrecognized compensation expense over a weighted average 2.2 years through May 22, 2028.</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2025, the shareholders approved the new 2025 Equity and Incentive Compensation Plan (the “Equity and Incentive Compensation Plan”). As of March 31, 2026, the Company had stock awards issued pursuant to the Equity and Incentive Compensation Plan and its predecessor, the 2006 Omnibus Incentive Compensation Plan (the “Omnibus Plan”). No stock options are outstanding under the Omnibus Plan or the Equity and Incentive Compensation Plan and, as such, there was no stock-based compensation expense related to stock options recorded for the three months ended March 31, 2026 and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Restricted Stock Awards and Fully-Vested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permits non-employee directors of the Company to defer receipt of earned cash and/or stock compensation for service on the Board into deferred stock units. Non-Employee directors may also elect to receive quarterly cash compensation in the form of fully-vested stock. During 2026, one Board member has elected to receive fully-vested stock in lieu of 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Restricted Stock Units, and Performance-Based Stock and Stock Units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restricted stock units, and performance-based stock and stock units. The forfeitable restricted stock awards granted generally time-vest ratably over a three-year period, unless indicated otherwise by the underlying restricted stock award agreement. Performance stock unit awards are offered annually under separate three-year long-term incentive programs, unless indicated otherwise by the underlying performance unit award agreement. Performance stock units are subject to forfeiture and will be converted into common stock based upon the Company’s performance relative to performance measures and conversion multiples as defined in the underlying program. For restricted stock units granted in 2026, participants who meet the definition of normal retirement, as defined in the 2026 Restricted Stock Unit Agreement filed as Exhibit 10.1 to this Quarterly Report on Form 10-Q, the awards continue to vest without the requirement of future service; for these awards, the Company recognizes compensation expense over the period from grant date through the date the employee becomes retirement eligible. During the three months ended March 31, 2026, the Company recognized $675 of stock-based compensation expense associated with the accelerated expense recognition for retirement-eligible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restricted stock units, and performance-based stock and stock unit activity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Restricted</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Restricted Stock</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and Stock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top w:val="single" w:sz="8" w:color="CCEEFF"/>
            </w:tcBorders>
            <w:vMerge w:val="continue"/>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56,127</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78,245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*Includes stock units for which the performance obligation has been met and are only subject to time vesting requirements prior to distribution.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Retirement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defined contribution retirement plans that cover its hourly and salaried employees in the United States. Employees are eligible to participate in the appropriate plan based on employment classification. The Company’s contributions to the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the frozen Portec Rail Products (UK) Limited Pension Scheme (the “UK DB Plan”). At such time, the Company notified all plan participants of the Company's intentions to terminate and fully settle the obligations. In January 2025, the Company entered into an insurance buy-in contract with a third party insurer which resulted in an exchange of plan assets of the UK DB Plan for an annuity that covers our future projected benefit obligations. The Company expects the buy out of the plan and transfer of future benefit obligations of plan participants to be completed in 2026. The Company does not expect to make any further contributions to the UK DB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spacing w:after="0" w:line="21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2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24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338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as a percentage of cost of sales. In addition, the product warranty accrual is adjusted periodically based on the identification or resolution of known individual product warranty claims.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Legal Matters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March 31, 2026.</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March 31, 2026, no such disclosures were considered necessary.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Other estimates indicate that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On December 2, 2024, the Company and many other PRPs received a Special Notice Letter ("SNL") from the EPA regarding a formal initiation of negotiations for the investigation and cleanup of the Portland Harbor Superfund Site and requesting a "good faith offer" from certain PRPs as to remediation and reimbursement of costs within 120 days, which, if accepted, would lead to a formal Consent Decree which may not be entered under the EPA's proposed schedule until fall of 2026 or by March 2027. The deadline for a response was extended to May 30, 2025, and the Company responded, along with other similarly-situated parties, in a timely manner. The Company cannot predict the ultimate impact of these proceedings and the SNLs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March 31, 2026 and December 31, 2025, the Company maintained environmental reserves approximating $1,495 for all of its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and our ability to effectively integrate acquired businesses or to divest businesses, and to realize anticipated synergies and benefits;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spacing w:after="0" w:line="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is organized and operates in two reporting segments: Rail, Technologies, and Services (“Rail”) and Infrastructure Solutions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Line Exit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which was reported in the Steel Products business unit within the Infrastructure segment. For the three months ended March 31, 2025, the product line had net sales of $501 and the Company completed all customer obligations as of December 31,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announced the discontinuation of its Automation and Materials Handling (“AMH”) product line which was reported in the Technology Services and Solutions business unit within the Rail segment. AMH had net sales of $407 for the three months ended March 31, 2025. The Company completed the remaining customer obligations in 2025 all exit costs were incurred in the second quarter of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2026 Compared to First Quarter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2026 vs. 2025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121,144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97,792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25,696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20,151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20,952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bps</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bps</w:t>
            </w: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L.B. Foster Company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March 31, 2026 increased $23,352, or 23.9%, over the prior year quarter. The increase was driven by Rail sales growth of $20,761, or 38.4%, with Infrastructure sales also improving $2,591, or 5.9%.</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2026 increased $5,545, or 27.5%, over the prior year quarter driven primarily by higher volumes in Rail which improved $4,113 and improved volumes, business mix, and manufacturing execution in Infrastructure which contributed $1,432. Gross profit margins improved 60 basis points to 21.2%.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March 31, 2026 increased $2,081, or 9.9%, over the prior year quarter, primarily attributable to higher personnel costs driven by merit, incentive costs, and a $675 accelerated stock expense due to retirement-eligible participants. Selling and administrative expenses as a percentage of net sales decreased by 240 bps to 19.0%.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2026 decreased $504, or 44.9%, from the prior year quarter due to acquired intangible assets becoming fully amortized.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for the three months ended March 31, 2026 decreased $292 from the prior year quarter. The Company's outstanding debt balance was $59,684 as of March 31, 2026, compared to $82,498 as of March 31,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2026 was (5.7)%, compared to 23.0% in the prior year quarter. The Company's effective income tax rate for the three months ended March 31, 2026 differed from the statutory rate of 21% primarily due to the impact of excess tax benefits related to share-based compensation, offset by the impact of pre-tax losses in the United Kingdom for which no income tax benefit was recognized due to a valuation allowance.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three months ended March 31, 2026 was $1,500, or $0.14 per diluted share, compared to net loss in the prior year quarter of $2,110, or $0.20 per diluted share. The increase is due to improved gross profit partially offset by higher selling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 Change</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2026 vs. 2025</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 vs. 2025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74,776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20,761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16,142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12,029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are not meaningful for presentation purposes.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net sales for the three months ended March 31, 2026 increased $20,761, or 38.4 %, over the prior year quarter. Rail Products net sales increased $11,960, or 40.8%, reflecting the recovery in the Rail Distribution business following softer demand in early 2025. Global Friction Management sales increased $6,144, or 39.5%, driven by strong demand in domestic markets. Technology Services and Solutions (“TS&amp;S”) sales increased $2,657, or 29.1%, driven by short term project work in the UK.</w:t>
      </w:r>
    </w:p>
    <w:p>
      <w:pPr>
        <w:spacing w:after="0" w:line="1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Rail gross profit for the three months ended March 31, 2026 increased $4,113, or 34.2 %, over the prior year quarter due to improved sales volumes, while gross profit margins declined 70 basis points to 21.6 % due to unfavorable business mix.</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Rail operating income for the three months ended March 31, 2026 increased $4,676 over the prior year quarter due primarily to improved gross profit and lower amortization expense.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Rail had new orders, net of $80,629, a decrease of $2,623 from the prior year quarter primarily attributable to a 18.6% decline in Global Friction Management associated with order timing. Rail Products and TS&amp;S modestly improved 0.9% and 2.3% over the prior year quarter, respectively. Backlog as of March 31, 2026, was $102,126, a $10,402, or 11.3%, increase over the prior year quarter as a result of a large, multi-year order received in our UK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Percent Change</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2026 vs. 2025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2026 vs. 2025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46,368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(219.1)</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(loss)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Infrastructure net sales for the three months ended March 31, 2026, increased $2,591 or 5.9%, over the prior year quarter driven primarily by growth of $4,841, or 17.2%, in Precast Concrete Products (“Precast”). The increase was partially offset by a decline in Steel Products sales of $2,250, or 14.4%.</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Infrastructure gross profit for the three months ended March 31, 2026 increased $1,432, or 17.6 %, over the prior year quarter. Precast gross profit increased $1,991 due to the higher sales volume, coupled with improved business mix and manufacturing execution which was partially offset by lower volumes in Steel Products resulting in a $559 decrease in gross profit. Gross profit margins improved 200 basis points to 20.6% driven by improved mix and manufacturing execution in Precast.</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Infrastructure operating income for the three months ended March 31, 2026 increased $973, or 219.1%, over the prior year quarter due to improved gross profit offset in part by an increase in selling, general and 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Infrastructure had new orders, net of $61,457, a decrease of $4,355, from the prior year quarter. Steel Products new orders, net decreased by 26.7% due to strong prior year order activity in the Protective Coatings businesses. This decrease was partially offset by Precast which improved 5.5%. Backlog as of March 31, 2026, was $107,447, a decrease of $38,044, or 26.1%, from the prior year quarter attributable to a 2025 order cancellation in Steel Products which resulted in a 57.5% decline, coupled with a decline of 8.5% in Precast.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color w:val="auto"/>
              </w:rPr>
              <w:t>March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2026 vs. 2025</w:t>
            </w:r>
          </w:p>
        </w:tc>
        <w:tc>
          <w:tcPr>
            <w:tcW w:w="10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 vs. 2025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are not meaningful for presentation purposes.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 - net for the three months ended March 31, 2026 was $3,304 compared to $1,623 for the three months ended March 31, 2025. Corporate management stock-based compensation expense increased $1,131 due primarily to accelerated stock expense due to retirement-eligible participants. Corporate executive management costs increased $570 due to higher professional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The revolving credit facility provides for a total commitment of up to $150,000, of which $90,019 was available for borrowing as of March 31, 2026, subject to covenant restrictions. The Company’s primary needs for liquidity relate to working capital requirements for operations, capital expenditures, debt service obligations, tax obligations, outstanding purchase obligations, acquisitions, restructuring payments, and to support the share repurchase program. The Company’s total debt, including finance leases, was $59,684 and $42,756 as of March 31, 2026 and December 31, 2025,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March 31,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March 31, 2026</w:t>
            </w:r>
          </w:p>
        </w:tc>
        <w:tc>
          <w:tcPr>
            <w:tcW w:w="70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 and letters of credit</w:t>
            </w:r>
          </w:p>
        </w:tc>
        <w:tc>
          <w:tcPr>
            <w:tcW w:w="1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(59,981)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10"/>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94,010</w:t>
            </w:r>
          </w:p>
        </w:tc>
      </w:tr>
      <w:tr>
        <w:trPr>
          <w:trHeight w:val="20"/>
        </w:trPr>
        <w:tc>
          <w:tcPr>
            <w:tcW w:w="8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were in compliance with all covenants of the Credit Agreement and have $94,010 available funding capacity, subject to covenant restrictions.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business mix, commercial terms,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March 31, 2026, but adverse changes in the economic environment and adverse financial conditions of its customers may impact certain of its customers’ ability to access capital and compensate the Company for its products and services, as well as impact demand for its products and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three months ended March 31, 2026 and 2025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23"/>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(26,136)</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28,820</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$10,438, compared to net cash used in operating activities of $26,136 during the prior year period. For the three months ended March 31, 2026, net income and adjustments to reconcile net income from operating activities provided $6,095, compared to $1,324 in the prior year period. Working capital and other assets and liabilities were a use of $16,533 in the current period, compared to a use of $27,460 in the prior year period. The increase in operating cash flow for the three months ended March 31, 2026 compared to the prior year period was largely driven by lower working capital needs and improved profitability. Changes in payment timing can impact accounts receivable in any given quarter due to the seasonality of our businesses.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2026 and 2025 were $2,960 and $2,575, respectively. Capital expenditures in both periods primarily relate to general plant and operational improvements throughout the Company, as well as organic growth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had an increase in outstanding debt of $16,945 compared to a $34,891 increase during the three months ended March 31, 2025. The decrease in borrowings from the prior year quarter was by driven lower working capital needs and a reduction in treasury stock repurchases. During the three months ended March 31, 2026, the Company repurchased $3,846 of its stock to satisfy employee tax withholding obligations related to the issuance of equity-based compensation awards.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previously authorized the repurchase of up to $15,000 of the Company's common shares until February 2025, pursuant to the terms of the previously disclosed stock repurchase program adopted March 3, 2023, as amended August 5, 2024. On March 3, 2025, the Company's Board of Directors approved a new authorization to repurchase up to $40,000 of the Company's common stock in open market transactions and/or 10b5-1 trading plans through February 29, 2028. The Company did not repurchase any shares during the three months ended March 31, 2026 under this program. From February 2023 through March 31, 2026, the Company repurchased a total of 1,016,899 shares of its stock for $23,554 under both programs.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$3,991 in cash and cash equivalents and $90,019 of availability under its revolving credit facility, subject to covenant restrictions. As of March 31, 2026, approximately $3,621 of the Company’s cash and cash equivalents were held in non-domestic bank accounts.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and service indebtedness. The Company views its short and long-term liquidity as being dependent on its results of operations, changes in working capital needs, and its borrowing capacity.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2025, the Company, its domestic subsidiaries, and certain of its Canadian and United Kingdom subsidiaries (collectively, the “Borrowers”), entered into the Fifth Amended and Restated Credit Agreement (the “Credit Agreement”) with PNC Bank, N.A., Bank of America, N.A., Citizens Bank, N.A., and Wells Fargo Bank N.A. as Co-Syndication Agents, and Dollar Bank, Federal Savings Bank as a participant. The Credit Agreement, which expires on June 27, 2030, provides for a five-year, revolving credit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facility that permits aggregate borrowings of the Borrowers up to $150,000 with sublimits for (a) the issuance of letters of credit in dollars and in alternative currencies in an amount not to exceed the dollar equivalent of $30,000, and (b) borrowings of swing loans in dollars in an amount not to exceed $20,000; and with an incremental loan feature not to exceed $60,000. For a discussion of the terms and availability of the credit facilities, please refer to Note 7 of the Notes to Condensed Consolidated Financial Statements contained in this Quarterly Report on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 for the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net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performance.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March 31, 2026, the end of the period covered by this report. Based upon that evaluation, the Chief Executive Officer and Chief Financial Officer concluded that the Company’s disclosure controls and procedures were effective as of such date to provide reasonable assurance that the information required to be disclosed by the Company in reports filed under the Exchange Act is (i) recorded, processed, summarized, and reported within the time periods specified in the SEC’s rules and forms and</w:t>
      </w:r>
    </w:p>
    <w:p>
      <w:pPr>
        <w:spacing w:after="0" w:line="5" w:lineRule="exact"/>
        <w:rPr>
          <w:sz w:val="20"/>
          <w:szCs w:val="20"/>
          <w:color w:val="auto"/>
        </w:rPr>
      </w:pPr>
    </w:p>
    <w:p>
      <w:pPr>
        <w:ind w:firstLine="8"/>
        <w:spacing w:after="0" w:line="260"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management, including the Chief Executive Officer, Chief Financial Officer, or person performing such functions, as appropriate to allow timely decisions regarding disclosure.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quarter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12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 2025, the Company's Board of Directors authorized the repurchase of up to $40,000 of the Company's common stock in open market transactions and/or 10b5-1 trading plans through February 29, 2028.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March 31, 2026 were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880"/>
        <w:spacing w:after="0"/>
        <w:tabs>
          <w:tab w:leader="none" w:pos="650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(a)</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7820" w:space="26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28,687</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During the current period, 123,918 shares were withheld by the Company to pay taxes upon vesting of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March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1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60" w:type="dxa"/>
            <w:vAlign w:val="bottom"/>
            <w:gridSpan w:val="4"/>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of 2026 Restricted Stock Unit Agreement**</w:t>
            </w:r>
          </w:p>
        </w:tc>
        <w:tc>
          <w:tcPr>
            <w:tcW w:w="6160" w:type="dxa"/>
            <w:vAlign w:val="bottom"/>
            <w:gridSpan w:val="6"/>
          </w:tcPr>
          <w:p>
            <w:pPr>
              <w:spacing w:after="0"/>
              <w:rPr>
                <w:sz w:val="19"/>
                <w:szCs w:val="19"/>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Form of 2026 Performance Share Unit Program**</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40" w:type="dxa"/>
            <w:vAlign w:val="bottom"/>
            <w:gridSpan w:val="2"/>
          </w:tcPr>
          <w:p>
            <w:pPr>
              <w:spacing w:after="0"/>
              <w:rPr>
                <w:sz w:val="24"/>
                <w:szCs w:val="24"/>
                <w:color w:val="auto"/>
              </w:rPr>
            </w:pP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80" w:type="dxa"/>
            <w:vAlign w:val="bottom"/>
            <w:gridSpan w:val="5"/>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60" w:type="dxa"/>
            <w:vAlign w:val="bottom"/>
            <w:gridSpan w:val="7"/>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0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351"/>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ind w:left="5540" w:right="3520" w:hanging="4582"/>
        <w:spacing w:after="0" w:line="887" w:lineRule="auto"/>
        <w:tabs>
          <w:tab w:leader="none" w:pos="11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represents a management contract or compensatory plan, contract, or arrangement.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4, 2026</w:t>
            </w: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1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0" w:type="dxa"/>
            <w:vAlign w:val="bottom"/>
            <w:gridSpan w:val="3"/>
          </w:tcPr>
          <w:p>
            <w:pPr>
              <w:ind w:left="312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Of The 2025 Equity and Incentive Compensation Plan Effective May 22, 2025)</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Restricted Stock Unit Agreement set forth below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__________, 2026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and is between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B. Foster Company, a Pennsylvania corporation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______</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Company has established its 2025 Equity and Incentive Compensation Plan effective May 22, 2025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advance the interests of the Company and its Shareholders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intending to be legally bound hereby, agree as follows:</w:t>
      </w:r>
    </w:p>
    <w:p>
      <w:pPr>
        <w:spacing w:after="0" w:line="208"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i w:val="1"/>
          <w:iCs w:val="1"/>
          <w:color w:val="auto"/>
        </w:rPr>
        <w:t>Grant of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and pursuant to all terms and conditions stated in this Agreement and in the Plan,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Date of Grant the Company hereby grants to Grantee </w:t>
      </w:r>
      <w:r>
        <w:rPr>
          <w:rFonts w:ascii="Times New Roman" w:cs="Times New Roman" w:eastAsia="Times New Roman" w:hAnsi="Times New Roman"/>
          <w:sz w:val="18"/>
          <w:szCs w:val="18"/>
          <w:b w:val="1"/>
          <w:bCs w:val="1"/>
          <w:color w:val="auto"/>
        </w:rPr>
        <w:t>____</w:t>
      </w:r>
      <w:r>
        <w:rPr>
          <w:rFonts w:ascii="Times New Roman" w:cs="Times New Roman" w:eastAsia="Times New Roman" w:hAnsi="Times New Roman"/>
          <w:sz w:val="18"/>
          <w:szCs w:val="18"/>
          <w:color w:val="auto"/>
        </w:rPr>
        <w:t xml:space="preserve"> Restricted Stock Units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pursuant to Section 7, and to the extent necessary Section 9, of the Plan. Each Restricted Stock Unit shall represent a contingent right to receive one share of Company Common Stock, par value $0.01 per</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more fully described herein, to the extent a Restricted Stock Unit becomes vested and payable pursuant to the terms of this Agreement. Such Restricted Stock Units, together with any additional Restricted Stock Units that the Grantee may become entitled to receive by way of a stock dividend or stock split or in connection with a combination of shares, recapitalization, merger, consolidation or other reorganization shall be subject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restrictions hereinafter set forth.</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i w:val="1"/>
          <w:iCs w:val="1"/>
          <w:color w:val="auto"/>
        </w:rPr>
        <w:t>Vesting; Rights; Obligations; and Restrictions on Transfer</w:t>
      </w:r>
      <w:r>
        <w:rPr>
          <w:rFonts w:ascii="Times New Roman" w:cs="Times New Roman" w:eastAsia="Times New Roman" w:hAnsi="Times New Roman"/>
          <w:sz w:val="17"/>
          <w:szCs w:val="17"/>
          <w:b w:val="1"/>
          <w:bCs w:val="1"/>
          <w:color w:val="auto"/>
        </w:rPr>
        <w:t>.</w:t>
      </w:r>
    </w:p>
    <w:p>
      <w:pPr>
        <w:spacing w:after="0" w:line="189" w:lineRule="exact"/>
        <w:rPr>
          <w:sz w:val="20"/>
          <w:szCs w:val="20"/>
          <w:color w:val="auto"/>
        </w:rPr>
      </w:pPr>
    </w:p>
    <w:p>
      <w:pPr>
        <w:jc w:val="both"/>
        <w:ind w:left="660" w:firstLine="1292"/>
        <w:spacing w:after="0" w:line="223" w:lineRule="auto"/>
        <w:tabs>
          <w:tab w:leader="none" w:pos="26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15 of the Plan, none of the Restricted Stock Units may be sold, transferred, pledged, hypothecated or otherwise encumbered or disposed. Except as set forth in this Section 2, effective at the close of business on the date Grantee ceases to be employed by the Company or a Subsidiary, any Restricted Stock Units that are not vested in accordance with this Section 2, and any unvested dividend equivalents accrued pursuant to Section 2(d) below, shall be automatically forfeited without any further obligation on the part of the Company.</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15" w:lineRule="auto"/>
        <w:tabs>
          <w:tab w:leader="none" w:pos="25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will vest 33 1/3% on each of February ___, 2027, February ___, 2028, and February ___, 2029 (each a “</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Vesting shall be tolled during any period in which Grantee is on an approved leave of absence from employment with the Company or a Subsidiary. However, if a Change in Control occurs prior to the end of the full vesting period and (i) Grantee experiences an involuntary Separation from Service by the Company other than (A) a Termination for Cause, (B) death, or (C) Disability, or the Grantee terminates for Good Reason (as defined below) within the 90-day period immediately preceding a Change in Control, or on or within the two-year period immediately following a Change in Control, or (ii) the acquiring entity in a Change in Control does not assume this Agreement and convert the Restricted Stock Units into a substantially comparable award of capital stock or other equity incentive instrument in such acquiring entity as determined by the Board, any unvested Restricted Stock Units shall immediately vest.</w:t>
      </w:r>
    </w:p>
    <w:p>
      <w:pPr>
        <w:spacing w:after="0" w:line="177" w:lineRule="exact"/>
        <w:rPr>
          <w:rFonts w:ascii="Times New Roman" w:cs="Times New Roman" w:eastAsia="Times New Roman" w:hAnsi="Times New Roman"/>
          <w:sz w:val="18"/>
          <w:szCs w:val="18"/>
          <w:color w:val="auto"/>
        </w:rPr>
      </w:pPr>
    </w:p>
    <w:p>
      <w:pPr>
        <w:jc w:val="both"/>
        <w:ind w:left="660" w:firstLine="1292"/>
        <w:spacing w:after="0" w:line="226" w:lineRule="auto"/>
        <w:tabs>
          <w:tab w:leader="none" w:pos="26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Grantee’s employment with the Company or any Subsidiary is terminated prior to the end of the full vesting period by reason of Early Retirement (as defined below), Grantee will vest pro rata and the number of Restricted Stock Units that will vest upon Grantee’s Early Retirement will be calculated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28" w:name="page29"/>
    <w:bookmarkEnd w:id="28"/>
    <w:p>
      <w:pPr>
        <w:ind w:left="644" w:firstLine="1300"/>
        <w:spacing w:after="0" w:line="237" w:lineRule="auto"/>
        <w:tabs>
          <w:tab w:leader="none" w:pos="2582"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Restricted Stock Units granted will be multiplied by a fraction, the numerator of which shall be the number of full months from the Date of Grant to the date of termination and the denominator will be 36; and</w:t>
      </w:r>
    </w:p>
    <w:p>
      <w:pPr>
        <w:spacing w:after="0" w:line="158" w:lineRule="exact"/>
        <w:rPr>
          <w:rFonts w:ascii="Times New Roman" w:cs="Times New Roman" w:eastAsia="Times New Roman" w:hAnsi="Times New Roman"/>
          <w:sz w:val="18"/>
          <w:szCs w:val="18"/>
          <w:color w:val="auto"/>
        </w:rPr>
      </w:pPr>
    </w:p>
    <w:p>
      <w:pPr>
        <w:ind w:left="2584" w:hanging="640"/>
        <w:spacing w:after="0"/>
        <w:tabs>
          <w:tab w:leader="none" w:pos="25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number of Restricted Stock Units that have previously been vested and settled in Shares shall be</w:t>
      </w:r>
    </w:p>
    <w:p>
      <w:pPr>
        <w:spacing w:after="0" w:line="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subtracted.</w:t>
      </w:r>
    </w:p>
    <w:p>
      <w:pPr>
        <w:spacing w:after="0" w:line="164" w:lineRule="exact"/>
        <w:rPr>
          <w:rFonts w:ascii="Times New Roman" w:cs="Times New Roman" w:eastAsia="Times New Roman" w:hAnsi="Times New Roman"/>
          <w:sz w:val="18"/>
          <w:szCs w:val="18"/>
          <w:color w:val="auto"/>
        </w:rPr>
      </w:pPr>
    </w:p>
    <w:p>
      <w:pPr>
        <w:jc w:val="both"/>
        <w:ind w:left="4" w:firstLine="1292"/>
        <w:spacing w:after="0" w:line="231" w:lineRule="auto"/>
        <w:tabs>
          <w:tab w:leader="none" w:pos="19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Grantee’s employment with the Company or any Subsidiary is terminated prior to the end of the full vesting period (i) by reason of Normal Retirement (as defined below), (ii) or on account of death or Disability, any unvested Restricted Stock Units shall immediately vest upon Grantee’s termination.</w:t>
      </w:r>
    </w:p>
    <w:p>
      <w:pPr>
        <w:spacing w:after="0" w:line="158" w:lineRule="exact"/>
        <w:rPr>
          <w:rFonts w:ascii="Times New Roman" w:cs="Times New Roman" w:eastAsia="Times New Roman" w:hAnsi="Times New Roman"/>
          <w:sz w:val="18"/>
          <w:szCs w:val="18"/>
          <w:color w:val="auto"/>
        </w:rPr>
      </w:pPr>
    </w:p>
    <w:p>
      <w:pPr>
        <w:jc w:val="both"/>
        <w:ind w:left="4" w:firstLine="1292"/>
        <w:spacing w:after="0" w:line="216" w:lineRule="auto"/>
        <w:tabs>
          <w:tab w:leader="none" w:pos="19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provisions of this Section 2 and the provisions of the Plan, Grantee shall not have any rights of a Shareholder with respect to the Restricted Stock Units or shares of Common Stock covered by the Restricted Stock Units, including the right to vote and to receive dividends, until such time as the shares of Common Stock covered by the Restricted Stock Units, or portion thereof, shall have been paid. The Company shall accrue on its books and records for the benefit of the Grantee an amount equal to the dividend payment that would otherwise have been received on such shares of Common Stock. Dividend equivalents accrued for the benefit of Grantee shall become vested and payable in cash at the same time as the underlying Restricted Stock Units become vested and payable. For purposes of clarity, if this Agreement provides that only a portion of the Restricted Stock Units vest on a given date, accrued dividend equivalents shall only be payable in cash on that portion of Restricted Stock Units vesting and not with respect to Restricted Stock Units that remain unvested. No interest shall be payable with respect to any such dividend equivalents.</w:t>
      </w:r>
    </w:p>
    <w:p>
      <w:pPr>
        <w:spacing w:after="0" w:line="159" w:lineRule="exact"/>
        <w:rPr>
          <w:rFonts w:ascii="Times New Roman" w:cs="Times New Roman" w:eastAsia="Times New Roman" w:hAnsi="Times New Roman"/>
          <w:sz w:val="18"/>
          <w:szCs w:val="18"/>
          <w:color w:val="auto"/>
        </w:rPr>
      </w:pPr>
    </w:p>
    <w:p>
      <w:pPr>
        <w:ind w:left="4" w:firstLine="1292"/>
        <w:spacing w:after="0" w:line="237" w:lineRule="auto"/>
        <w:tabs>
          <w:tab w:leader="none" w:pos="19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“Good Reason” means the Grantee’s Separation from Service as a result of the occurrence, without the Grantee’s written consent, of one of the following events:</w:t>
      </w:r>
    </w:p>
    <w:p>
      <w:pPr>
        <w:spacing w:after="0" w:line="171" w:lineRule="exact"/>
        <w:rPr>
          <w:rFonts w:ascii="Times New Roman" w:cs="Times New Roman" w:eastAsia="Times New Roman" w:hAnsi="Times New Roman"/>
          <w:sz w:val="18"/>
          <w:szCs w:val="18"/>
          <w:color w:val="auto"/>
        </w:rPr>
      </w:pPr>
    </w:p>
    <w:p>
      <w:pPr>
        <w:ind w:left="644" w:firstLine="1300"/>
        <w:spacing w:after="0" w:line="237" w:lineRule="auto"/>
        <w:tabs>
          <w:tab w:leader="none" w:pos="258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annual base salary (unless such reduction relates to an across-the-board reduction similarly affecting Grantee and all or substantially all other executives of the Company and its affiliates);</w:t>
      </w:r>
    </w:p>
    <w:p>
      <w:pPr>
        <w:spacing w:after="0" w:line="158" w:lineRule="exact"/>
        <w:rPr>
          <w:rFonts w:ascii="Times New Roman" w:cs="Times New Roman" w:eastAsia="Times New Roman" w:hAnsi="Times New Roman"/>
          <w:sz w:val="18"/>
          <w:szCs w:val="18"/>
          <w:color w:val="auto"/>
        </w:rPr>
      </w:pPr>
    </w:p>
    <w:p>
      <w:pPr>
        <w:jc w:val="both"/>
        <w:ind w:left="644" w:firstLine="1300"/>
        <w:spacing w:after="0" w:line="216" w:lineRule="auto"/>
        <w:tabs>
          <w:tab w:leader="none" w:pos="2578"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Subsidiary employing Grantee) makes or causes to be made a material adverse change in the Grantee’s position, authority, duties or responsibilities which results in a significant diminution in the Grantee’s position, authority, duties or responsibilities, excluding any change made in connection with (A) a reassignment to a New Job Position (as defined herein), or</w:t>
      </w:r>
    </w:p>
    <w:p>
      <w:pPr>
        <w:spacing w:after="0" w:line="1" w:lineRule="exact"/>
        <w:rPr>
          <w:rFonts w:ascii="Times New Roman" w:cs="Times New Roman" w:eastAsia="Times New Roman" w:hAnsi="Times New Roman"/>
          <w:sz w:val="18"/>
          <w:szCs w:val="18"/>
          <w:color w:val="auto"/>
        </w:rPr>
      </w:pPr>
    </w:p>
    <w:p>
      <w:pPr>
        <w:ind w:left="944" w:hanging="296"/>
        <w:spacing w:after="0" w:line="219" w:lineRule="auto"/>
        <w:tabs>
          <w:tab w:leader="none" w:pos="9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Grantee’s employment with the Company for Disability, Termination for Cause, death, or temporarily as a result of</w:t>
      </w:r>
    </w:p>
    <w:p>
      <w:pPr>
        <w:jc w:val="both"/>
        <w:ind w:left="644"/>
        <w:spacing w:after="0" w:line="208" w:lineRule="auto"/>
        <w:rPr>
          <w:sz w:val="20"/>
          <w:szCs w:val="20"/>
          <w:color w:val="auto"/>
        </w:rPr>
      </w:pPr>
      <w:r>
        <w:rPr>
          <w:rFonts w:ascii="Times New Roman" w:cs="Times New Roman" w:eastAsia="Times New Roman" w:hAnsi="Times New Roman"/>
          <w:sz w:val="18"/>
          <w:szCs w:val="18"/>
          <w:color w:val="auto"/>
        </w:rPr>
        <w:t>Participant’s incapacity or other absence for an extended period; (For purposes of this Agreement, “New Job Position” means a change in the Grantee’s position, authority, duties or responsibilities with the Company or any affiliate due to the Grantee’s demonstrated inadequate or unsatisfactory performance, provided the Grantee had been notified of such inadequate performance and had been given at</w:t>
      </w:r>
    </w:p>
    <w:p>
      <w:pPr>
        <w:spacing w:after="0" w:line="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least 30 days to cure such inadequate performance.);</w:t>
      </w:r>
    </w:p>
    <w:p>
      <w:pPr>
        <w:spacing w:after="0" w:line="165" w:lineRule="exact"/>
        <w:rPr>
          <w:sz w:val="20"/>
          <w:szCs w:val="20"/>
          <w:color w:val="auto"/>
        </w:rPr>
      </w:pPr>
    </w:p>
    <w:p>
      <w:pPr>
        <w:jc w:val="both"/>
        <w:ind w:left="644" w:firstLine="1300"/>
        <w:spacing w:after="0" w:line="231" w:lineRule="auto"/>
        <w:tabs>
          <w:tab w:leader="none" w:pos="25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Company’s principal place of business, or of Grantee’s own office as assigned to Grantee by the Company or the Subsidiary employing Grantee to a location that increases Grantee’s normal work commute by more than 50 miles; or</w:t>
      </w:r>
    </w:p>
    <w:p>
      <w:pPr>
        <w:spacing w:after="0" w:line="158" w:lineRule="exact"/>
        <w:rPr>
          <w:rFonts w:ascii="Times New Roman" w:cs="Times New Roman" w:eastAsia="Times New Roman" w:hAnsi="Times New Roman"/>
          <w:sz w:val="18"/>
          <w:szCs w:val="18"/>
          <w:color w:val="auto"/>
        </w:rPr>
      </w:pPr>
    </w:p>
    <w:p>
      <w:pPr>
        <w:ind w:left="644" w:firstLine="1300"/>
        <w:spacing w:after="0" w:line="237" w:lineRule="auto"/>
        <w:tabs>
          <w:tab w:leader="none" w:pos="25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by the Company or the Subsidiary employing Grantee that constitutes a material breach of the employment agreement, if any, under which Grantee’s services are to be performed.</w:t>
      </w:r>
    </w:p>
    <w:p>
      <w:pPr>
        <w:spacing w:after="0" w:line="18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order for Grantee to terminate for Good Reason, (A) the Company must be notified by Grantee in writing within 90 days of the event constituting Good Reason, (B) the event must remain uncorrected by the Company for 30 days following such notice (the “Notice Period”), and</w:t>
      </w:r>
    </w:p>
    <w:p>
      <w:pPr>
        <w:ind w:left="284" w:hanging="284"/>
        <w:spacing w:after="0"/>
        <w:tabs>
          <w:tab w:leader="none" w:pos="2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must occur within 60 days after the expiration of the Notice Period.</w:t>
      </w:r>
    </w:p>
    <w:p>
      <w:pPr>
        <w:spacing w:after="0" w:line="193" w:lineRule="exact"/>
        <w:rPr>
          <w:rFonts w:ascii="Times New Roman" w:cs="Times New Roman" w:eastAsia="Times New Roman" w:hAnsi="Times New Roman"/>
          <w:sz w:val="18"/>
          <w:szCs w:val="18"/>
          <w:color w:val="auto"/>
        </w:rPr>
      </w:pPr>
    </w:p>
    <w:p>
      <w:pPr>
        <w:jc w:val="both"/>
        <w:ind w:left="4" w:firstLine="1292"/>
        <w:spacing w:after="0" w:line="224"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“Early Retirement” means any termination of Grantee’s employment (other than a Normal Retirement, Termination for Cause or termination on account of death or Disability) if, at the time of such termination, (i) Grantee has at least 10 years of continuous employment with the Company or a Subsidiary and the Grantee’s age is equal to or greater than 55 and (ii) Grantee (or, to the extent requested by the Company in the event of Grantee’s death or Disability, 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1147"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representative of Grantee’s estate) within 60 days of termination executes (and does not revoke) a release agreement provided by the Company.</w:t>
      </w:r>
    </w:p>
    <w:p>
      <w:pPr>
        <w:spacing w:after="0" w:line="185" w:lineRule="exact"/>
        <w:rPr>
          <w:sz w:val="20"/>
          <w:szCs w:val="20"/>
          <w:color w:val="auto"/>
        </w:rPr>
      </w:pPr>
    </w:p>
    <w:p>
      <w:pPr>
        <w:jc w:val="both"/>
        <w:ind w:left="660" w:firstLine="1292"/>
        <w:spacing w:after="0" w:line="220" w:lineRule="auto"/>
        <w:tabs>
          <w:tab w:leader="none" w:pos="25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“Normal Retirement” means any termination of Grantee’s employment (other than a Termination for Cause) if, at the time of such termination, (i) either (x) Grantee has at least 5 years of continuous employment with the Company or a Subsidiary and the Grantee’s age is equal to or greater than 60 or (y) the Grantee’s age is equal to or greater than 65 and (ii) Grantee (or, to the extent requested by the Company in the event of Grantee’s death or Disability, a representative of Grantee’s estate) within 60 days of termination executes (and does not revoke) a release agreement provided by the Company.</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i w:val="1"/>
          <w:iCs w:val="1"/>
          <w:color w:val="auto"/>
        </w:rPr>
        <w:t>Time of Payment of Restricted Stock Units.</w:t>
      </w:r>
    </w:p>
    <w:p>
      <w:pPr>
        <w:spacing w:after="0" w:line="189" w:lineRule="exact"/>
        <w:rPr>
          <w:sz w:val="20"/>
          <w:szCs w:val="20"/>
          <w:color w:val="auto"/>
        </w:rPr>
      </w:pPr>
    </w:p>
    <w:p>
      <w:pPr>
        <w:ind w:left="660" w:right="20" w:firstLine="1292"/>
        <w:spacing w:after="0" w:line="237" w:lineRule="auto"/>
        <w:tabs>
          <w:tab w:leader="none" w:pos="26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3(b), any Restricted Stock Units that vest pursuant to Section 2 shall be settled in shares of Common Stock within 60 days of the applicable Vesting Date set forth in Section 2(b).</w:t>
      </w:r>
    </w:p>
    <w:p>
      <w:pPr>
        <w:spacing w:after="0" w:line="171" w:lineRule="exact"/>
        <w:rPr>
          <w:rFonts w:ascii="Times New Roman" w:cs="Times New Roman" w:eastAsia="Times New Roman" w:hAnsi="Times New Roman"/>
          <w:sz w:val="18"/>
          <w:szCs w:val="18"/>
          <w:color w:val="auto"/>
        </w:rPr>
      </w:pPr>
    </w:p>
    <w:p>
      <w:pPr>
        <w:jc w:val="both"/>
        <w:ind w:left="660" w:firstLine="1292"/>
        <w:spacing w:after="0" w:line="220" w:lineRule="auto"/>
        <w:tabs>
          <w:tab w:leader="none" w:pos="25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3(a), to the extent the Restricted Stock Units are not subject to a “substantial risk of forfeiture” as determined for purposes of Section 409A of the Code, such Restricted Stock Units shall be settled in shares of Common Stock on an accelerated basis within 60 days of (i) a Change in Control that also constitutes a “change in ownership”, a “change in effective control” or a “change in the ownership of a substantial portion of the assets” of the Company under Section 409A of the Code or (ii) subject to Section 17(c) of the Plan, the Participant’s Separation from Service.</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i w:val="1"/>
          <w:iCs w:val="1"/>
          <w:color w:val="auto"/>
        </w:rPr>
        <w:t>Income Taxes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660" w:right="20" w:firstLine="1292"/>
        <w:spacing w:after="0" w:line="237" w:lineRule="auto"/>
        <w:tabs>
          <w:tab w:leader="none" w:pos="26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Grantee shall have merely an unfunded, unsecured promise to be paid a benefit, and such unfunded promise shall not consist of a transfer of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within the meaning of Code Section 83.</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17" w:lineRule="auto"/>
        <w:tabs>
          <w:tab w:leader="none" w:pos="25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that any tax for foreign, federal, state or local income tax purposes, including payroll taxes, that Grantee is required to recognize on account of the vesting of the Restricted Stock Units and/or issuance of the shares of Common Stock under this Award to Grantee shall be subject to withholding of tax by the Company. In accordance with administrative procedures established by the Company, in order to satisfy Participant’s statutory withholding tax obligations, if any, on the issuance of shares of Common Stock under this Award, the Company will withhold from the shares of Common Stock to be issued to the Grantee a sufficient number of whole shares distributable in connection with this Award equal to the taxes required to be withheld at the applicable minimum statutory withholding rates (or any other rate approved by the Committee).</w:t>
      </w:r>
    </w:p>
    <w:p>
      <w:pPr>
        <w:spacing w:after="0" w:line="17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i w:val="1"/>
          <w:iCs w:val="1"/>
          <w:color w:val="auto"/>
        </w:rPr>
        <w:t>No Right to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Plan nor this Agreement shall be deemed to give Grantee any right to continue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nor shall the Plan or the Agreement be deemed to limit in any way the Company’s right to terminate the employment of Grantee at any time.</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i w:val="1"/>
          <w:iCs w:val="1"/>
          <w:color w:val="auto"/>
        </w:rPr>
        <w:t>Further Assistance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will provide assistance reasonably requested by the Company in connection with actions taken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while employed by the Company, including but not limited to assistance in connection with any lawsuits or other claims against the Company arising from events during the period in which Grantee was employed by the Company.</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i w:val="1"/>
          <w:iCs w:val="1"/>
          <w:color w:val="auto"/>
        </w:rPr>
        <w:t>Binding Effect; No Third 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and inure to the benefit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Grantee and their respective heirs, representatives, successors and permitted assigns. This Agreement shall not confer any rights or remedies upon any person other than the Company and Grantee and their respective heirs, representatives, successors and permitted assigns. The parties agree that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survive the issuance of the shares of Common Stock.</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i w:val="1"/>
          <w:iCs w:val="1"/>
          <w:color w:val="auto"/>
        </w:rPr>
        <w:t>Agreement to Abide by Plan; Conflict between Plan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hereby incorporated by reference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is made a part hereof as though fully set forth in this Agreement. Grantee, by execution of this Agreement, represents that he or she is</w:t>
      </w:r>
    </w:p>
    <w:p>
      <w:pPr>
        <w:jc w:val="both"/>
        <w:spacing w:after="0" w:line="208" w:lineRule="auto"/>
        <w:rPr>
          <w:sz w:val="20"/>
          <w:szCs w:val="20"/>
          <w:color w:val="auto"/>
        </w:rPr>
      </w:pPr>
      <w:r>
        <w:rPr>
          <w:rFonts w:ascii="Times New Roman" w:cs="Times New Roman" w:eastAsia="Times New Roman" w:hAnsi="Times New Roman"/>
          <w:sz w:val="18"/>
          <w:szCs w:val="18"/>
          <w:color w:val="auto"/>
        </w:rPr>
        <w:t>familiar with the terms and provisions of the Plan and agrees to abide by all of the terms and conditions of this Agreement and the Plan. Grantee accepts as binding, conclusive and final all decisions or interpretations of the Committee upon any question arising under the Plan or this Agreement (including, without limitation, the date of any termination of Grantee’s employment with the Company). In the event of any conflict between the Plan and this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 the Plan shall control and this Agreement shall be deemed to be modified accordingly, except to the extent that the Plan gives the Committee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express authority to vary the terms of the Plan by means of this Agreement, in which case this Agreement shall govern.</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herein, this Agreement and the Plan, which Grantee has reviewed and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grant of the Restricted Stock Units reflected by this Agreement, constitute the entire agreement between the parties and supersede</w:t>
      </w:r>
    </w:p>
    <w:p>
      <w:pPr>
        <w:jc w:val="both"/>
        <w:spacing w:after="0" w:line="226" w:lineRule="auto"/>
        <w:rPr>
          <w:sz w:val="20"/>
          <w:szCs w:val="20"/>
          <w:color w:val="auto"/>
        </w:rPr>
      </w:pPr>
      <w:r>
        <w:rPr>
          <w:rFonts w:ascii="Times New Roman" w:cs="Times New Roman" w:eastAsia="Times New Roman" w:hAnsi="Times New Roman"/>
          <w:sz w:val="18"/>
          <w:szCs w:val="18"/>
          <w:color w:val="auto"/>
        </w:rPr>
        <w:t>any prior understandings, agreements, or representations by or between the parties, written or oral, to the extent they related in any way to the subject matter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8"/>
          <w:szCs w:val="18"/>
          <w:b w:val="1"/>
          <w:bCs w:val="1"/>
          <w:i w:val="1"/>
          <w:iCs w:val="1"/>
          <w:color w:val="auto"/>
        </w:rPr>
        <w:t>Choice of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not superseded by federal law, the laws of the Commonwealth of Pennsylvania (without regard to</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conflicts laws thereof) shall control in all matters relating to this Agreement and any action relating to this Agreement must be brought in State or Federal Courts located in the Commonwealth of Pennsylvania.</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b w:val="1"/>
          <w:bCs w:val="1"/>
          <w:i w:val="1"/>
          <w:iCs w:val="1"/>
          <w:color w:val="auto"/>
        </w:rPr>
        <w:t>otice</w:t>
      </w:r>
      <w:r>
        <w:rPr>
          <w:rFonts w:ascii="Times New Roman" w:cs="Times New Roman" w:eastAsia="Times New Roman" w:hAnsi="Times New Roman"/>
          <w:sz w:val="18"/>
          <w:szCs w:val="18"/>
          <w:color w:val="auto"/>
        </w:rPr>
        <w:t>. All notices, requests, demands, claims, and other communications under this Agreement shall be in writing. Any notice,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request, demand, claim, or other communication under this Agreement shall be deemed duly given if (and then two business days after) it is sent by registered or certified mail, return receipt requested, postage prepaid, and addressed to the intended recipient at the following address: If to the Company, L. B. Foster Company, 415 Holiday Drive, Suite 100, Pittsburgh, PA 15220, Attn: Secretary; and if to Grantee, to his or her address as it appears on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shall be deemed an original but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together shall constitute one and the same instrument.</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amended or modified at any time by an instrument in writing signed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or as otherwise provided under the Plan. Notwithstanding the foregoing, the Company may, in its sole discretion and without Grantee’s consent,</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modify or amend the terms of this Agreement, impose conditions on the timing and effectiveness of the issuance of the shares of Common Stock, or take any other action it deems necessary or advisable, to cause this Award to comply with Section 409A of the Code.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8"/>
          <w:szCs w:val="18"/>
          <w:b w:val="1"/>
          <w:bCs w:val="1"/>
          <w:i w:val="1"/>
          <w:iCs w:val="1"/>
          <w:color w:val="auto"/>
        </w:rPr>
        <w:t>Acknowledgments.</w:t>
      </w:r>
    </w:p>
    <w:p>
      <w:pPr>
        <w:spacing w:after="0" w:line="202" w:lineRule="exact"/>
        <w:rPr>
          <w:sz w:val="20"/>
          <w:szCs w:val="20"/>
          <w:color w:val="auto"/>
        </w:rPr>
      </w:pPr>
    </w:p>
    <w:p>
      <w:pPr>
        <w:ind w:left="660" w:firstLine="1292"/>
        <w:spacing w:after="0" w:line="237" w:lineRule="auto"/>
        <w:tabs>
          <w:tab w:leader="none" w:pos="26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the Restricted Stock Units, Grantee acknowledges receipt of a copy of the Plan and agrees to be bound by the terms and conditions set forth in the Plan and this Agreement, as in effect and/or amended from time to time.</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24" w:lineRule="auto"/>
        <w:tabs>
          <w:tab w:leader="none" w:pos="25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related documents may be delivered to you electronically. Such means of delivery may include but do not necessarily include the delivery of a link to a Company intranet site or the internet site of a third party involved in administering the Plan, the delivery of the documents via e-mail or CD-ROM or such other delivery determined at the Committee’s discretion. Both Internet Email and the World Wide Web are required in order to access documents electronically.</w:t>
      </w:r>
    </w:p>
    <w:p>
      <w:pPr>
        <w:spacing w:after="0" w:line="172" w:lineRule="exact"/>
        <w:rPr>
          <w:rFonts w:ascii="Times New Roman" w:cs="Times New Roman" w:eastAsia="Times New Roman" w:hAnsi="Times New Roman"/>
          <w:sz w:val="18"/>
          <w:szCs w:val="18"/>
          <w:color w:val="auto"/>
        </w:rPr>
      </w:pPr>
    </w:p>
    <w:p>
      <w:pPr>
        <w:jc w:val="both"/>
        <w:ind w:left="660" w:firstLine="1292"/>
        <w:spacing w:after="0" w:line="224" w:lineRule="auto"/>
        <w:tabs>
          <w:tab w:leader="none" w:pos="26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intended to be excepted from coverage under, or comply with, Section 409A of the Code and the regulations promulgated thereunder and shall be interpreted and construed accordingly. Notwithstanding, Grantee recognizes and acknowledges that Section 409A of the Code may impose upon Grantee certain taxes or interest charges for which the Grantee is and shall remain solely responsible.</w:t>
      </w:r>
    </w:p>
    <w:p>
      <w:pPr>
        <w:spacing w:after="0" w:line="158" w:lineRule="exact"/>
        <w:rPr>
          <w:rFonts w:ascii="Times New Roman" w:cs="Times New Roman" w:eastAsia="Times New Roman" w:hAnsi="Times New Roman"/>
          <w:sz w:val="18"/>
          <w:szCs w:val="18"/>
          <w:color w:val="auto"/>
        </w:rPr>
      </w:pPr>
    </w:p>
    <w:p>
      <w:pPr>
        <w:jc w:val="both"/>
        <w:ind w:left="660" w:firstLine="1292"/>
        <w:spacing w:after="0" w:line="220" w:lineRule="auto"/>
        <w:tabs>
          <w:tab w:leader="none" w:pos="25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that, by receipt of this Award, Grantee has read this Section 14 and consents to the electronic delivery of the Plan and related documents, as described in this Section 14. Grantee acknowledges that Grantee may receive from the Company a paper copy of any documents delivered electronically at no cost if Grantee contacts the Company’s General Counsel by telephone at (412) 928-7829 or by mail to L.B. Foster Company, 415 Holiday Drive, Suite 100, Pittsburgh, PA 15220 ATTN: General Counsel. Grantee further acknowledges that Grantee will be provided with a paper copy of any documents delivered electronically if electronic delivery fails.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7" w:right="339" w:bottom="1440" w:gutter="0" w:footer="0" w:header="0"/>
        </w:sectPr>
      </w:pPr>
    </w:p>
    <w:bookmarkStart w:id="31" w:name="page32"/>
    <w:bookmarkEnd w:id="31"/>
    <w:p>
      <w:pPr>
        <w:spacing w:after="0" w:line="16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WITNESS WHEREOF, the Company has caused a duly authorized officer to execute this Agreement on its behalf, and the Grantee has placed his/her signature hereon, effective as of the Date of Grant.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B. FOSTER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John E. Kunz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Compensation Committee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 Grantee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Performance Share Program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PERFORMANCE SHARE UNIT PROGRAM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(2026-2028)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the L.B. Foster Company 2026 Performance Share Unit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a component of the Long-Term Incentive Program, the Compensation Committee of the Board of Directors of L.B. Foster Company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has awarded you</w:t>
      </w:r>
    </w:p>
    <w:p>
      <w:pPr>
        <w:spacing w:after="0"/>
        <w:rPr>
          <w:sz w:val="20"/>
          <w:szCs w:val="20"/>
          <w:color w:val="auto"/>
        </w:rPr>
      </w:pPr>
      <w:r>
        <w:rPr>
          <w:rFonts w:ascii="Times New Roman" w:cs="Times New Roman" w:eastAsia="Times New Roman" w:hAnsi="Times New Roman"/>
          <w:sz w:val="18"/>
          <w:szCs w:val="18"/>
          <w:color w:val="auto"/>
        </w:rPr>
        <w:t>___________ Performance Share Units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terms and conditions of your Award are governed by the provisions of the Program document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of which are hereby incorporated by reference. Capitalized terms not otherwise defined herein shall each have the meaning assigned to them in the Program.</w:t>
      </w:r>
    </w:p>
    <w:p>
      <w:pPr>
        <w:spacing w:after="0" w:line="1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7"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18"/>
          <w:szCs w:val="18"/>
          <w:color w:val="auto"/>
        </w:rPr>
        <w:t>Name:</w:t>
        <w:tab/>
        <w:t>John E. Kunz</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Compensation Committee</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hereby acknowledge and accept the Award described above subject to all of the terms and conditions of the Program including, without limitation, the forfeiture, covenant and recoupment provisions set forth in Sections 12, 13 and 14 of the Program, regardless of whether the Award ever results in a payment under the Program. I further acknowledge receipt of a copy of the Program document and the L.B. Foster Company 2025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I agree to be bound by all the provisions of the Program and the Plan, as amended from time to time.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signing below, I acknowledge that: (i) I have read and understand the Program including, without limitation, the provisions that require me to repay monies to the Company if (A) I breach Section 12 or 13 of the Program or (B) the Company is required to recoup this and other incentive compensation from me pursuant to the L.B. Foster Company Amended and Restated Executive Recoupment Policy (as may be amended and restated from time to time), any successor policy or otherwise as described in Section 14(c); (ii) the Performance Share Units that have been awarded to me have no independent economic value, but rather are mere units of measurement to be used in calculating benefits, if any, available under the Program; (iii) I agree to accept as binding, conclusive and final all decisions or interpretations of the Committee upon any questions arising under this Award, the Program or the Plan; and (iv) my decision to participate in the Program is completely voluntary and done with full knowledge of its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 further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 that, except as otherwise specifically provided in the Program, in the event I terminate employment prior to the Payment Date, the Performance Share Units awarded to me shall be cancelled and forfeited, whether payable or not, without payment by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Signature: ____________________________</w:t>
      </w:r>
      <w:r>
        <w:rPr>
          <w:sz w:val="20"/>
          <w:szCs w:val="20"/>
          <w:color w:val="auto"/>
        </w:rPr>
        <w:tab/>
      </w:r>
      <w:r>
        <w:rPr>
          <w:rFonts w:ascii="Times New Roman" w:cs="Times New Roman" w:eastAsia="Times New Roman" w:hAnsi="Times New Roman"/>
          <w:sz w:val="17"/>
          <w:szCs w:val="17"/>
          <w:color w:val="auto"/>
        </w:rPr>
        <w:t>Date: 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 PERFORMANCE SHARE UNIT PROGRAM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(2026-2028)</w:t>
      </w:r>
    </w:p>
    <w:p>
      <w:pPr>
        <w:spacing w:after="0" w:line="23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L.B. Foster Company, a Pennsylvania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establishes this L.B. FOSTER COMPANY 2026 PERFORMANCE SHARE UNIT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in accordance with the provisions of the L.B. Foster Company 2025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terms and conditions provided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maintains the Plan for the benefit of its and its Subsidiaries’ key employees;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order to align the interests of key employees with the interests of the Company’s shareholders and to enhance the Company’s ability to retain the employment of its key employees, the Company desires to provide long-term incentive compensation;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Section 8 of the Plan authorizes the Company to make performance-based awards.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the Compensation Committee of the Board of Directors of the Company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hereby adopts the Program on the following terms and conditions:</w:t>
      </w:r>
    </w:p>
    <w:p>
      <w:pPr>
        <w:spacing w:after="0" w:line="148" w:lineRule="exact"/>
        <w:rPr>
          <w:sz w:val="20"/>
          <w:szCs w:val="20"/>
          <w:color w:val="auto"/>
        </w:rPr>
      </w:pPr>
    </w:p>
    <w:p>
      <w:pPr>
        <w:jc w:val="both"/>
        <w:ind w:firstLine="656"/>
        <w:spacing w:after="0" w:line="220"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In addition to the terms and conditions set forth herein, Awards under the Program are subject to, and governed by, the terms and conditions set forth in the Plan, which are hereby incorporated by reference. Unless the context otherwise requires, capitalized terms used in this Program and not otherwise defined herein shall have the meanings set forth in the Plan. In the event of any conflict between the provisions of the Program and the Plan, the Committee shall have full authority and discretion to resolve such conflict and any such determination shall be final, conclusive and binding on the Participant and all interested parties.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effective date of this Program is January 1, 2026.</w:t>
      </w:r>
    </w:p>
    <w:p>
      <w:pPr>
        <w:spacing w:after="0" w:line="184"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Committee shall select those individuals who shall participate in the Program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In the event that an employee is hired by the Company or a Subsidiary during the Performance Period, upon recommendation by the CEO, the Committee shall determine whether such employee will become a Participant in the Program, subject to such terms, conditions and adjustments as the Committee determines to be necessary or desirable.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 Unit Awards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number of performance units (the “</w:t>
      </w:r>
      <w:r>
        <w:rPr>
          <w:rFonts w:ascii="Times New Roman" w:cs="Times New Roman" w:eastAsia="Times New Roman" w:hAnsi="Times New Roman"/>
          <w:sz w:val="18"/>
          <w:szCs w:val="18"/>
          <w:u w:val="single" w:color="auto"/>
          <w:color w:val="auto"/>
        </w:rPr>
        <w:t>Performance Share Units</w:t>
      </w:r>
      <w:r>
        <w:rPr>
          <w:rFonts w:ascii="Times New Roman" w:cs="Times New Roman" w:eastAsia="Times New Roman" w:hAnsi="Times New Roman"/>
          <w:sz w:val="18"/>
          <w:szCs w:val="18"/>
          <w:color w:val="auto"/>
        </w:rPr>
        <w:t>”) to be awarded to each Participant. Each Performance Share Unit awarded under the Program shall represent a contingent right to receive up to two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described more fully herein, to the extent such Performance Share Unit is earned and becomes payable pursuant to the terms of this Program. Performance Share Units have no independent economic value, but rather are mere units of measurement used for purpose of calculating the number of shares, if any, to be paid under the Program.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w:t>
      </w:r>
    </w:p>
    <w:p>
      <w:pPr>
        <w:spacing w:after="0" w:line="212" w:lineRule="exact"/>
        <w:rPr>
          <w:sz w:val="20"/>
          <w:szCs w:val="20"/>
          <w:color w:val="auto"/>
        </w:rPr>
      </w:pPr>
    </w:p>
    <w:p>
      <w:pPr>
        <w:jc w:val="both"/>
        <w:ind w:firstLine="1304"/>
        <w:spacing w:after="0" w:line="224" w:lineRule="auto"/>
        <w:tabs>
          <w:tab w:leader="none" w:pos="19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shall be increased and/or decreased in accordance with the terms of the Program as described more fully herein. Notwithstanding any provision of this Program to the contrary the Committee, in its sole discretion, may increase or reduce the amount of any Performance Share Units that would otherwise be earned by a Participant upon attainment of the Performance Conditions (as defined below) if it concludes that such reduction is necessary or appropriate.</w:t>
      </w:r>
    </w:p>
    <w:p>
      <w:pPr>
        <w:spacing w:after="0" w:line="172"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Conditions of the Performance Share Units</w:t>
      </w:r>
      <w:r>
        <w:rPr>
          <w:rFonts w:ascii="Times New Roman" w:cs="Times New Roman" w:eastAsia="Times New Roman" w:hAnsi="Times New Roman"/>
          <w:sz w:val="18"/>
          <w:szCs w:val="18"/>
          <w:color w:val="auto"/>
        </w:rPr>
        <w:t>. The total number of shares of the Company’s Common Stock that may be earned by a Participant will be based on the Company’s attainment of performance goals relating to the Company’s Economic Profit Improvement and Earnings Before Interest, Taxes, Depreciation and Amortization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during the Performance Period (as defined below) as approved by (and</w:t>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22" w:lineRule="auto"/>
        <w:rPr>
          <w:sz w:val="20"/>
          <w:szCs w:val="20"/>
          <w:color w:val="auto"/>
        </w:rPr>
      </w:pPr>
      <w:r>
        <w:rPr>
          <w:rFonts w:ascii="Times New Roman" w:cs="Times New Roman" w:eastAsia="Times New Roman" w:hAnsi="Times New Roman"/>
          <w:sz w:val="18"/>
          <w:szCs w:val="18"/>
          <w:color w:val="auto"/>
        </w:rPr>
        <w:t>in accordance with the procedures established by) the Committee on February ___, 2026 and on file with the Committee (the “</w:t>
      </w:r>
      <w:r>
        <w:rPr>
          <w:rFonts w:ascii="Times New Roman" w:cs="Times New Roman" w:eastAsia="Times New Roman" w:hAnsi="Times New Roman"/>
          <w:sz w:val="18"/>
          <w:szCs w:val="18"/>
          <w:u w:val="single" w:color="auto"/>
          <w:color w:val="auto"/>
        </w:rPr>
        <w:t>Performance Conditions</w:t>
      </w:r>
      <w:r>
        <w:rPr>
          <w:rFonts w:ascii="Times New Roman" w:cs="Times New Roman" w:eastAsia="Times New Roman" w:hAnsi="Times New Roman"/>
          <w:sz w:val="18"/>
          <w:szCs w:val="18"/>
          <w:color w:val="auto"/>
        </w:rPr>
        <w:t>”), for the performance period of January 1, 2026 through December 31, 2028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which Performance Period shall consist of three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separate sub-periods for each of calendar year 2026, 2027 and 2028; provided, however, that except as otherwise specifically provided herein, the ability to earn shares of the Company’s Common Stock and to receive payment thereon under the Program is expressly contingent upon achievement of the threshold for the Performance Conditions during the applicable Performance Period or sub-period and otherwise satisfying all other terms and conditions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16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Distribution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end of each sub-period within the Performance Period, the Committee will assess the extent to which the applicable Performance Conditions for such sub-period have been achieved, subject to final certification and payout following the Performance Period as described below. After the end of the Performance Period, the Committee shall certify in writing the extent to which the applicable Performance Conditions for each sub-period and any other material terms of the Program have been achieved. For purposes of this provision, and for so long as the Code permits, the approved minutes of the Committee meeting in which the certification is made may be treated as written certification.</w:t>
      </w:r>
    </w:p>
    <w:p>
      <w:pPr>
        <w:spacing w:after="0" w:line="158" w:lineRule="exact"/>
        <w:rPr>
          <w:rFonts w:ascii="Times New Roman" w:cs="Times New Roman" w:eastAsia="Times New Roman" w:hAnsi="Times New Roman"/>
          <w:sz w:val="18"/>
          <w:szCs w:val="18"/>
          <w:color w:val="auto"/>
        </w:rPr>
      </w:pPr>
    </w:p>
    <w:p>
      <w:pPr>
        <w:jc w:val="both"/>
        <w:ind w:firstLine="1304"/>
        <w:spacing w:after="0" w:line="236" w:lineRule="auto"/>
        <w:tabs>
          <w:tab w:leader="none" w:pos="1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Program and except as otherwise provided for in Section 9, Performance Share Units will be settled and paid in shares of the Company’s common stock in the calendar year immediately following the end of the Performance Period on a date determined in the Company’s discretion, but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such calendar year (the “</w:t>
      </w:r>
      <w:r>
        <w:rPr>
          <w:rFonts w:ascii="Times New Roman" w:cs="Times New Roman" w:eastAsia="Times New Roman" w:hAnsi="Times New Roman"/>
          <w:sz w:val="18"/>
          <w:szCs w:val="18"/>
          <w:u w:val="single" w:color="auto"/>
          <w:color w:val="auto"/>
        </w:rPr>
        <w:t>Normal Payment Date</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jc w:val="both"/>
        <w:ind w:firstLine="1304"/>
        <w:spacing w:after="0" w:line="210" w:lineRule="auto"/>
        <w:tabs>
          <w:tab w:leader="none" w:pos="19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Program, in the event of a Change in Control, the Program shall terminate and the Participants shall be deemed to have earned (i) the actual number of shares that would have been earned based on actual performance for any completed sub-period for which the achievement level has been assessed by the Committee as of the date of the Change in Control and (ii) 100% of the shares subject to any incomplete or future sub-period as of the date of the Change in Control, provided that such shares shall remain subject to vesting based on each Participant’s continued service through the end of the Performance Period except as otherwise provided under the Program and provided further if (i) the Participant experiences an involuntary Separation from Service by the Company other than due to (A) a Termination for Cause, (B) death, or (C) Disability, or the Participant’s service terminates as a result of Good Reason (as defined below), in each case either within the 90-day period immediately preceding a Change in Control, or on or within the two-year period immediately following a Change in Control, or (ii) the acquiring entity in a Change in Control does not assume the Program and convert the award into a substantially comparable award of capital stock or other equity incentive instrument in such acquiring entity as determined by the Board, any unvested shares shall immediately vest at the time of the Change in Control. For purposes of the Program, “</w:t>
      </w:r>
      <w:r>
        <w:rPr>
          <w:rFonts w:ascii="Times New Roman" w:cs="Times New Roman" w:eastAsia="Times New Roman" w:hAnsi="Times New Roman"/>
          <w:sz w:val="18"/>
          <w:szCs w:val="18"/>
          <w:u w:val="single" w:color="auto"/>
          <w:color w:val="auto"/>
        </w:rPr>
        <w:t>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Reason</w:t>
      </w:r>
      <w:r>
        <w:rPr>
          <w:rFonts w:ascii="Times New Roman" w:cs="Times New Roman" w:eastAsia="Times New Roman" w:hAnsi="Times New Roman"/>
          <w:sz w:val="18"/>
          <w:szCs w:val="18"/>
          <w:color w:val="auto"/>
        </w:rPr>
        <w:t>” means a Participant’s Separation from Service as a result of the occurrence, without the Participant’s written consent, of one of the following events: (A) a material reduction in the Participant’s annual base salary (unless such reduction relates to an across-the-board reduction similarly affecting the Participant and all or substantially all other executives of the Company and its affiliates); (B) the Company (or the Subsidiary employing the Participant) makes or causes to be made a material adverse change in the Participant’s position, authority, duties or responsibilities which results in a significant diminution in the Participant’s position, authority, duties or responsibilities, excluding any change made in connection with (x) a reassignment to a New Job Position (as defined herein) or (y) a termination of the Participant’s employment with the Company for Disability, Termination for Cause, death, or temporarily as a result of Participant’s incapacity or other absence for an extended period. For purposes of this Program, “</w:t>
      </w:r>
      <w:r>
        <w:rPr>
          <w:rFonts w:ascii="Times New Roman" w:cs="Times New Roman" w:eastAsia="Times New Roman" w:hAnsi="Times New Roman"/>
          <w:sz w:val="18"/>
          <w:szCs w:val="18"/>
          <w:u w:val="single" w:color="auto"/>
          <w:color w:val="auto"/>
        </w:rPr>
        <w:t>New Job Position</w:t>
      </w:r>
      <w:r>
        <w:rPr>
          <w:rFonts w:ascii="Times New Roman" w:cs="Times New Roman" w:eastAsia="Times New Roman" w:hAnsi="Times New Roman"/>
          <w:sz w:val="18"/>
          <w:szCs w:val="18"/>
          <w:color w:val="auto"/>
        </w:rPr>
        <w:t>” means a change in the Participant’s position, authority, duties or responsibilities with the Company or any affiliate due to the Participant’s demonstrated inadequate or unsatisfactory performance, provided the Participant had been notified of such inadequate performance and had been given at least 30 days to cure such inadequate performance; (C) a relocation of the Company’s principal place of business, or of the Participant’s own office as assigned to the Participant by the Company or the Subsidiary employing the Participant to a location that increases the Participant’s normal work commute by more than 50 miles; or (D) any other action by the Company or the Subsidiary employing the Participant that constitutes a material breach of the employment agreement, if any, under which the Participant’s services are to be performed. In order for the Participant to terminate for Good Reason, (i) the Company must be notified by the Participant in writing within 90 days of the event constituting Good Reason, (ii) the event must remain uncorrected by the Company for 30 days following such notice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and (iii) such termination must occur within 60 days after the expiration of the Notice Period. To the extent that this Section 6(c) applies, payment shall be made as provided for in Section 9.</w:t>
      </w:r>
    </w:p>
    <w:p>
      <w:pPr>
        <w:spacing w:after="0" w:line="17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Performance Share Units will not be credited with dividends that are paid on the Company’s Common Stock.</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Participant’s Status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04" w:right="339" w:bottom="1440" w:gutter="0" w:footer="0" w:header="0"/>
        </w:sectPr>
      </w:pPr>
    </w:p>
    <w:bookmarkStart w:id="35" w:name="page36"/>
    <w:bookmarkEnd w:id="35"/>
    <w:p>
      <w:pPr>
        <w:jc w:val="both"/>
        <w:ind w:left="-656" w:firstLine="1304"/>
        <w:spacing w:after="0" w:line="213"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Participant’s employment with the Company or any Subsidiary is terminated prior to the Normal Payment Date (i) by reason of Early Retirement (as defined below), or (ii) on account of death or Disability (other than a Normal Retirement), the Participant shall be entitled to retain the Performance Share Units and receive payment therefore to the extent earned and payable pursuant to the provisions of this Program; provided, however, the Participant shall only be entitled to retain a prorated portion of the Performance Share Units based on the ratio of the number of complete months the Participant is employed or serves during the Performance Period to the total number of months in the Performance Period (or the number of remaining months in the Performance Period if the Participant becomes an employee of the Company and/or its Subsidiaries after the start of the Performance Period). For purposes of the Program, “Early Retirement” means any termination of the Participant’s employment (other than a Normal Retirement, Termination for Cause or termination on account of death or Disability) if, at the time of such termination, (A) the Participant has at least 10 years of continuous employment with the Company or a Subsidiary and the Participant’s age is equal to or greater than 55 and (B) the Participant (or, to the extent requested by the Company in the event of the Participant’s death or Disability, a representative of the Participant’s estate) within 60 days of termination executes (and does not revoke) a release agreement provided by the Company.</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17" w:lineRule="auto"/>
        <w:tabs>
          <w:tab w:leader="none" w:pos="128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Participant’s employment with the Company or any Subsidiary is terminated by reason of Normal Retirement (as defined below) prior to the Normal Payment Date, the Participant shall be entitled to retain the Performance Share Units and receive payment therefore to the extent earned and payable pursuant to the provisions of this Program. For purposes of the Program, “Normal Retirement” means any termination of the Participant’s employment (other than a Termination for Cause) if, at the time of such termination, (A) either (x) the Participant has at least 5 years of continuous employment with the Company or a Subsidiary and the Participant’s age is equal to or greater than 60 or (y) the Participant’s age is equal to or greater than 65 and (B) the Participant (or, to the extent requested by the Company in the event of the Participant’s death or Disability, a representative of the Participant’s estate) within 60 days of termination executes (and does not revoke) a release agreement provided by the Company.</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20"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Participant’s employment with the Company or any Subsidiary is terminated for any other reason, including, but not limited to, by the Participant voluntarily, or by the Company on account of a Termination for Cause or without cause (except to the extent that Section 6(c) applies), prior to the Normal Payment Date, the Performance Share Units awarded to the Participant shall be cancelled and forfeited, whether payable or not, without payment by the Company or any Subsidiary. To the extent that this Section 8 applies, payment shall be made as provided for in Section 9. Any payments due a deceased Participant shall be paid to his estate as provided herein.</w:t>
      </w:r>
    </w:p>
    <w:p>
      <w:pPr>
        <w:spacing w:after="0" w:line="171" w:lineRule="exact"/>
        <w:rPr>
          <w:rFonts w:ascii="Times New Roman" w:cs="Times New Roman" w:eastAsia="Times New Roman" w:hAnsi="Times New Roman"/>
          <w:sz w:val="18"/>
          <w:szCs w:val="18"/>
          <w:color w:val="auto"/>
        </w:rPr>
      </w:pPr>
    </w:p>
    <w:p>
      <w:pPr>
        <w:jc w:val="both"/>
        <w:ind w:left="-656" w:firstLine="656"/>
        <w:spacing w:after="0" w:line="21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Earlier Settlement of Performance Share Unit Awards in Certain Instances</w:t>
      </w:r>
      <w:r>
        <w:rPr>
          <w:rFonts w:ascii="Times New Roman" w:cs="Times New Roman" w:eastAsia="Times New Roman" w:hAnsi="Times New Roman"/>
          <w:sz w:val="18"/>
          <w:szCs w:val="18"/>
          <w:color w:val="auto"/>
        </w:rPr>
        <w:t>. Subject to the terms and conditions of this Program, Performance Share Units will be settled and paid in shares of the Company’s common stock on the Normal Payment Date; provided, however, that Performance Share Units will be settled to the extent the Performance Share Units are not subject to a “substantial risk of forfeiture” as determined for purposes of Section 409A of the Code on the earlier of (i) a Change in Control that also constitutes a “change in ownership”, a “change in effective control” or a “change in the ownership of a substantial portion of the assets” of the Company under Section 409A of the Code (a “</w:t>
      </w:r>
      <w:r>
        <w:rPr>
          <w:rFonts w:ascii="Times New Roman" w:cs="Times New Roman" w:eastAsia="Times New Roman" w:hAnsi="Times New Roman"/>
          <w:sz w:val="18"/>
          <w:szCs w:val="18"/>
          <w:u w:val="single" w:color="auto"/>
          <w:color w:val="auto"/>
        </w:rPr>
        <w:t>Section 409A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(ii) subject to Section 17(c) of the Plan, the Participant’s Separation from Service, provided such Separation from Service occurs within the twenty-four (24) month period following a Section 409A Change in Control. For the avoidance of doubt, if a Change in Control occurs that does not constitute a Section 409A Change in Control, this Section 9 shall not apply, and the Performance Share Units will be settled on the Normal Payment Date.</w:t>
      </w:r>
    </w:p>
    <w:p>
      <w:pPr>
        <w:spacing w:after="0" w:line="163" w:lineRule="exact"/>
        <w:rPr>
          <w:rFonts w:ascii="Times New Roman" w:cs="Times New Roman" w:eastAsia="Times New Roman" w:hAnsi="Times New Roman"/>
          <w:sz w:val="18"/>
          <w:szCs w:val="18"/>
          <w:color w:val="auto"/>
        </w:rPr>
      </w:pPr>
    </w:p>
    <w:p>
      <w:pPr>
        <w:jc w:val="both"/>
        <w:ind w:left="-656" w:firstLine="656"/>
        <w:spacing w:after="0" w:line="220" w:lineRule="auto"/>
        <w:tabs>
          <w:tab w:leader="none" w:pos="6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Responsibilities of the Committee</w:t>
      </w:r>
      <w:r>
        <w:rPr>
          <w:rFonts w:ascii="Times New Roman" w:cs="Times New Roman" w:eastAsia="Times New Roman" w:hAnsi="Times New Roman"/>
          <w:sz w:val="18"/>
          <w:szCs w:val="18"/>
          <w:color w:val="auto"/>
        </w:rPr>
        <w:t>. In addition to the authority granted to the Committee under the Plan, the Committee has responsibility for all aspects of the Program’s administration, including but not limited to: ensuring that the Program is administered in accordance with the provisions of the Program and the Plan; approving Participants; authorizing Performance Share Unit Awards to Participants; and adjusting Performance Share Units as authorized hereunder consistent with the terms of the Program and the Plan. All decisions of the Committee under the Program shall be final, conclusive and binding on all interest parties. No member of the Committee shall be liable for any action or determination made in good faith as to the Program or any Performance Share Units awarded thereunder.</w:t>
      </w:r>
    </w:p>
    <w:p>
      <w:pPr>
        <w:spacing w:after="0" w:line="15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Consequences/Withholding</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56" w:firstLine="1304"/>
        <w:spacing w:after="0" w:line="250" w:lineRule="auto"/>
        <w:tabs>
          <w:tab w:leader="none" w:pos="12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Participant shall have merely an unfunded, unsecured promise to be paid a benefit, and such unfunded promise shall not consist of a transfer of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within the meaning of Code Section 83.</w:t>
      </w:r>
    </w:p>
    <w:p>
      <w:pPr>
        <w:sectPr>
          <w:pgSz w:w="11900" w:h="16838" w:orient="portrait"/>
          <w:cols w:equalWidth="0" w:num="1">
            <w:col w:w="10584"/>
          </w:cols>
          <w:pgMar w:left="976" w:top="1404" w:right="339" w:bottom="1440" w:gutter="0" w:footer="0" w:header="0"/>
        </w:sectPr>
      </w:pPr>
    </w:p>
    <w:bookmarkStart w:id="36" w:name="page37"/>
    <w:bookmarkEnd w:id="36"/>
    <w:p>
      <w:pPr>
        <w:jc w:val="both"/>
        <w:ind w:left="-8" w:firstLine="1304"/>
        <w:spacing w:after="0" w:line="217" w:lineRule="auto"/>
        <w:tabs>
          <w:tab w:leader="none" w:pos="193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any tax for foreign, federal, state or local income tax purposes, including payroll taxes, that the Participant is required to recognize on account of the vesting of the Performance Share Units and/or issuance of the shares of Common Stock under this Award to Participant shall be subject to withholding of tax by the Company. In accordance with administrative procedures established by the Company, in order to satisfy Participant’s statutory withholding tax obligations, if any, on account of the issuance of shares of Common Stock under this Award, the Company will withhold from the shares of Common Stock to be issued to the Participant a sufficient number of whole shares distributable in connection with this Award equal to the taxes required to be withheld at the applicable minimum statutory withholding rates (or any other rate approved by the Committee).</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20" w:lineRule="auto"/>
        <w:tabs>
          <w:tab w:leader="none" w:pos="193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Program is intended to be excepted from coverage under, or comply with, Section 409A of the Code and shall be construed accordingly. Notwithstanding any provision of this Program to the contrary, if any benefit provided under this Program is subject to the provisions of Section 409A of the Code, the provisions of the Program will be administered, interpreted and construed in a manner necessary to comply with Section 409A of the Code (or disregarded to the extent such provision cannot be so administered, interpreted or construed). Notwithstanding, Section 409A of the Code may impose upon the Participant certain taxes or other charges for which the Participant is and shall remain solely responsible, and nothing contained in this Program or the Plan shall be construed to obligate the Committee, the Company or any Subsidiary for any such taxes or other charges.</w:t>
      </w:r>
    </w:p>
    <w:p>
      <w:pPr>
        <w:spacing w:after="0" w:line="15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8" w:firstLine="1304"/>
        <w:spacing w:after="0" w:line="220" w:lineRule="auto"/>
        <w:tabs>
          <w:tab w:leader="none" w:pos="193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hereunder agree that this Section 12 is reasonable and necessary in order to protect the legitimate business interests and goodwill of the Company, including the Company’s trade secrets, valuable confidential business and professional information, substantial relationships with prospective and existing customers and clients, and specialized training provided to Participants and other employees of the Company. The Participants acknowledge and recognize the highly competitive nature of the business of the Company and its Subsidiaries and accordingly agree that during the term of each of their employment and for a period of two (2) years after the termination thereof:</w:t>
      </w:r>
    </w:p>
    <w:p>
      <w:pPr>
        <w:spacing w:after="0" w:line="158" w:lineRule="exact"/>
        <w:rPr>
          <w:rFonts w:ascii="Times New Roman" w:cs="Times New Roman" w:eastAsia="Times New Roman" w:hAnsi="Times New Roman"/>
          <w:sz w:val="18"/>
          <w:szCs w:val="18"/>
          <w:color w:val="auto"/>
        </w:rPr>
      </w:pPr>
    </w:p>
    <w:p>
      <w:pPr>
        <w:jc w:val="both"/>
        <w:ind w:left="-8" w:firstLine="1952"/>
        <w:spacing w:after="0" w:line="224" w:lineRule="auto"/>
        <w:tabs>
          <w:tab w:leader="none" w:pos="2578"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 not directly or indirectly engage in any business substantially similar to any line of business conducted by the Company or any of its Subsidiaries, including, but not limited to, where such engagement is as an officer, director, proprietor, employee, partner, investor (other than as a holder of less than 1% of the outstanding capital stock of a publicly traded corporation), consultant, advisor, agent or sales representative, in any geographic region in which the Company or any of its Subsidiaries conducted business;</w:t>
      </w:r>
    </w:p>
    <w:p>
      <w:pPr>
        <w:spacing w:after="0" w:line="172" w:lineRule="exact"/>
        <w:rPr>
          <w:rFonts w:ascii="Times New Roman" w:cs="Times New Roman" w:eastAsia="Times New Roman" w:hAnsi="Times New Roman"/>
          <w:sz w:val="18"/>
          <w:szCs w:val="18"/>
          <w:color w:val="auto"/>
        </w:rPr>
      </w:pPr>
    </w:p>
    <w:p>
      <w:pPr>
        <w:ind w:left="-8" w:firstLine="1952"/>
        <w:spacing w:after="0" w:line="237" w:lineRule="auto"/>
        <w:tabs>
          <w:tab w:leader="none" w:pos="2574"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 not contact, solicit, perform services for, or accept business from any customer or prospective customer of the Company or any of its Subsidiaries in any line of business conducted by the Company or any of its subsidiaries;</w:t>
      </w:r>
    </w:p>
    <w:p>
      <w:pPr>
        <w:spacing w:after="0" w:line="158"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 not directly or indirectly induce any employee of the Company or any of its Subsidiaries to:</w:t>
      </w:r>
    </w:p>
    <w:p>
      <w:pPr>
        <w:spacing w:after="0" w:line="2" w:lineRule="exact"/>
        <w:rPr>
          <w:rFonts w:ascii="Times New Roman" w:cs="Times New Roman" w:eastAsia="Times New Roman" w:hAnsi="Times New Roman"/>
          <w:sz w:val="18"/>
          <w:szCs w:val="18"/>
          <w:color w:val="auto"/>
        </w:rPr>
      </w:pPr>
    </w:p>
    <w:p>
      <w:pPr>
        <w:jc w:val="both"/>
        <w:ind w:left="-8" w:firstLine="8"/>
        <w:spacing w:after="0" w:line="218" w:lineRule="auto"/>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conduct which is prohibited pursuant to subparagraph 11(a)(i) or (2) terminate such employee’s employment with the Company or any of its Subsidiaries. Moreover, the Participants will not directly or indirectly employ or offer employment (in connection with any business substantially similar to any line of business conducted by the Company or any of its Subsidiaries) to any person who was employed by the Company or any of its Subsidiaries unless such person shall have ceased to be employed by the Company or any of its Subsidiaries for a period of at least 12 months; and</w:t>
      </w:r>
    </w:p>
    <w:p>
      <w:pPr>
        <w:spacing w:after="0" w:line="159" w:lineRule="exact"/>
        <w:rPr>
          <w:rFonts w:ascii="Times New Roman" w:cs="Times New Roman" w:eastAsia="Times New Roman" w:hAnsi="Times New Roman"/>
          <w:sz w:val="18"/>
          <w:szCs w:val="18"/>
          <w:color w:val="auto"/>
        </w:rPr>
      </w:pPr>
    </w:p>
    <w:p>
      <w:pPr>
        <w:ind w:left="-8" w:right="20" w:firstLine="1952"/>
        <w:spacing w:after="0" w:line="237" w:lineRule="auto"/>
        <w:tabs>
          <w:tab w:leader="none" w:pos="2574"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 not directly or indirectly assist others in engaging in any of the activities, which are prohibited under subparagraphs (a)(i-iii) above.</w:t>
      </w:r>
    </w:p>
    <w:p>
      <w:pPr>
        <w:spacing w:after="0" w:line="171" w:lineRule="exact"/>
        <w:rPr>
          <w:rFonts w:ascii="Times New Roman" w:cs="Times New Roman" w:eastAsia="Times New Roman" w:hAnsi="Times New Roman"/>
          <w:sz w:val="18"/>
          <w:szCs w:val="18"/>
          <w:color w:val="auto"/>
        </w:rPr>
      </w:pPr>
    </w:p>
    <w:p>
      <w:pPr>
        <w:jc w:val="both"/>
        <w:ind w:left="-8" w:firstLine="1304"/>
        <w:spacing w:after="0" w:line="215" w:lineRule="auto"/>
        <w:tabs>
          <w:tab w:leader="none" w:pos="193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understood and agreed that although the Participants and the Company consider the restrictions contained in this Section 12 to be reasonable, if a final judicial determination is made by a court of competent jurisdiction that the time or territory or any other restriction contained in this Program is an unenforceable restriction against any Participant, the provisions of this Program shall not be rendered void but shall be deemed amended to apply as to such maximum time and territory and to such maximum extent as such court may judicially determine or indicate to be enforceable against such Participant. Alternatively, if any court of competent jurisdiction finds that any restriction contained in this Program is unenforceable, and such restriction cannot be amended so as to make it enforceable, such finding shall not affect the enforceability of any of the other restrictions contained herein. The restrictive covenants set forth in this Section 12 shall be extended by any amount of time that a Participant is in breach of such covenants, such that the Company receives the full benefit of the time duration set forth above.</w:t>
      </w:r>
    </w:p>
    <w:p>
      <w:pPr>
        <w:sectPr>
          <w:pgSz w:w="11900" w:h="16838" w:orient="portrait"/>
          <w:cols w:equalWidth="0" w:num="1">
            <w:col w:w="11232"/>
          </w:cols>
          <w:pgMar w:left="328" w:top="1404" w:right="339" w:bottom="1440" w:gutter="0" w:footer="0" w:header="0"/>
        </w:sectPr>
      </w:pPr>
    </w:p>
    <w:bookmarkStart w:id="37" w:name="page38"/>
    <w:bookmarkEnd w:id="37"/>
    <w:p>
      <w:pPr>
        <w:jc w:val="both"/>
        <w:ind w:left="-8" w:firstLine="656"/>
        <w:spacing w:after="0" w:line="213" w:lineRule="auto"/>
        <w:tabs>
          <w:tab w:leader="none" w:pos="128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Trade Secrets</w:t>
      </w:r>
      <w:r>
        <w:rPr>
          <w:rFonts w:ascii="Times New Roman" w:cs="Times New Roman" w:eastAsia="Times New Roman" w:hAnsi="Times New Roman"/>
          <w:sz w:val="18"/>
          <w:szCs w:val="18"/>
          <w:color w:val="auto"/>
        </w:rPr>
        <w:t>. The Participants and the Company agree that certain materials, including, but not limited to, information, data and other materials relating to customers, development programs, costs, marketing, trading, investment, sales activities, promotion, credit and financial data, manufacturing processes, financing methods, plans or the business and affairs of the Company and its Subsidiaries, constitute proprietary confidential information and trade secrets. Accordingly, the Participants will not at any time during or after a Participant’s employment with the Company (including any Subsidiary) disclose or use for such Participant’s own benefit or purposes or the benefit or purposes of any other person, firm, partnership, joint venture, association, corporation or other business organization, entity or enterprise other than the Company and any of its affiliates, any proprietary confidential information or trade secrets, provided that the foregoing shall not apply to information which is not unique to the Company or any of its Subsidiaries or which is generally known to the industry or the public other than as a result of such Participant’s breach of this covenant. The Participants agree that upon termination of employment with the Company (including any Subsidiary) for any reason, the Participants will immediately return to the Company all memoranda, books, papers, plans, information, letters and other data, and all copies thereof or therefrom, which in any way relate to the business of the Company and its Subsidiaries, except that the Participants may retain personal notes, notebooks and diaries. The Participants further agree that the Participants will not retain or use for their own account at any time any trade names, trademark or other proprietary business designation used or owned in connection with the business of the Company or any of its Subsidiaries.</w:t>
      </w:r>
    </w:p>
    <w:p>
      <w:pPr>
        <w:spacing w:after="0" w:line="16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Remedies/Forfeiture/Recoupment</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8" w:firstLine="1304"/>
        <w:spacing w:after="0" w:line="215" w:lineRule="auto"/>
        <w:tabs>
          <w:tab w:leader="none" w:pos="193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Participants acknowledge that a violation or attempted violation on a Participant’s part of Sections 12 and 13 will cause irreparable damage to the Company and its Subsidiaries, and the Participants therefore agree that the Company and its Subsidiaries shall be entitled as a matter of right to an injunction, out of any court of competent jurisdiction, restraining any violation or further violation of such promises by the Participants or a Participant’s employees, partners or agents. The Participants agree that such right to an injunction is cumulative and in addition to whatever other remedies the Company (including any Subsidiary) may have under law or equity, and the Participants’ obligations to make timely payment to the Company as set forth in Section 14(b) of this Program. </w:t>
      </w:r>
      <w:r>
        <w:rPr>
          <w:rFonts w:ascii="Times New Roman" w:cs="Times New Roman" w:eastAsia="Times New Roman" w:hAnsi="Times New Roman"/>
          <w:sz w:val="18"/>
          <w:szCs w:val="18"/>
          <w:b w:val="1"/>
          <w:bCs w:val="1"/>
          <w:i w:val="1"/>
          <w:iCs w:val="1"/>
          <w:color w:val="auto"/>
        </w:rPr>
        <w:t>The Participants further acknowledge and agree that a Participant’s Performance Share Units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cancelled and forfeited without payment by the Company if such Participant breaches any of his or her obligations set forth in Section 12 and 13 herein.</w:t>
      </w:r>
    </w:p>
    <w:p>
      <w:pPr>
        <w:spacing w:after="0" w:line="163" w:lineRule="exact"/>
        <w:rPr>
          <w:rFonts w:ascii="Times New Roman" w:cs="Times New Roman" w:eastAsia="Times New Roman" w:hAnsi="Times New Roman"/>
          <w:sz w:val="18"/>
          <w:szCs w:val="18"/>
          <w:color w:val="auto"/>
        </w:rPr>
      </w:pPr>
    </w:p>
    <w:p>
      <w:pPr>
        <w:jc w:val="both"/>
        <w:ind w:left="-8" w:firstLine="1304"/>
        <w:spacing w:after="0" w:line="227" w:lineRule="auto"/>
        <w:tabs>
          <w:tab w:leader="none" w:pos="193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point after becoming aware of a breach of any obligation set forth in Sections 12 and/or 13 of this Program, the Company shall provide notice of such breach to a Participant. By agreeing to participate in this Program, the Participants agree that within ten (10) days after the date the Company provides such notice, a Participant shall pay to the Company in cash an amount equal to any and all distributions paid to or on behalf of such Participant under this Program within the six (6) months prior to the date of the earliest breach. The Participant agrees that failure to make such timely payment to the Company constitutes an independent and material breach of the terms and conditions of this Program, for which the Company may seek recovery of the unpaid amount as liquidated damages, in addition to all other rights and remedies the Company may have resulting from a Participant’s breach of the obligations set forth in Sections 12 and 13. The Participants agree that timely payment to the Company as set forth in this provision of the Program is reasonable and necessary because the compensatory damages that will result from breaches of Sections 12 and/or 13 cannot readily be ascertained. Further, the Participants agree that timely payment to the Company as set forth in this provision of the Program is not a penalty, and it does not preclude the Company from seeking all other remedies that may be available to the Company, including without limitation those set forth in this Section 14.</w:t>
      </w:r>
    </w:p>
    <w:p>
      <w:pPr>
        <w:spacing w:after="0" w:line="176" w:lineRule="exact"/>
        <w:rPr>
          <w:rFonts w:ascii="Times New Roman" w:cs="Times New Roman" w:eastAsia="Times New Roman" w:hAnsi="Times New Roman"/>
          <w:sz w:val="17"/>
          <w:szCs w:val="17"/>
          <w:color w:val="auto"/>
        </w:rPr>
      </w:pPr>
    </w:p>
    <w:p>
      <w:pPr>
        <w:ind w:left="-8" w:right="100" w:firstLine="1304"/>
        <w:spacing w:after="0" w:line="223" w:lineRule="auto"/>
        <w:tabs>
          <w:tab w:leader="none" w:pos="1933"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terms and conditions set forth in the L.B. Foster Company Amended and Restated Executive Recoupment Policy (as may be amended and restated from time to time, the “</w:t>
      </w:r>
      <w:r>
        <w:rPr>
          <w:rFonts w:ascii="Times New Roman" w:cs="Times New Roman" w:eastAsia="Times New Roman" w:hAnsi="Times New Roman"/>
          <w:sz w:val="17"/>
          <w:szCs w:val="17"/>
          <w:u w:val="single" w:color="auto"/>
          <w:color w:val="auto"/>
        </w:rPr>
        <w:t>Recoupment Policy</w:t>
      </w:r>
      <w:r>
        <w:rPr>
          <w:rFonts w:ascii="Times New Roman" w:cs="Times New Roman" w:eastAsia="Times New Roman" w:hAnsi="Times New Roman"/>
          <w:sz w:val="17"/>
          <w:szCs w:val="17"/>
          <w:color w:val="auto"/>
        </w:rPr>
        <w:t>”) are incorporated into this Program by reference. To the extent the Recoupment Policy is applicable to the Participant, it creates additional rights for the Company with respect to certain Awards and other applicable compensation, including, without limitation, cash bonus awards granted to the Participant under the L.B. Foster Company Executive Annual Incentive Compensation Plan, or any successor plan (“</w:t>
      </w:r>
      <w:r>
        <w:rPr>
          <w:rFonts w:ascii="Times New Roman" w:cs="Times New Roman" w:eastAsia="Times New Roman" w:hAnsi="Times New Roman"/>
          <w:sz w:val="17"/>
          <w:szCs w:val="17"/>
          <w:u w:val="single" w:color="auto"/>
          <w:color w:val="auto"/>
        </w:rPr>
        <w:t>Bonus Awards</w:t>
      </w:r>
      <w:r>
        <w:rPr>
          <w:rFonts w:ascii="Times New Roman" w:cs="Times New Roman" w:eastAsia="Times New Roman" w:hAnsi="Times New Roman"/>
          <w:sz w:val="17"/>
          <w:szCs w:val="17"/>
          <w:color w:val="auto"/>
        </w:rPr>
        <w:t>”). Notwithstanding any provisions in this Program to the contrary, any Award granted under the Plan and such other applicable compensation, including, without limitation, Bonus Awards, will be subject to potential mandatory cancellation, forfeiture and/or repayment by the Participant to the Company to the extent the Participant is, or in the future becomes, subject to</w:t>
      </w:r>
    </w:p>
    <w:p>
      <w:pPr>
        <w:spacing w:after="0" w:line="4" w:lineRule="exact"/>
        <w:rPr>
          <w:rFonts w:ascii="Times New Roman" w:cs="Times New Roman" w:eastAsia="Times New Roman" w:hAnsi="Times New Roman"/>
          <w:sz w:val="17"/>
          <w:szCs w:val="17"/>
          <w:color w:val="auto"/>
        </w:rPr>
      </w:pPr>
    </w:p>
    <w:p>
      <w:pPr>
        <w:ind w:left="-8" w:right="100" w:firstLine="8"/>
        <w:spacing w:after="0" w:line="214" w:lineRule="auto"/>
        <w:tabs>
          <w:tab w:leader="none" w:pos="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clawback or recoupment policy, including the Recoupment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an Award under the Plan and pursuant to the Program terms, the Participant consents to be bound by the terms of the Recoupment Policy, if applicable, and agrees and acknowledges that the Participant is</w:t>
      </w:r>
    </w:p>
    <w:p>
      <w:pPr>
        <w:sectPr>
          <w:pgSz w:w="11900" w:h="16838" w:orient="portrait"/>
          <w:cols w:equalWidth="0" w:num="1">
            <w:col w:w="11232"/>
          </w:cols>
          <w:pgMar w:left="328" w:top="1404" w:right="339" w:bottom="1440" w:gutter="0" w:footer="0" w:header="0"/>
        </w:sectPr>
      </w:pPr>
    </w:p>
    <w:bookmarkStart w:id="38" w:name="page39"/>
    <w:bookmarkEnd w:id="38"/>
    <w:p>
      <w:pPr>
        <w:ind w:right="20"/>
        <w:spacing w:after="0" w:line="236" w:lineRule="auto"/>
        <w:rPr>
          <w:sz w:val="20"/>
          <w:szCs w:val="20"/>
          <w:color w:val="auto"/>
        </w:rPr>
      </w:pPr>
      <w:r>
        <w:rPr>
          <w:rFonts w:ascii="Times New Roman" w:cs="Times New Roman" w:eastAsia="Times New Roman" w:hAnsi="Times New Roman"/>
          <w:sz w:val="17"/>
          <w:szCs w:val="17"/>
          <w:color w:val="auto"/>
        </w:rPr>
        <w:t>obligated to cooperate with, and provide any and all assistance necessary to, the Company in its efforts to recover or recoup an Award, any gains or earnings related to an Award, or any other applicable compensation, including, without limitation, Bonus Awards, that is subject to clawback or recoupment</w:t>
      </w:r>
    </w:p>
    <w:p>
      <w:pPr>
        <w:ind w:right="180"/>
        <w:spacing w:after="0" w:line="220" w:lineRule="auto"/>
        <w:rPr>
          <w:sz w:val="20"/>
          <w:szCs w:val="20"/>
          <w:color w:val="auto"/>
        </w:rPr>
      </w:pPr>
      <w:r>
        <w:rPr>
          <w:rFonts w:ascii="Times New Roman" w:cs="Times New Roman" w:eastAsia="Times New Roman" w:hAnsi="Times New Roman"/>
          <w:sz w:val="17"/>
          <w:szCs w:val="17"/>
          <w:color w:val="auto"/>
        </w:rPr>
        <w:t>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178" w:lineRule="exact"/>
        <w:rPr>
          <w:sz w:val="20"/>
          <w:szCs w:val="20"/>
          <w:color w:val="auto"/>
        </w:rPr>
      </w:pPr>
    </w:p>
    <w:p>
      <w:pPr>
        <w:jc w:val="both"/>
        <w:ind w:firstLine="1377"/>
        <w:spacing w:after="0" w:line="266" w:lineRule="auto"/>
        <w:rPr>
          <w:sz w:val="20"/>
          <w:szCs w:val="20"/>
          <w:color w:val="auto"/>
        </w:rPr>
      </w:pPr>
      <w:r>
        <w:rPr>
          <w:rFonts w:ascii="Times New Roman" w:cs="Times New Roman" w:eastAsia="Times New Roman" w:hAnsi="Times New Roman"/>
          <w:sz w:val="18"/>
          <w:szCs w:val="18"/>
          <w:color w:val="auto"/>
        </w:rPr>
        <w:t>Any provision of this Section 14(c) that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14(c).</w:t>
      </w:r>
    </w:p>
    <w:p>
      <w:pPr>
        <w:spacing w:after="0" w:line="203" w:lineRule="exact"/>
        <w:rPr>
          <w:sz w:val="20"/>
          <w:szCs w:val="20"/>
          <w:color w:val="auto"/>
        </w:rPr>
      </w:pPr>
    </w:p>
    <w:p>
      <w:pPr>
        <w:jc w:val="both"/>
        <w:ind w:firstLine="1377"/>
        <w:spacing w:after="0" w:line="282" w:lineRule="auto"/>
        <w:rPr>
          <w:sz w:val="20"/>
          <w:szCs w:val="20"/>
          <w:color w:val="auto"/>
        </w:rPr>
      </w:pPr>
      <w:r>
        <w:rPr>
          <w:rFonts w:ascii="Times New Roman" w:cs="Times New Roman" w:eastAsia="Times New Roman" w:hAnsi="Times New Roman"/>
          <w:sz w:val="18"/>
          <w:szCs w:val="18"/>
          <w:color w:val="auto"/>
        </w:rPr>
        <w:t>Any rights of the Company pursuant this Section 14(c) are in addition to, and not in limitation of, the rights of the Company set forth in this Section 14, in other provisions of this Program and under the Plan.</w:t>
      </w:r>
    </w:p>
    <w:p>
      <w:pPr>
        <w:spacing w:after="0" w:line="17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Assignment/Nonassignment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assign this Program, including, without limitation, Section 12, and the Participants agree to remain obligated by all provisions of this Program that are assigned to any successor, assign or surviving entity. The obligations of the Company under the Program shall be binding upon the successors and assigns of the Company. Any successor to the Company is an intended third party beneficiary of this Program.</w:t>
      </w:r>
    </w:p>
    <w:p>
      <w:pPr>
        <w:spacing w:after="0" w:line="172"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Units shall not be sold, pledged, assigned, hypothecated, transferred or disposed of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 any manner, other than by will or the laws of descent and distribution. Any attempt by a Participant to Transfer the Performance Share Units in violation of the terms of the Program shall render the Performance Share Units null and void, and result in the immediate forfeiture of such Performance Share Units, without payment by the Company or any Subsidiary.</w:t>
      </w:r>
    </w:p>
    <w:p>
      <w:pPr>
        <w:spacing w:after="0" w:line="158"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on Benefit Plans</w:t>
      </w:r>
      <w:r>
        <w:rPr>
          <w:rFonts w:ascii="Times New Roman" w:cs="Times New Roman" w:eastAsia="Times New Roman" w:hAnsi="Times New Roman"/>
          <w:sz w:val="18"/>
          <w:szCs w:val="18"/>
          <w:color w:val="auto"/>
        </w:rPr>
        <w:t>. Payments under the Program shall not be considered as earnings for purposes of the Company’s and/or Affiliate’s qualified retirement plans or any such retirement or benefit plan unless specifically provided for therein. Nothing herein shall prevent the Company or any Affiliate from maintaining additional compensation plans and arrangements for its employees.</w:t>
      </w:r>
    </w:p>
    <w:p>
      <w:pPr>
        <w:spacing w:after="0" w:line="158"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In the event of a stock split, stock dividend, or similar event, the Performance Share Units and the shares of Company common stock on which the Performance Conditions are based shall be appropriately adjusted to prevent dilution or enlargement of the rights of Participants that would otherwise result from any such transaction, provided such adjustment shall be consistent with Section 409A of the Code. In the case of a Change in Control, any obligation under the Program shall be handled in accordance with the terms of Section 6(c) hereof.</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Program shall be governed by and construed in accordance with the laws of the Commonwealth of Pennsylvania, without giving effect to the principles of conflicts of law.</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irrevocably submits to the personal and exclusive jurisdiction of the United States District Court for the Western District of Pennsylvania or the Court of Common Pleas of Allegheny County, Pennsylvania in any action or proceeding arising out of, or relating to, this Program (whether such action or proceeding arises under contract, tort, equity or otherwise). Participant hereby irrevocably waives any objection which Participant now or hereafter may have to the laying of venue or personal jurisdiction of any such action or proceeding brought in said courts.</w:t>
      </w:r>
    </w:p>
    <w:p>
      <w:pPr>
        <w:spacing w:after="0" w:line="172"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over, and venue of, any such action or proceeding shall be exclusively vested in the United States District Court for the Western District of Pennsylvania or the Court of Common Pleas of Allegheny County, Pennsylvania.</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Company commences any such action or proceeding in the courts identified in Section 18(b), Participant irrevocably waives Participant’s right to object to or challenge the above selected forum on the basis of inconvenience or unfairness under 28 U.S.C. § 1404, 42 Pa. C.S. § 5322 or similar</w:t>
      </w:r>
    </w:p>
    <w:p>
      <w:pPr>
        <w:sectPr>
          <w:pgSz w:w="11900" w:h="16838" w:orient="portrait"/>
          <w:cols w:equalWidth="0" w:num="1">
            <w:col w:w="11240"/>
          </w:cols>
          <w:pgMar w:left="320" w:top="1404" w:right="339" w:bottom="1440" w:gutter="0" w:footer="0" w:header="0"/>
        </w:sectPr>
      </w:pPr>
    </w:p>
    <w:bookmarkStart w:id="39" w:name="page40"/>
    <w:bookmarkEnd w:id="39"/>
    <w:p>
      <w:pPr>
        <w:spacing w:after="0" w:line="222" w:lineRule="auto"/>
        <w:rPr>
          <w:sz w:val="20"/>
          <w:szCs w:val="20"/>
          <w:color w:val="auto"/>
        </w:rPr>
      </w:pPr>
      <w:r>
        <w:rPr>
          <w:rFonts w:ascii="Times New Roman" w:cs="Times New Roman" w:eastAsia="Times New Roman" w:hAnsi="Times New Roman"/>
          <w:sz w:val="18"/>
          <w:szCs w:val="18"/>
          <w:color w:val="auto"/>
        </w:rPr>
        <w:t>state or federal statutes. Participant agrees to reimburse the Company for all of the attorney fees and costs it incurs to oppose Participant’s efforts to challenge or object to litigation proceeding in the courts identified in Section 18(b) with respect to actions arising out of or relating to this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such actions arise under contract, tort, equity or otherwise).</w:t>
      </w:r>
    </w:p>
    <w:p>
      <w:pPr>
        <w:spacing w:after="0" w:line="165" w:lineRule="exact"/>
        <w:rPr>
          <w:sz w:val="20"/>
          <w:szCs w:val="20"/>
          <w:color w:val="auto"/>
        </w:rPr>
      </w:pPr>
    </w:p>
    <w:p>
      <w:pPr>
        <w:ind w:firstLine="656"/>
        <w:spacing w:after="0" w:line="237"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Enforce Not a Waiver</w:t>
      </w:r>
      <w:r>
        <w:rPr>
          <w:rFonts w:ascii="Times New Roman" w:cs="Times New Roman" w:eastAsia="Times New Roman" w:hAnsi="Times New Roman"/>
          <w:sz w:val="18"/>
          <w:szCs w:val="18"/>
          <w:color w:val="auto"/>
        </w:rPr>
        <w:t>. The failure of the Company to enforce at any time any provision of this Program shall in no way be construed to be a waiver of such provision or of any other provision hereof.</w:t>
      </w:r>
    </w:p>
    <w:p>
      <w:pPr>
        <w:spacing w:after="0" w:line="171" w:lineRule="exact"/>
        <w:rPr>
          <w:rFonts w:ascii="Times New Roman" w:cs="Times New Roman" w:eastAsia="Times New Roman" w:hAnsi="Times New Roman"/>
          <w:sz w:val="18"/>
          <w:szCs w:val="18"/>
          <w:color w:val="auto"/>
        </w:rPr>
      </w:pPr>
    </w:p>
    <w:p>
      <w:pPr>
        <w:ind w:right="20" w:firstLine="656"/>
        <w:spacing w:after="0" w:line="237"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of this Program shall be held to be invalid, illegal or unenforceable, the validity, legality or enforceability of the remaining provisions shall not in any way be affected or impaired thereby.</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23"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 The Program is not funded and all amounts payable hereunder, if any, shall be paid from the general assets of the Company or its Affiliate, as applicable. No provision contained in this Program or the Plan and no action taken pursuant to the provisions of this Program or the Plan shall create a trust of any kind or require the Company to maintain or set aside any specific funds to pay benefits hereunder. To the extent a Participant acquires a right to receive payments from the Company under the Program, such right shall be no greater than the right of any unsecured general creditor of the Company.</w:t>
      </w:r>
    </w:p>
    <w:p>
      <w:pPr>
        <w:spacing w:after="0" w:line="158" w:lineRule="exact"/>
        <w:rPr>
          <w:rFonts w:ascii="Times New Roman" w:cs="Times New Roman" w:eastAsia="Times New Roman" w:hAnsi="Times New Roman"/>
          <w:sz w:val="18"/>
          <w:szCs w:val="18"/>
          <w:color w:val="auto"/>
        </w:rPr>
      </w:pPr>
    </w:p>
    <w:p>
      <w:pPr>
        <w:ind w:firstLine="656"/>
        <w:spacing w:after="0" w:line="237"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of the Sections of this Program are inserted for convenience of reference only and shall not constitute a part of this Program.</w:t>
      </w:r>
    </w:p>
    <w:p>
      <w:pPr>
        <w:spacing w:after="0" w:line="17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this Program</w:t>
      </w:r>
      <w:r>
        <w:rPr>
          <w:rFonts w:ascii="Times New Roman" w:cs="Times New Roman" w:eastAsia="Times New Roman" w:hAnsi="Times New Roman"/>
          <w:sz w:val="18"/>
          <w:szCs w:val="18"/>
          <w:color w:val="auto"/>
        </w:rPr>
        <w:t>. This Program may be modified, amended, suspended or terminated by the Committee at any time. Notwithstanding the foregoing or any provision of this Program to the contrary, the Committee may, in the sole discretion and without the Participants’ consent, modify or amend the terms of the Program or a Performance Grant, or take any other action it deems necessary or advisable, to cause the Program to comply with Section 409A of the Code. Any modification, amendment, suspension or termination shall only be effective upon a writing issued by the Committee, and a Participant shall not offer evidence of any purported oral modifications or amendments to vary or contradict the terms of this Program document.</w:t>
      </w:r>
    </w:p>
    <w:p>
      <w:pPr>
        <w:spacing w:after="0" w:line="183"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Program on the day and year indicated below. This Program may be executed in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one counterpart, each of which is deemed to be an original and all of which taken together constitute one and the same agreement.</w:t>
      </w:r>
    </w:p>
    <w:p>
      <w:pPr>
        <w:spacing w:after="0" w:line="200" w:lineRule="exact"/>
        <w:rPr>
          <w:sz w:val="20"/>
          <w:szCs w:val="20"/>
          <w:color w:val="auto"/>
        </w:rPr>
      </w:pPr>
    </w:p>
    <w:p>
      <w:pPr>
        <w:spacing w:after="0" w:line="22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John E. Kunz</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Chairman, Compensation Committee</w:t>
      </w:r>
    </w:p>
    <w:p>
      <w:pPr>
        <w:sectPr>
          <w:pgSz w:w="11900" w:h="16838" w:orient="portrait"/>
          <w:cols w:equalWidth="0" w:num="1">
            <w:col w:w="11240"/>
          </w:cols>
          <w:pgMar w:left="320" w:top="140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4, 2026</w:t>
            </w:r>
          </w:p>
        </w:tc>
        <w:tc>
          <w:tcPr>
            <w:tcW w:w="284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20" w:type="dxa"/>
            <w:vAlign w:val="bottom"/>
            <w:gridSpan w:val="3"/>
          </w:tcPr>
          <w:p>
            <w:pPr>
              <w:ind w:left="284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firstLine="158"/>
        <w:spacing w:after="0" w:line="282" w:lineRule="auto"/>
        <w:tabs>
          <w:tab w:leader="none" w:pos="10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158"/>
        <w:spacing w:after="0" w:line="266" w:lineRule="auto"/>
        <w:tabs>
          <w:tab w:leader="none" w:pos="109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158"/>
        <w:spacing w:after="0" w:line="282" w:lineRule="auto"/>
        <w:tabs>
          <w:tab w:leader="none" w:pos="11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158"/>
        <w:spacing w:after="0" w:line="282" w:lineRule="auto"/>
        <w:tabs>
          <w:tab w:leader="none" w:pos="10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May 4, 2026</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March 31, 2026,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May 4, 2026</w:t>
            </w:r>
          </w:p>
        </w:tc>
        <w:tc>
          <w:tcPr>
            <w:tcW w:w="5700" w:type="dxa"/>
            <w:vAlign w:val="bottom"/>
          </w:tcPr>
          <w:p>
            <w:pPr>
              <w:spacing w:after="0"/>
              <w:rPr>
                <w:sz w:val="17"/>
                <w:szCs w:val="17"/>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May 4, 2026</w:t>
            </w:r>
          </w:p>
        </w:tc>
        <w:tc>
          <w:tcPr>
            <w:tcW w:w="5700" w:type="dxa"/>
            <w:vAlign w:val="bottom"/>
          </w:tcPr>
          <w:p>
            <w:pPr>
              <w:spacing w:after="0"/>
              <w:rPr>
                <w:sz w:val="24"/>
                <w:szCs w:val="24"/>
                <w:color w:val="auto"/>
              </w:rPr>
            </w:pP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3"/>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Roman"/>
      <w:start w:val="2"/>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
    <w:nsid w:val="6763845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2">
    <w:nsid w:val="75A2A8D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3">
    <w:nsid w:val="8EDBDAB"/>
    <w:multiLevelType w:val="hybridMultilevel"/>
    <w:lvl w:ilvl="0">
      <w:lvlJc w:val="left"/>
      <w:lvlText w:val="(%1)"/>
      <w:numFmt w:val="lowerRoman"/>
      <w:start w:val="3"/>
    </w:lvl>
  </w:abstractNum>
  <w:abstractNum w:abstractNumId="14">
    <w:nsid w:val="79838CB2"/>
    <w:multiLevelType w:val="hybridMultilevel"/>
    <w:lvl w:ilvl="0">
      <w:lvlJc w:val="left"/>
      <w:lvlText w:val="(%1)"/>
      <w:numFmt w:val="upperLetter"/>
      <w:start w:val="3"/>
    </w:lvl>
    <w:lvl w:ilvl="1">
      <w:lvlJc w:val="left"/>
      <w:lvlText w:val="(%2)"/>
      <w:numFmt w:val="lowerLetter"/>
      <w:start w:val="7"/>
    </w:lvl>
  </w:abstractNum>
  <w:abstractNum w:abstractNumId="15">
    <w:nsid w:val="4353D0CD"/>
    <w:multiLevelType w:val="hybridMultilevel"/>
    <w:lvl w:ilvl="0">
      <w:lvlJc w:val="left"/>
      <w:lvlText w:val="(%1)"/>
      <w:numFmt w:val="lowerLetter"/>
      <w:start w:val="8"/>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decimal"/>
      <w:start w:val="1"/>
    </w:lvl>
    <w:lvl w:ilvl="1">
      <w:lvlJc w:val="left"/>
      <w:lvlText w:val="(%2)"/>
      <w:numFmt w:val="lowerLetter"/>
      <w:start w:val="1"/>
    </w:lvl>
  </w:abstractNum>
  <w:abstractNum w:abstractNumId="20">
    <w:nsid w:val="2CA88611"/>
    <w:multiLevelType w:val="hybridMultilevel"/>
    <w:lvl w:ilvl="0">
      <w:lvlJc w:val="left"/>
      <w:lvlText w:val="%1"/>
      <w:numFmt w:val="decimal"/>
      <w:start w:val="1"/>
    </w:lvl>
    <w:lvl w:ilvl="1">
      <w:lvlJc w:val="left"/>
      <w:lvlText w:val="(%2)"/>
      <w:numFmt w:val="lowerLetter"/>
      <w:start w:val="1"/>
    </w:lvl>
  </w:abstractNum>
  <w:abstractNum w:abstractNumId="21">
    <w:nsid w:val="836C40E"/>
    <w:multiLevelType w:val="hybridMultilevel"/>
    <w:lvl w:ilvl="0">
      <w:lvlJc w:val="left"/>
      <w:lvlText w:val="%1."/>
      <w:numFmt w:val="decimal"/>
      <w:start w:val="6"/>
    </w:lvl>
    <w:lvl w:ilvl="1">
      <w:lvlJc w:val="left"/>
      <w:lvlText w:val="%2"/>
      <w:numFmt w:val="lowerLetter"/>
      <w:start w:val="1"/>
    </w:lvl>
  </w:abstractNum>
  <w:abstractNum w:abstractNumId="22">
    <w:nsid w:val="2901D82"/>
    <w:multiLevelType w:val="hybridMultilevel"/>
    <w:lvl w:ilvl="0">
      <w:lvlJc w:val="left"/>
      <w:lvlText w:val="%1."/>
      <w:numFmt w:val="decimal"/>
      <w:start w:val="7"/>
    </w:lvl>
    <w:lvl w:ilvl="1">
      <w:lvlJc w:val="left"/>
      <w:lvlText w:val="(%2)"/>
      <w:numFmt w:val="lowerLetter"/>
      <w:start w:val="1"/>
    </w:lvl>
  </w:abstractNum>
  <w:abstractNum w:abstractNumId="23">
    <w:nsid w:val="3A95F874"/>
    <w:multiLevelType w:val="hybridMultilevel"/>
    <w:lvl w:ilvl="0">
      <w:lvlJc w:val="left"/>
      <w:lvlText w:val="%1"/>
      <w:numFmt w:val="decimal"/>
      <w:start w:val="1"/>
    </w:lvl>
    <w:lvl w:ilvl="1">
      <w:lvlJc w:val="left"/>
      <w:lvlText w:val="(%2)"/>
      <w:numFmt w:val="lowerLetter"/>
      <w:start w:val="1"/>
    </w:lvl>
  </w:abstractNum>
  <w:abstractNum w:abstractNumId="24">
    <w:nsid w:val="8138641"/>
    <w:multiLevelType w:val="hybridMultilevel"/>
    <w:lvl w:ilvl="0">
      <w:lvlJc w:val="left"/>
      <w:lvlText w:val="%1."/>
      <w:numFmt w:val="decimal"/>
      <w:start w:val="10"/>
    </w:lvl>
    <w:lvl w:ilvl="1">
      <w:lvlJc w:val="left"/>
      <w:lvlText w:val="(%2)"/>
      <w:numFmt w:val="lowerLetter"/>
      <w:start w:val="1"/>
    </w:lvl>
  </w:abstractNum>
  <w:abstractNum w:abstractNumId="25">
    <w:nsid w:val="1E7FF5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6">
    <w:nsid w:val="7C3DBD3D"/>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lvl w:ilvl="3">
      <w:lvlJc w:val="left"/>
      <w:lvlText w:val="(%4)"/>
      <w:numFmt w:val="lowerRoman"/>
      <w:start w:val="1"/>
    </w:lvl>
  </w:abstractNum>
  <w:abstractNum w:abstractNumId="27">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8">
    <w:nsid w:val="6CEAF087"/>
    <w:multiLevelType w:val="hybridMultilevel"/>
    <w:lvl w:ilvl="0">
      <w:lvlJc w:val="left"/>
      <w:lvlText w:val="%1"/>
      <w:numFmt w:val="upperLetter"/>
      <w:start w:val="1"/>
    </w:lvl>
    <w:lvl w:ilvl="1">
      <w:lvlJc w:val="left"/>
      <w:lvlText w:val="%2."/>
      <w:numFmt w:val="decimal"/>
      <w:start w:val="14"/>
    </w:lvl>
    <w:lvl w:ilvl="2">
      <w:lvlJc w:val="left"/>
      <w:lvlText w:val="(%3)"/>
      <w:numFmt w:val="lowerLetter"/>
      <w:start w:val="1"/>
    </w:lvl>
  </w:abstractNum>
  <w:abstractNum w:abstractNumId="29">
    <w:nsid w:val="22221A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0">
    <w:nsid w:val="4516DDE9"/>
    <w:multiLevelType w:val="hybridMultilevel"/>
    <w:lvl w:ilvl="0">
      <w:lvlJc w:val="left"/>
      <w:lvlText w:val="%1."/>
      <w:numFmt w:val="decimal"/>
      <w:start w:val="16"/>
    </w:lvl>
    <w:lvl w:ilvl="1">
      <w:lvlJc w:val="left"/>
      <w:lvlText w:val="(%2)"/>
      <w:numFmt w:val="lowerLetter"/>
      <w:start w:val="1"/>
    </w:lvl>
  </w:abstractNum>
  <w:abstractNum w:abstractNumId="31">
    <w:nsid w:val="3006C83E"/>
    <w:multiLevelType w:val="hybridMultilevel"/>
    <w:lvl w:ilvl="0">
      <w:lvlJc w:val="left"/>
      <w:lvlText w:val="%1."/>
      <w:numFmt w:val="decimal"/>
      <w:start w:val="20"/>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2026-05-04T15:12:33Z</dcterms:created>
  <dcterms:modified xsi:type="dcterms:W3CDTF">2026-05-04T15:12:33Z</dcterms:modified>
</cp:coreProperties>
</file>