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FOSTER L B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ARON R. ENGLISH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22NW, LP, 590 1st Ave. S, Unit C1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Seattle, WA, 98104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206-227-3078</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RYAN NEBEL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22NW Fund, LP</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261,745.00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261,745.00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261,745.00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261,745.00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261,745.00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261,745.00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Fund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261,745.00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4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261,745.00</w:t>
            </w:r>
          </w:p>
        </w:tc>
        <w:tc>
          <w:tcPr>
            <w:tcW w:w="0" w:type="dxa"/>
            <w:vAlign w:val="bottom"/>
          </w:tcPr>
          <w:p>
            <w:pPr>
              <w:spacing w:after="0"/>
              <w:rPr>
                <w:sz w:val="1"/>
                <w:szCs w:val="1"/>
                <w:color w:val="auto"/>
              </w:rPr>
            </w:pPr>
          </w:p>
        </w:tc>
      </w:tr>
    </w:tbl>
    <w:p>
      <w:pPr>
        <w:sectPr>
          <w:pgSz w:w="11900" w:h="16849"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261,745.00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22NW GP,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261,745.00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261,745.00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261,745.00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English Aron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262,650.00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262,650.00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262,650.00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355" w:right="1440" w:bottom="0" w:gutter="0" w:footer="0" w:header="0"/>
          <w:type w:val="continuous"/>
        </w:sectPr>
      </w:pPr>
    </w:p>
    <w:bookmarkStart w:id="5" w:name="page6"/>
    <w:bookmarkEnd w:id="5"/>
    <w:p>
      <w:pPr>
        <w:ind w:left="1120"/>
        <w:spacing w:after="0"/>
        <w:rPr>
          <w:sz w:val="20"/>
          <w:szCs w:val="20"/>
          <w:color w:val="auto"/>
        </w:rPr>
      </w:pPr>
      <w:r>
        <w:rPr>
          <w:rFonts w:ascii="Times New Roman" w:cs="Times New Roman" w:eastAsia="Times New Roman" w:hAnsi="Times New Roman"/>
          <w:sz w:val="22"/>
          <w:szCs w:val="22"/>
          <w:color w:val="auto"/>
        </w:rPr>
        <w:t>Hirai-Hadley Bryson</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60" w:top="111" w:right="4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11"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FOSTER L B CO</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415 HOLIDAY DR, PITTSBURGH, PENNSYLVANIA , 15220.</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35" w:lineRule="auto"/>
        <w:rPr>
          <w:sz w:val="20"/>
          <w:szCs w:val="20"/>
          <w:color w:val="auto"/>
        </w:rPr>
      </w:pPr>
      <w:r>
        <w:rPr>
          <w:rFonts w:ascii="Times New Roman" w:cs="Times New Roman" w:eastAsia="Times New Roman" w:hAnsi="Times New Roman"/>
          <w:sz w:val="22"/>
          <w:szCs w:val="22"/>
          <w:color w:val="auto"/>
        </w:rPr>
        <w:t>Item 3 is hereby amended and restated to read as follows: The Shares purchased by 22NW Fund were purchased with working capital (which may, at any given time, include margin loans made by brokerage firms in the ordinary course of business). The aggregate purchase price of the 261,745 Shares beneficially owned by 22NW Fund is approximately $2,910,604, excluding brokerage commissions. The Shares directly owned by Mr. English were purchased with personal funds (which may, at any given time, include margin loans made by brokerage firms in the ordinary course of business). The aggregate purchase price of the 905 Shares directly owned by Mr. English is approximately $10,000, excluding brokerage commissions. The Shares directly owned by Mr. Hirai-Hadley were</w:t>
      </w:r>
    </w:p>
    <w:p>
      <w:pPr>
        <w:sectPr>
          <w:pgSz w:w="11900" w:h="16838" w:orient="portrait"/>
          <w:cols w:equalWidth="0" w:num="1">
            <w:col w:w="11100"/>
          </w:cols>
          <w:pgMar w:left="360" w:top="111" w:right="439" w:bottom="0" w:gutter="0" w:footer="0" w:header="0"/>
          <w:type w:val="continuous"/>
        </w:sectPr>
      </w:pPr>
    </w:p>
    <w:bookmarkStart w:id="6" w:name="page7"/>
    <w:bookmarkEnd w:id="6"/>
    <w:p>
      <w:pPr>
        <w:jc w:val="both"/>
        <w:ind w:left="940" w:right="180"/>
        <w:spacing w:after="0" w:line="244" w:lineRule="auto"/>
        <w:rPr>
          <w:sz w:val="20"/>
          <w:szCs w:val="20"/>
          <w:color w:val="auto"/>
        </w:rPr>
      </w:pPr>
      <w:r>
        <w:rPr>
          <w:rFonts w:ascii="Times New Roman" w:cs="Times New Roman" w:eastAsia="Times New Roman" w:hAnsi="Times New Roman"/>
          <w:sz w:val="22"/>
          <w:szCs w:val="22"/>
          <w:color w:val="auto"/>
        </w:rPr>
        <w:t>purchased with personal funds (which may, at any given time, include margin loans made by brokerage firms in the ordinary course of business). The aggregate purchase price of the 991 Shares directly owned by Mr. Hirai-Hadley is approximately $15,195, excluding brokerage commissions.</w:t>
      </w:r>
    </w:p>
    <w:p>
      <w:pPr>
        <w:spacing w:after="0" w:line="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80"/>
        <w:spacing w:after="0" w:line="244"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aggregate percentage of Shares reported owned by each person named herein is based upon 10,458,591 Shares outstanding as of March 19, 2026, which is the total number of Shares outstanding as reported in the Issuer's proxy statement on Schedule 14A filed with the Securities and Exchange Commission on April 10, 2026. As of the date hereof, 22NW Fund directly beneficially owned 261,745 Shares, constituting approximately 2.5% of the Shares outstanding. As of the date hereof, Mr. English directly beneficially owned 905 Shares, constituting approximately 0.01% of the Shares outstanding. As of the date hereof, Mr. Hirai-Hadley directly beneficially owned 991 Shares, constituting approximately 0.01% of the Shares</w:t>
      </w:r>
    </w:p>
    <w:p>
      <w:pPr>
        <w:spacing w:after="0" w:line="6" w:lineRule="exact"/>
        <w:rPr>
          <w:sz w:val="20"/>
          <w:szCs w:val="20"/>
          <w:color w:val="auto"/>
        </w:rPr>
      </w:pPr>
    </w:p>
    <w:p>
      <w:pPr>
        <w:ind w:left="940" w:right="140" w:hanging="932"/>
        <w:spacing w:after="0" w:line="209" w:lineRule="auto"/>
        <w:tabs>
          <w:tab w:leader="none" w:pos="94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outstanding. 22NW, as the investment manager of 22NW Fund, may be deemed to beneficially own the 261,745 Shares owned by 22NW Fund, constituting approximately 2.5% of the Shares outstanding. 22NW GP, as the general partner of 22NW Fund, may be deemed to beneficially own the 261,745 Shares owned by 22NW Fund, constituting approximately 2.5% of the Shares outstanding. 22NW Inc., as the general partner of 22NW, may be deemed to beneficially own the 261,745 Shares owned by 22NW Fund, constituting approximately 2.5% of the Shares outstanding. Mr. English, as the Portfolio Manager of 22NW, Manager of 22NW GP and President and sole shareholder of 22NW Inc., may be deemed to beneficially own the 261,745 Shares owned by 22NW Fund, which, together with the Shares he directly beneficially owns, constitutes an aggregate of 262,650 Shares, constituting approximately 2.5% of the Shares outstanding.</w:t>
      </w:r>
    </w:p>
    <w:p>
      <w:pPr>
        <w:spacing w:after="0" w:line="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Item 5(c) is hereby amended and restated to read as follows: The transactions in the Shares by the Reporting Persons</w:t>
      </w:r>
    </w:p>
    <w:p>
      <w:pPr>
        <w:spacing w:after="0" w:line="26" w:lineRule="exact"/>
        <w:rPr>
          <w:sz w:val="20"/>
          <w:szCs w:val="20"/>
          <w:color w:val="auto"/>
        </w:rPr>
      </w:pPr>
    </w:p>
    <w:p>
      <w:pPr>
        <w:ind w:left="940" w:right="360" w:hanging="932"/>
        <w:spacing w:after="0" w:line="237" w:lineRule="auto"/>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filing of Amendment No. 6 to the Schedule 13D are set forth in Exhibit 1 and are incorporated herein by reference. All of such transactions were effected in the open market unless otherwise noted therein.</w:t>
      </w:r>
    </w:p>
    <w:p>
      <w:pPr>
        <w:spacing w:after="0" w:line="16" w:lineRule="exact"/>
        <w:rPr>
          <w:sz w:val="20"/>
          <w:szCs w:val="20"/>
          <w:color w:val="auto"/>
        </w:rPr>
      </w:pPr>
    </w:p>
    <w:p>
      <w:pPr>
        <w:ind w:left="940" w:right="280" w:hanging="932"/>
        <w:spacing w:after="0" w:line="185" w:lineRule="auto"/>
        <w:tabs>
          <w:tab w:leader="none" w:pos="94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5(e) is hereby amended and restated to read as follows: As of April 20, 2026, the Reporting Persons ceased to beneficially own more than 5% of the outstanding Shares.</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7 is hereby amended to add the following exhibit: 1 - Transactions in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22NW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Aron R. English, Manager of 22NW Fund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22NW,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Aron R. English, President and Sole Shareholder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22NW GP, Inc.,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22NW Fund GP, LLC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Aron R. English, Manager</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22NW GP, Inc.</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Aron R. English, Manager</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English Aron R.</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Aron R. English</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Aron R. English</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Hirai-Hadley Bryson</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Bryson O. Hirai-Hadley</w:t>
      </w:r>
    </w:p>
    <w:p>
      <w:pPr>
        <w:sectPr>
          <w:pgSz w:w="11900" w:h="16838" w:orient="portrait"/>
          <w:cols w:equalWidth="0" w:num="1">
            <w:col w:w="11140"/>
          </w:cols>
          <w:pgMar w:left="360" w:top="111" w:right="399" w:bottom="0" w:gutter="0" w:footer="0" w:header="0"/>
        </w:sectPr>
      </w:pPr>
    </w:p>
    <w:bookmarkStart w:id="7" w:name="page8"/>
    <w:bookmarkEnd w:id="7"/>
    <w:p>
      <w:pPr>
        <w:ind w:left="2540"/>
        <w:spacing w:after="0"/>
        <w:rPr>
          <w:sz w:val="20"/>
          <w:szCs w:val="20"/>
          <w:color w:val="auto"/>
        </w:rPr>
      </w:pPr>
      <w:r>
        <w:rPr>
          <w:rFonts w:ascii="Times New Roman" w:cs="Times New Roman" w:eastAsia="Times New Roman" w:hAnsi="Times New Roman"/>
          <w:sz w:val="21"/>
          <w:szCs w:val="21"/>
          <w:color w:val="auto"/>
        </w:rPr>
        <w:t>Name/Title: Bryson O. Hirai-Hadley</w:t>
      </w:r>
    </w:p>
    <w:p>
      <w:pPr>
        <w:spacing w:after="0" w:line="56"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04/21/2026</w:t>
      </w:r>
    </w:p>
    <w:p>
      <w:pPr>
        <w:sectPr>
          <w:pgSz w:w="11900" w:h="16838" w:orient="portrait"/>
          <w:cols w:equalWidth="0" w:num="1">
            <w:col w:w="9019"/>
          </w:cols>
          <w:pgMar w:left="1440" w:top="11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Since the Filing of Amendment No. 6 to the Schedule 13D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rPr>
              <w:t>Price Per</w:t>
            </w:r>
          </w:p>
        </w:tc>
        <w:tc>
          <w:tcPr>
            <w:tcW w:w="960" w:type="dxa"/>
            <w:vAlign w:val="bottom"/>
          </w:tcPr>
          <w:p>
            <w:pPr>
              <w:spacing w:after="0"/>
              <w:rPr>
                <w:sz w:val="18"/>
                <w:szCs w:val="18"/>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00" w:type="dxa"/>
            <w:vAlign w:val="bottom"/>
          </w:tcPr>
          <w:p>
            <w:pPr>
              <w:spacing w:after="0"/>
              <w:rPr>
                <w:sz w:val="16"/>
                <w:szCs w:val="16"/>
                <w:color w:val="auto"/>
              </w:rPr>
            </w:pPr>
          </w:p>
        </w:tc>
        <w:tc>
          <w:tcPr>
            <w:tcW w:w="18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Nature of the Transaction</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u w:val="single" w:color="auto"/>
                <w:color w:val="auto"/>
                <w:w w:val="98"/>
              </w:rPr>
              <w:t>Security($</w:t>
            </w:r>
            <w:r>
              <w:rPr>
                <w:rFonts w:ascii="Times New Roman" w:cs="Times New Roman" w:eastAsia="Times New Roman" w:hAnsi="Times New Roman"/>
                <w:sz w:val="18"/>
                <w:szCs w:val="18"/>
                <w:color w:val="auto"/>
                <w:w w:val="98"/>
              </w:rPr>
              <w:t>)</w:t>
            </w:r>
          </w:p>
        </w:tc>
        <w:tc>
          <w:tcPr>
            <w:tcW w:w="940" w:type="dxa"/>
            <w:vAlign w:val="bottom"/>
          </w:tcPr>
          <w:p>
            <w:pPr>
              <w:spacing w:after="0"/>
              <w:rPr>
                <w:sz w:val="16"/>
                <w:szCs w:val="16"/>
                <w:color w:val="auto"/>
              </w:rPr>
            </w:pPr>
          </w:p>
        </w:tc>
        <w:tc>
          <w:tcPr>
            <w:tcW w:w="2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5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22NW FUND, LP</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5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Sale of Common Stock</w:t>
            </w:r>
          </w:p>
        </w:tc>
        <w:tc>
          <w:tcPr>
            <w:tcW w:w="188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(5,428)</w:t>
            </w:r>
          </w:p>
        </w:tc>
        <w:tc>
          <w:tcPr>
            <w:tcW w:w="2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9"/>
              </w:rPr>
              <w:t>30.0000</w:t>
            </w:r>
          </w:p>
        </w:tc>
        <w:tc>
          <w:tcPr>
            <w:tcW w:w="9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04/15/2026</w:t>
            </w:r>
          </w:p>
        </w:tc>
        <w:tc>
          <w:tcPr>
            <w:tcW w:w="9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4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Sale of Common Stock</w:t>
            </w:r>
          </w:p>
        </w:tc>
        <w:tc>
          <w:tcPr>
            <w:tcW w:w="18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7"/>
              </w:rPr>
              <w:t>(50,172)</w:t>
            </w:r>
          </w:p>
        </w:tc>
        <w:tc>
          <w:tcPr>
            <w:tcW w:w="220" w:type="dxa"/>
            <w:vAlign w:val="bottom"/>
          </w:tcPr>
          <w:p>
            <w:pPr>
              <w:spacing w:after="0"/>
              <w:rPr>
                <w:sz w:val="18"/>
                <w:szCs w:val="18"/>
                <w:color w:val="auto"/>
              </w:rPr>
            </w:pPr>
          </w:p>
        </w:tc>
        <w:tc>
          <w:tcPr>
            <w:tcW w:w="238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auto"/>
                <w:w w:val="99"/>
              </w:rPr>
              <w:t>30.0100</w:t>
            </w:r>
          </w:p>
        </w:tc>
        <w:tc>
          <w:tcPr>
            <w:tcW w:w="940" w:type="dxa"/>
            <w:vAlign w:val="bottom"/>
          </w:tcPr>
          <w:p>
            <w:pPr>
              <w:spacing w:after="0"/>
              <w:rPr>
                <w:sz w:val="18"/>
                <w:szCs w:val="18"/>
                <w:color w:val="auto"/>
              </w:rPr>
            </w:pPr>
          </w:p>
        </w:tc>
        <w:tc>
          <w:tcPr>
            <w:tcW w:w="196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04/17/2026</w:t>
            </w:r>
          </w:p>
        </w:tc>
        <w:tc>
          <w:tcPr>
            <w:tcW w:w="90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center"/>
              <w:ind w:right="640"/>
              <w:spacing w:after="0"/>
              <w:rPr>
                <w:sz w:val="20"/>
                <w:szCs w:val="20"/>
                <w:color w:val="auto"/>
              </w:rPr>
            </w:pPr>
            <w:r>
              <w:rPr>
                <w:rFonts w:ascii="Times New Roman" w:cs="Times New Roman" w:eastAsia="Times New Roman" w:hAnsi="Times New Roman"/>
                <w:sz w:val="18"/>
                <w:szCs w:val="18"/>
                <w:color w:val="auto"/>
                <w:w w:val="99"/>
              </w:rPr>
              <w:t>Sale of Common Stock</w:t>
            </w:r>
          </w:p>
        </w:tc>
        <w:tc>
          <w:tcPr>
            <w:tcW w:w="1880" w:type="dxa"/>
            <w:vAlign w:val="bottom"/>
            <w:gridSpan w:val="2"/>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(172,880)</w:t>
            </w:r>
          </w:p>
        </w:tc>
        <w:tc>
          <w:tcPr>
            <w:tcW w:w="2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9"/>
              </w:rPr>
              <w:t>30.0100</w:t>
            </w:r>
          </w:p>
        </w:tc>
        <w:tc>
          <w:tcPr>
            <w:tcW w:w="9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04/20/2026</w:t>
            </w:r>
          </w:p>
        </w:tc>
        <w:tc>
          <w:tcPr>
            <w:tcW w:w="900" w:type="dxa"/>
            <w:vAlign w:val="bottom"/>
            <w:shd w:val="clear" w:color="auto" w:fill="CCEEFF"/>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4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Sale of Common Stock</w:t>
            </w:r>
          </w:p>
        </w:tc>
        <w:tc>
          <w:tcPr>
            <w:tcW w:w="18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7"/>
              </w:rPr>
              <w:t>(98,449)</w:t>
            </w:r>
          </w:p>
        </w:tc>
        <w:tc>
          <w:tcPr>
            <w:tcW w:w="220" w:type="dxa"/>
            <w:vAlign w:val="bottom"/>
          </w:tcPr>
          <w:p>
            <w:pPr>
              <w:spacing w:after="0"/>
              <w:rPr>
                <w:sz w:val="20"/>
                <w:szCs w:val="20"/>
                <w:color w:val="auto"/>
              </w:rPr>
            </w:pPr>
          </w:p>
        </w:tc>
        <w:tc>
          <w:tcPr>
            <w:tcW w:w="2380" w:type="dxa"/>
            <w:vAlign w:val="bottom"/>
            <w:gridSpan w:val="3"/>
          </w:tcPr>
          <w:p>
            <w:pPr>
              <w:jc w:val="center"/>
              <w:ind w:left="1470"/>
              <w:spacing w:after="0"/>
              <w:rPr>
                <w:sz w:val="20"/>
                <w:szCs w:val="20"/>
                <w:color w:val="auto"/>
              </w:rPr>
            </w:pPr>
            <w:r>
              <w:rPr>
                <w:rFonts w:ascii="Times New Roman" w:cs="Times New Roman" w:eastAsia="Times New Roman" w:hAnsi="Times New Roman"/>
                <w:sz w:val="18"/>
                <w:szCs w:val="18"/>
                <w:color w:val="auto"/>
                <w:w w:val="99"/>
              </w:rPr>
              <w:t>30.0064</w:t>
            </w:r>
          </w:p>
        </w:tc>
        <w:tc>
          <w:tcPr>
            <w:tcW w:w="940" w:type="dxa"/>
            <w:vAlign w:val="bottom"/>
          </w:tcPr>
          <w:p>
            <w:pPr>
              <w:spacing w:after="0"/>
              <w:rPr>
                <w:sz w:val="20"/>
                <w:szCs w:val="20"/>
                <w:color w:val="auto"/>
              </w:rPr>
            </w:pPr>
          </w:p>
        </w:tc>
        <w:tc>
          <w:tcPr>
            <w:tcW w:w="196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04/21/2026</w:t>
            </w:r>
          </w:p>
        </w:tc>
        <w:tc>
          <w:tcPr>
            <w:tcW w:w="9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5"/>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2026-04-21T19:19:35Z</dcterms:created>
  <dcterms:modified xsi:type="dcterms:W3CDTF">2026-04-21T19:19:35Z</dcterms:modified>
</cp:coreProperties>
</file>