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4994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9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Guinee Patrick J.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L.B. FOSTER COMPANY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FSTR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General Counsel &amp; Sec.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PITTSBURGH 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15220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02/11/2026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02/11/2026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31.54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1,667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1,667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31.54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-1981835</wp:posOffset>
            </wp:positionV>
            <wp:extent cx="28575" cy="1986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8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represents 50 percent of the Performance-based stock unit award granted on 3/31/2021 and earned on 2/11/2026.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15,874 Performance Restricted Stock Units earned under the 2023-2025 Long Term Incentive Plan granted on 2/14/2023; those 15,874 Performance Restricted Stock Units will settle at the end of the performance period on December 31, 2025, upon certification by the Compensation Committee.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2,194 Performance Restricted Stock Units earned under the 2024-2026 Long Term Incentive Plan granted on 5/23/2024; those 2,194 Performance Restricted Stock Units will settle at the end of the performance period on December 31, 2026, upon certification by the Compensation Committee.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stock unit award of 3,333 shares was granted on 3/31/2021 and expires on 02/28/2026, 5 years after the grant date. Fifty percent of the award, or 1,666 shares, was earned on 4/05/2024. The remaining 50% of the award, or 1,667 shares, may be earned when the consecutive 30-day average closing stock price per share of the Company's common stock on the Nasdaq Stock Market is $30.00 per share or more and is generally subject to continued employment with the Company.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Patrick J. Guinee by Judith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0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Balog,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0919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2026-02-12T15:37:00Z</dcterms:created>
  <dcterms:modified xsi:type="dcterms:W3CDTF">2026-02-12T15:37:00Z</dcterms:modified>
</cp:coreProperties>
</file>