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THALMAN WILLIAM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L.B. FOSTER COMPANY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415 HOLIDAY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FOSTER L B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15220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73,731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72,010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the vesting of restricted stock related to the 2024-2026 LTIP awarded on 5/23/24.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18,519 Performance Restricted Stock Units earned under the 2023-2025 Long Term Incentive Plan granted on 2/14/2023; those 18,519 Performance Restricted Stock Units will settle at the end of the performance period on December 31, 2025, upon certification by the Compensation Committee.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2,385 Performance Restricted Stock Units earned under the 2024-2026 Long Term Incentive Plan granted on 5/23/2024; those 2,385 Performance Restricted Stock Units will settle at the end of the performance period on December 31, 2026, upon certification by the Compensation Committee.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the vesting of restricted stock related to the 2023-2025 LTIP awarded on 2/14/23.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M. Thalman by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Judith Balog, attorney-in-fact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04808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2026-02-18T14:28:27Z</dcterms:created>
  <dcterms:modified xsi:type="dcterms:W3CDTF">2026-02-18T14:28:27Z</dcterms:modified>
</cp:coreProperties>
</file>