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931752.xml.htm"/>
      <w:bookmarkStart w:id="1" w:name="kswkform4_17709317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KASEL JOHN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L.B. FOSTER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 HOLIDAY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FOSTER L B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Chief Exec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76"/>
        <w:gridCol w:w="443"/>
        <w:gridCol w:w="748"/>
        <w:gridCol w:w="1177"/>
        <w:gridCol w:w="984"/>
        <w:gridCol w:w="10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226,354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31.54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13,908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L.B. Foster Company 401(k) Plan Shares</w:t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31.54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amount represents 50 percent of the Performance-based stock unit award granted on 3/31/2021 and earned on 2/11/2026.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58,202 Performance Restricted Stock Units earned under the 2023-2025 Long Term Incentive Plan granted on 2/14/2023; those 58.202 Performance Restricted Stock Units will settle at the end of the performance period on December 31, 2025, upon certification by the Compensation Committee.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7,632 Performance Restricted Stock Units earned under the 2024-2026 Long Term Incentive Plan granted on 5/23/2024; those 7,632 Performance Restricted Stock Units will settle at the end of the performance period on December 31, 2026, upon certification by the Compensation Committee.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Performance-based stock unit award of 3,333 shares was granted on 3/31/2021 and expires on 02/28/2026, 5 years after the grant date. Fifty percent of the award, or 1,666 shares, was earned on 4/05/2024. The remaining 50% of the award, or 1,667 shares, may be earned when the consecutive 30-day average closing stock price per share of the Company's common stock on the Nasdaq Stock Market is $30.00 per share or more and is generally subject to continued employment with the Company.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F. Kasel by Judith Balog,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393" TargetMode="External"/><Relationship Id="rId5" Type="http://schemas.openxmlformats.org/officeDocument/2006/relationships/hyperlink" Target="http://www.sec.gov/cgi-bin/browse-edgar?action=getcompany&amp;CIK=0000352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804</Words>
  <Characters>4350</Characters>
  <CharactersWithSpaces>5067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